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49981" w14:textId="75890A41" w:rsidR="00F1260C" w:rsidRPr="00D12C6F" w:rsidRDefault="00F1260C" w:rsidP="00D12C6F">
      <w:pPr>
        <w:pStyle w:val="Heading1-Statement"/>
      </w:pPr>
      <w:bookmarkStart w:id="0" w:name="_Toc134092996"/>
      <w:r w:rsidRPr="00D12C6F">
        <w:t>Statement 9:</w:t>
      </w:r>
      <w:r w:rsidRPr="00D12C6F">
        <w:br/>
      </w:r>
      <w:bookmarkEnd w:id="0"/>
      <w:r w:rsidRPr="00D12C6F">
        <w:t>Statement of Risk</w:t>
      </w:r>
      <w:r w:rsidR="006057A4">
        <w:t>s</w:t>
      </w:r>
    </w:p>
    <w:p w14:paraId="7A214276" w14:textId="7E141368" w:rsidR="00B6492E" w:rsidRPr="00D12C6F" w:rsidRDefault="00A16BE2" w:rsidP="00D12C6F">
      <w:pPr>
        <w:spacing w:before="0" w:after="160" w:line="259" w:lineRule="auto"/>
      </w:pPr>
      <w:r w:rsidRPr="00D12C6F">
        <w:t xml:space="preserve">A range of factors may influence the actual budget outcome in future years. The </w:t>
      </w:r>
      <w:r w:rsidRPr="000B67B5">
        <w:rPr>
          <w:rStyle w:val="Emphasis"/>
        </w:rPr>
        <w:t>Charter of Budget Honesty Act 1998</w:t>
      </w:r>
      <w:r w:rsidRPr="00D12C6F">
        <w:t xml:space="preserve"> requires these factors to be disclosed in a statement of risks in each Budget and Mid</w:t>
      </w:r>
      <w:r w:rsidR="00880FAB">
        <w:noBreakHyphen/>
      </w:r>
      <w:r w:rsidRPr="00D12C6F">
        <w:t xml:space="preserve">Year Economic and Fiscal Outlook. This Statement outlines general fiscal risks, specific contingent liabilities and specific contingent assets that may affect fiscal outcomes. Details of </w:t>
      </w:r>
      <w:r w:rsidRPr="00BB0096">
        <w:t>Australian</w:t>
      </w:r>
      <w:r>
        <w:t xml:space="preserve"> </w:t>
      </w:r>
      <w:r w:rsidRPr="00D12C6F">
        <w:t>Government loans estimated to exceed $200</w:t>
      </w:r>
      <w:r>
        <w:t> </w:t>
      </w:r>
      <w:r w:rsidRPr="00D12C6F">
        <w:t xml:space="preserve">million </w:t>
      </w:r>
      <w:proofErr w:type="gramStart"/>
      <w:r w:rsidRPr="00D12C6F">
        <w:t>at</w:t>
      </w:r>
      <w:proofErr w:type="gramEnd"/>
      <w:r w:rsidRPr="00D12C6F">
        <w:t xml:space="preserve"> 30</w:t>
      </w:r>
      <w:r>
        <w:t> </w:t>
      </w:r>
      <w:r w:rsidRPr="00D12C6F">
        <w:t>June</w:t>
      </w:r>
      <w:r>
        <w:t> </w:t>
      </w:r>
      <w:r w:rsidRPr="00D12C6F">
        <w:t>2026 are included at the conclusion of this Statement.</w:t>
      </w:r>
    </w:p>
    <w:p w14:paraId="58AB8B79" w14:textId="11D6D7CB" w:rsidR="00F1260C" w:rsidRPr="00D12C6F" w:rsidRDefault="00F1260C" w:rsidP="00D12C6F">
      <w:pPr>
        <w:spacing w:before="0" w:after="160" w:line="259" w:lineRule="auto"/>
      </w:pPr>
      <w:r w:rsidRPr="00D12C6F">
        <w:br w:type="page"/>
      </w:r>
    </w:p>
    <w:p w14:paraId="3AE86DC7" w14:textId="77777777" w:rsidR="00F1260C" w:rsidRPr="00D12C6F" w:rsidRDefault="00F1260C" w:rsidP="00D12C6F"/>
    <w:p w14:paraId="1210E044" w14:textId="77777777" w:rsidR="00F1260C" w:rsidRPr="00D12C6F" w:rsidRDefault="00F1260C" w:rsidP="00D12C6F">
      <w:pPr>
        <w:pStyle w:val="Heading1"/>
        <w:sectPr w:rsidR="00F1260C" w:rsidRPr="00D12C6F" w:rsidSect="00B816B9">
          <w:headerReference w:type="even" r:id="rId7"/>
          <w:headerReference w:type="default" r:id="rId8"/>
          <w:footerReference w:type="default" r:id="rId9"/>
          <w:headerReference w:type="first" r:id="rId10"/>
          <w:footerReference w:type="first" r:id="rId11"/>
          <w:pgSz w:w="11907" w:h="16840" w:code="9"/>
          <w:pgMar w:top="2835" w:right="2098" w:bottom="2466" w:left="2098" w:header="1814" w:footer="1814" w:gutter="0"/>
          <w:pgNumType w:start="287"/>
          <w:cols w:space="708"/>
          <w:titlePg/>
          <w:docGrid w:linePitch="360"/>
        </w:sectPr>
      </w:pPr>
    </w:p>
    <w:p w14:paraId="003C4DAD" w14:textId="6536867D" w:rsidR="00F1260C" w:rsidRPr="00D12C6F" w:rsidRDefault="00F1260C" w:rsidP="002C65E7">
      <w:pPr>
        <w:pStyle w:val="Heading1"/>
      </w:pPr>
      <w:r w:rsidRPr="00D12C6F">
        <w:lastRenderedPageBreak/>
        <w:t xml:space="preserve">Statement </w:t>
      </w:r>
      <w:r w:rsidR="006722EB" w:rsidRPr="00D12C6F">
        <w:t xml:space="preserve">9 </w:t>
      </w:r>
      <w:r w:rsidRPr="00D12C6F">
        <w:t>contents</w:t>
      </w:r>
    </w:p>
    <w:p w14:paraId="58C13038" w14:textId="17303B97" w:rsidR="004423EC" w:rsidRDefault="00AA73EB" w:rsidP="00E34F04">
      <w:pPr>
        <w:pStyle w:val="TOC2"/>
        <w:tabs>
          <w:tab w:val="clear" w:pos="992"/>
        </w:tabs>
        <w:rPr>
          <w:rFonts w:asciiTheme="minorHAnsi" w:eastAsiaTheme="minorEastAsia" w:hAnsiTheme="minorHAnsi" w:cstheme="minorBidi"/>
          <w:noProof/>
          <w:kern w:val="2"/>
          <w:sz w:val="24"/>
          <w:szCs w:val="24"/>
          <w14:ligatures w14:val="standardContextual"/>
        </w:rPr>
      </w:pPr>
      <w:r w:rsidRPr="00D12C6F">
        <w:rPr>
          <w:b/>
          <w:position w:val="-1"/>
          <w:sz w:val="20"/>
        </w:rPr>
        <w:fldChar w:fldCharType="begin"/>
      </w:r>
      <w:r w:rsidRPr="00D12C6F">
        <w:rPr>
          <w:b/>
          <w:position w:val="-1"/>
          <w:sz w:val="20"/>
        </w:rPr>
        <w:instrText xml:space="preserve"> TOC \o "2-2" \h \z \t "Heading 3,3" </w:instrText>
      </w:r>
      <w:r w:rsidRPr="00D12C6F">
        <w:rPr>
          <w:b/>
          <w:position w:val="-1"/>
          <w:sz w:val="20"/>
        </w:rPr>
        <w:fldChar w:fldCharType="separate"/>
      </w:r>
      <w:hyperlink w:anchor="_Toc228987372" w:history="1">
        <w:r w:rsidR="004423EC" w:rsidRPr="004F22BC">
          <w:rPr>
            <w:rStyle w:val="Hyperlink"/>
            <w:rFonts w:eastAsia="Arial"/>
            <w:noProof/>
          </w:rPr>
          <w:t>Overview</w:t>
        </w:r>
        <w:r w:rsidR="004423EC">
          <w:rPr>
            <w:noProof/>
            <w:webHidden/>
          </w:rPr>
          <w:tab/>
        </w:r>
        <w:r w:rsidR="004423EC">
          <w:rPr>
            <w:noProof/>
            <w:webHidden/>
          </w:rPr>
          <w:fldChar w:fldCharType="begin"/>
        </w:r>
        <w:r w:rsidR="004423EC">
          <w:rPr>
            <w:noProof/>
            <w:webHidden/>
          </w:rPr>
          <w:instrText xml:space="preserve"> PAGEREF _Toc228987372 \h </w:instrText>
        </w:r>
        <w:r w:rsidR="004423EC">
          <w:rPr>
            <w:noProof/>
            <w:webHidden/>
          </w:rPr>
        </w:r>
        <w:r w:rsidR="004423EC">
          <w:rPr>
            <w:noProof/>
            <w:webHidden/>
          </w:rPr>
          <w:fldChar w:fldCharType="separate"/>
        </w:r>
        <w:r w:rsidR="00AE1DE4">
          <w:rPr>
            <w:noProof/>
            <w:webHidden/>
          </w:rPr>
          <w:t>291</w:t>
        </w:r>
        <w:r w:rsidR="004423EC">
          <w:rPr>
            <w:noProof/>
            <w:webHidden/>
          </w:rPr>
          <w:fldChar w:fldCharType="end"/>
        </w:r>
      </w:hyperlink>
    </w:p>
    <w:p w14:paraId="0663C56A" w14:textId="227CE19C"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73" w:history="1">
        <w:r w:rsidRPr="004F22BC">
          <w:rPr>
            <w:rStyle w:val="Hyperlink"/>
            <w:noProof/>
          </w:rPr>
          <w:t>The risks associated with climate change</w:t>
        </w:r>
        <w:r>
          <w:rPr>
            <w:noProof/>
            <w:webHidden/>
          </w:rPr>
          <w:tab/>
        </w:r>
        <w:r>
          <w:rPr>
            <w:noProof/>
            <w:webHidden/>
          </w:rPr>
          <w:fldChar w:fldCharType="begin"/>
        </w:r>
        <w:r>
          <w:rPr>
            <w:noProof/>
            <w:webHidden/>
          </w:rPr>
          <w:instrText xml:space="preserve"> PAGEREF _Toc228987373 \h </w:instrText>
        </w:r>
        <w:r>
          <w:rPr>
            <w:noProof/>
            <w:webHidden/>
          </w:rPr>
        </w:r>
        <w:r>
          <w:rPr>
            <w:noProof/>
            <w:webHidden/>
          </w:rPr>
          <w:fldChar w:fldCharType="separate"/>
        </w:r>
        <w:r w:rsidR="00AE1DE4">
          <w:rPr>
            <w:noProof/>
            <w:webHidden/>
          </w:rPr>
          <w:t>292</w:t>
        </w:r>
        <w:r>
          <w:rPr>
            <w:noProof/>
            <w:webHidden/>
          </w:rPr>
          <w:fldChar w:fldCharType="end"/>
        </w:r>
      </w:hyperlink>
    </w:p>
    <w:p w14:paraId="3C992AA8" w14:textId="789161FD"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74" w:history="1">
        <w:r w:rsidRPr="004F22BC">
          <w:rPr>
            <w:rStyle w:val="Hyperlink"/>
            <w:rFonts w:eastAsia="Arial"/>
            <w:noProof/>
          </w:rPr>
          <w:t>Specialist direct Investment Vehicles</w:t>
        </w:r>
        <w:r>
          <w:rPr>
            <w:noProof/>
            <w:webHidden/>
          </w:rPr>
          <w:tab/>
        </w:r>
        <w:r>
          <w:rPr>
            <w:noProof/>
            <w:webHidden/>
          </w:rPr>
          <w:fldChar w:fldCharType="begin"/>
        </w:r>
        <w:r>
          <w:rPr>
            <w:noProof/>
            <w:webHidden/>
          </w:rPr>
          <w:instrText xml:space="preserve"> PAGEREF _Toc228987374 \h </w:instrText>
        </w:r>
        <w:r>
          <w:rPr>
            <w:noProof/>
            <w:webHidden/>
          </w:rPr>
        </w:r>
        <w:r>
          <w:rPr>
            <w:noProof/>
            <w:webHidden/>
          </w:rPr>
          <w:fldChar w:fldCharType="separate"/>
        </w:r>
        <w:r w:rsidR="00AE1DE4">
          <w:rPr>
            <w:noProof/>
            <w:webHidden/>
          </w:rPr>
          <w:t>293</w:t>
        </w:r>
        <w:r>
          <w:rPr>
            <w:noProof/>
            <w:webHidden/>
          </w:rPr>
          <w:fldChar w:fldCharType="end"/>
        </w:r>
      </w:hyperlink>
    </w:p>
    <w:p w14:paraId="5B063CE1" w14:textId="68CF1820"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75" w:history="1">
        <w:r w:rsidRPr="004F22BC">
          <w:rPr>
            <w:rStyle w:val="Hyperlink"/>
            <w:rFonts w:eastAsia="Arial"/>
            <w:noProof/>
          </w:rPr>
          <w:t>Specific risks to the budget</w:t>
        </w:r>
        <w:r>
          <w:rPr>
            <w:noProof/>
            <w:webHidden/>
          </w:rPr>
          <w:tab/>
        </w:r>
        <w:r>
          <w:rPr>
            <w:noProof/>
            <w:webHidden/>
          </w:rPr>
          <w:fldChar w:fldCharType="begin"/>
        </w:r>
        <w:r>
          <w:rPr>
            <w:noProof/>
            <w:webHidden/>
          </w:rPr>
          <w:instrText xml:space="preserve"> PAGEREF _Toc228987375 \h </w:instrText>
        </w:r>
        <w:r>
          <w:rPr>
            <w:noProof/>
            <w:webHidden/>
          </w:rPr>
        </w:r>
        <w:r>
          <w:rPr>
            <w:noProof/>
            <w:webHidden/>
          </w:rPr>
          <w:fldChar w:fldCharType="separate"/>
        </w:r>
        <w:r w:rsidR="00AE1DE4">
          <w:rPr>
            <w:noProof/>
            <w:webHidden/>
          </w:rPr>
          <w:t>293</w:t>
        </w:r>
        <w:r>
          <w:rPr>
            <w:noProof/>
            <w:webHidden/>
          </w:rPr>
          <w:fldChar w:fldCharType="end"/>
        </w:r>
      </w:hyperlink>
    </w:p>
    <w:p w14:paraId="195A7961" w14:textId="296B0C78" w:rsidR="004423EC" w:rsidRDefault="004423EC">
      <w:pPr>
        <w:pStyle w:val="TOC2"/>
        <w:rPr>
          <w:rFonts w:asciiTheme="minorHAnsi" w:eastAsiaTheme="minorEastAsia" w:hAnsiTheme="minorHAnsi" w:cstheme="minorBidi"/>
          <w:noProof/>
          <w:kern w:val="2"/>
          <w:sz w:val="24"/>
          <w:szCs w:val="24"/>
          <w14:ligatures w14:val="standardContextual"/>
        </w:rPr>
      </w:pPr>
      <w:hyperlink w:anchor="_Toc228987376" w:history="1">
        <w:r w:rsidRPr="004F22BC">
          <w:rPr>
            <w:rStyle w:val="Hyperlink"/>
            <w:noProof/>
          </w:rPr>
          <w:t>Agriculture, Fisheries and Forestry</w:t>
        </w:r>
        <w:r>
          <w:rPr>
            <w:noProof/>
            <w:webHidden/>
          </w:rPr>
          <w:tab/>
        </w:r>
        <w:r>
          <w:rPr>
            <w:noProof/>
            <w:webHidden/>
          </w:rPr>
          <w:fldChar w:fldCharType="begin"/>
        </w:r>
        <w:r>
          <w:rPr>
            <w:noProof/>
            <w:webHidden/>
          </w:rPr>
          <w:instrText xml:space="preserve"> PAGEREF _Toc228987376 \h </w:instrText>
        </w:r>
        <w:r>
          <w:rPr>
            <w:noProof/>
            <w:webHidden/>
          </w:rPr>
        </w:r>
        <w:r>
          <w:rPr>
            <w:noProof/>
            <w:webHidden/>
          </w:rPr>
          <w:fldChar w:fldCharType="separate"/>
        </w:r>
        <w:r w:rsidR="00AE1DE4">
          <w:rPr>
            <w:noProof/>
            <w:webHidden/>
          </w:rPr>
          <w:t>300</w:t>
        </w:r>
        <w:r>
          <w:rPr>
            <w:noProof/>
            <w:webHidden/>
          </w:rPr>
          <w:fldChar w:fldCharType="end"/>
        </w:r>
      </w:hyperlink>
    </w:p>
    <w:p w14:paraId="3EEF3875" w14:textId="0747DE7C"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77" w:history="1">
        <w:r w:rsidRPr="004F22BC">
          <w:rPr>
            <w:rStyle w:val="Hyperlink"/>
            <w:noProof/>
          </w:rPr>
          <w:t>Contingent liabilities – unquantifiable</w:t>
        </w:r>
        <w:r>
          <w:rPr>
            <w:noProof/>
            <w:webHidden/>
          </w:rPr>
          <w:tab/>
        </w:r>
        <w:r>
          <w:rPr>
            <w:noProof/>
            <w:webHidden/>
          </w:rPr>
          <w:fldChar w:fldCharType="begin"/>
        </w:r>
        <w:r>
          <w:rPr>
            <w:noProof/>
            <w:webHidden/>
          </w:rPr>
          <w:instrText xml:space="preserve"> PAGEREF _Toc228987377 \h </w:instrText>
        </w:r>
        <w:r>
          <w:rPr>
            <w:noProof/>
            <w:webHidden/>
          </w:rPr>
        </w:r>
        <w:r>
          <w:rPr>
            <w:noProof/>
            <w:webHidden/>
          </w:rPr>
          <w:fldChar w:fldCharType="separate"/>
        </w:r>
        <w:r w:rsidR="00AE1DE4">
          <w:rPr>
            <w:noProof/>
            <w:webHidden/>
          </w:rPr>
          <w:t>300</w:t>
        </w:r>
        <w:r>
          <w:rPr>
            <w:noProof/>
            <w:webHidden/>
          </w:rPr>
          <w:fldChar w:fldCharType="end"/>
        </w:r>
      </w:hyperlink>
    </w:p>
    <w:p w14:paraId="7A55BF82" w14:textId="05447C8B" w:rsidR="004423EC" w:rsidRDefault="004423EC">
      <w:pPr>
        <w:pStyle w:val="TOC2"/>
        <w:rPr>
          <w:rFonts w:asciiTheme="minorHAnsi" w:eastAsiaTheme="minorEastAsia" w:hAnsiTheme="minorHAnsi" w:cstheme="minorBidi"/>
          <w:noProof/>
          <w:kern w:val="2"/>
          <w:sz w:val="24"/>
          <w:szCs w:val="24"/>
          <w14:ligatures w14:val="standardContextual"/>
        </w:rPr>
      </w:pPr>
      <w:hyperlink w:anchor="_Toc228987378" w:history="1">
        <w:r w:rsidRPr="004F22BC">
          <w:rPr>
            <w:rStyle w:val="Hyperlink"/>
            <w:noProof/>
          </w:rPr>
          <w:t>Attorney</w:t>
        </w:r>
        <w:r w:rsidR="00880FAB">
          <w:rPr>
            <w:rStyle w:val="Hyperlink"/>
            <w:noProof/>
          </w:rPr>
          <w:noBreakHyphen/>
        </w:r>
        <w:r w:rsidRPr="004F22BC">
          <w:rPr>
            <w:rStyle w:val="Hyperlink"/>
            <w:noProof/>
          </w:rPr>
          <w:t>General</w:t>
        </w:r>
        <w:r w:rsidR="00880FAB">
          <w:rPr>
            <w:rStyle w:val="Hyperlink"/>
            <w:noProof/>
          </w:rPr>
          <w:t>’</w:t>
        </w:r>
        <w:r w:rsidRPr="004F22BC">
          <w:rPr>
            <w:rStyle w:val="Hyperlink"/>
            <w:noProof/>
          </w:rPr>
          <w:t>s</w:t>
        </w:r>
        <w:r>
          <w:rPr>
            <w:noProof/>
            <w:webHidden/>
          </w:rPr>
          <w:tab/>
        </w:r>
        <w:r>
          <w:rPr>
            <w:noProof/>
            <w:webHidden/>
          </w:rPr>
          <w:fldChar w:fldCharType="begin"/>
        </w:r>
        <w:r>
          <w:rPr>
            <w:noProof/>
            <w:webHidden/>
          </w:rPr>
          <w:instrText xml:space="preserve"> PAGEREF _Toc228987378 \h </w:instrText>
        </w:r>
        <w:r>
          <w:rPr>
            <w:noProof/>
            <w:webHidden/>
          </w:rPr>
        </w:r>
        <w:r>
          <w:rPr>
            <w:noProof/>
            <w:webHidden/>
          </w:rPr>
          <w:fldChar w:fldCharType="separate"/>
        </w:r>
        <w:r w:rsidR="00AE1DE4">
          <w:rPr>
            <w:noProof/>
            <w:webHidden/>
          </w:rPr>
          <w:t>301</w:t>
        </w:r>
        <w:r>
          <w:rPr>
            <w:noProof/>
            <w:webHidden/>
          </w:rPr>
          <w:fldChar w:fldCharType="end"/>
        </w:r>
      </w:hyperlink>
    </w:p>
    <w:p w14:paraId="46A0EAB8" w14:textId="2437A61A"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79" w:history="1">
        <w:r w:rsidRPr="004F22BC">
          <w:rPr>
            <w:rStyle w:val="Hyperlink"/>
            <w:noProof/>
          </w:rPr>
          <w:t>Contingent liabilities – unquantifiable</w:t>
        </w:r>
        <w:r>
          <w:rPr>
            <w:noProof/>
            <w:webHidden/>
          </w:rPr>
          <w:tab/>
        </w:r>
        <w:r>
          <w:rPr>
            <w:noProof/>
            <w:webHidden/>
          </w:rPr>
          <w:fldChar w:fldCharType="begin"/>
        </w:r>
        <w:r>
          <w:rPr>
            <w:noProof/>
            <w:webHidden/>
          </w:rPr>
          <w:instrText xml:space="preserve"> PAGEREF _Toc228987379 \h </w:instrText>
        </w:r>
        <w:r>
          <w:rPr>
            <w:noProof/>
            <w:webHidden/>
          </w:rPr>
        </w:r>
        <w:r>
          <w:rPr>
            <w:noProof/>
            <w:webHidden/>
          </w:rPr>
          <w:fldChar w:fldCharType="separate"/>
        </w:r>
        <w:r w:rsidR="00AE1DE4">
          <w:rPr>
            <w:noProof/>
            <w:webHidden/>
          </w:rPr>
          <w:t>301</w:t>
        </w:r>
        <w:r>
          <w:rPr>
            <w:noProof/>
            <w:webHidden/>
          </w:rPr>
          <w:fldChar w:fldCharType="end"/>
        </w:r>
      </w:hyperlink>
    </w:p>
    <w:p w14:paraId="26595E80" w14:textId="46517A0B" w:rsidR="004423EC" w:rsidRDefault="004423EC">
      <w:pPr>
        <w:pStyle w:val="TOC2"/>
        <w:rPr>
          <w:rFonts w:asciiTheme="minorHAnsi" w:eastAsiaTheme="minorEastAsia" w:hAnsiTheme="minorHAnsi" w:cstheme="minorBidi"/>
          <w:noProof/>
          <w:kern w:val="2"/>
          <w:sz w:val="24"/>
          <w:szCs w:val="24"/>
          <w14:ligatures w14:val="standardContextual"/>
        </w:rPr>
      </w:pPr>
      <w:hyperlink w:anchor="_Toc228987380" w:history="1">
        <w:r w:rsidRPr="004F22BC">
          <w:rPr>
            <w:rStyle w:val="Hyperlink"/>
            <w:noProof/>
          </w:rPr>
          <w:t>Climate Change, Energy, the Environment and Water</w:t>
        </w:r>
        <w:r>
          <w:rPr>
            <w:noProof/>
            <w:webHidden/>
          </w:rPr>
          <w:tab/>
        </w:r>
        <w:r>
          <w:rPr>
            <w:noProof/>
            <w:webHidden/>
          </w:rPr>
          <w:fldChar w:fldCharType="begin"/>
        </w:r>
        <w:r>
          <w:rPr>
            <w:noProof/>
            <w:webHidden/>
          </w:rPr>
          <w:instrText xml:space="preserve"> PAGEREF _Toc228987380 \h </w:instrText>
        </w:r>
        <w:r>
          <w:rPr>
            <w:noProof/>
            <w:webHidden/>
          </w:rPr>
        </w:r>
        <w:r>
          <w:rPr>
            <w:noProof/>
            <w:webHidden/>
          </w:rPr>
          <w:fldChar w:fldCharType="separate"/>
        </w:r>
        <w:r w:rsidR="00AE1DE4">
          <w:rPr>
            <w:noProof/>
            <w:webHidden/>
          </w:rPr>
          <w:t>302</w:t>
        </w:r>
        <w:r>
          <w:rPr>
            <w:noProof/>
            <w:webHidden/>
          </w:rPr>
          <w:fldChar w:fldCharType="end"/>
        </w:r>
      </w:hyperlink>
    </w:p>
    <w:p w14:paraId="4D8B1D2E" w14:textId="7A75437A"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81" w:history="1">
        <w:r w:rsidRPr="004F22BC">
          <w:rPr>
            <w:rStyle w:val="Hyperlink"/>
            <w:noProof/>
          </w:rPr>
          <w:t>Fiscal Risks</w:t>
        </w:r>
        <w:r>
          <w:rPr>
            <w:noProof/>
            <w:webHidden/>
          </w:rPr>
          <w:tab/>
        </w:r>
        <w:r>
          <w:rPr>
            <w:noProof/>
            <w:webHidden/>
          </w:rPr>
          <w:fldChar w:fldCharType="begin"/>
        </w:r>
        <w:r>
          <w:rPr>
            <w:noProof/>
            <w:webHidden/>
          </w:rPr>
          <w:instrText xml:space="preserve"> PAGEREF _Toc228987381 \h </w:instrText>
        </w:r>
        <w:r>
          <w:rPr>
            <w:noProof/>
            <w:webHidden/>
          </w:rPr>
        </w:r>
        <w:r>
          <w:rPr>
            <w:noProof/>
            <w:webHidden/>
          </w:rPr>
          <w:fldChar w:fldCharType="separate"/>
        </w:r>
        <w:r w:rsidR="00AE1DE4">
          <w:rPr>
            <w:noProof/>
            <w:webHidden/>
          </w:rPr>
          <w:t>302</w:t>
        </w:r>
        <w:r>
          <w:rPr>
            <w:noProof/>
            <w:webHidden/>
          </w:rPr>
          <w:fldChar w:fldCharType="end"/>
        </w:r>
      </w:hyperlink>
    </w:p>
    <w:p w14:paraId="6CEB4EE4" w14:textId="5120D921"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82" w:history="1">
        <w:r w:rsidRPr="004F22BC">
          <w:rPr>
            <w:rStyle w:val="Hyperlink"/>
            <w:noProof/>
          </w:rPr>
          <w:t>Significant but remote contingencies</w:t>
        </w:r>
        <w:r>
          <w:rPr>
            <w:noProof/>
            <w:webHidden/>
          </w:rPr>
          <w:tab/>
        </w:r>
        <w:r>
          <w:rPr>
            <w:noProof/>
            <w:webHidden/>
          </w:rPr>
          <w:fldChar w:fldCharType="begin"/>
        </w:r>
        <w:r>
          <w:rPr>
            <w:noProof/>
            <w:webHidden/>
          </w:rPr>
          <w:instrText xml:space="preserve"> PAGEREF _Toc228987382 \h </w:instrText>
        </w:r>
        <w:r>
          <w:rPr>
            <w:noProof/>
            <w:webHidden/>
          </w:rPr>
        </w:r>
        <w:r>
          <w:rPr>
            <w:noProof/>
            <w:webHidden/>
          </w:rPr>
          <w:fldChar w:fldCharType="separate"/>
        </w:r>
        <w:r w:rsidR="00AE1DE4">
          <w:rPr>
            <w:noProof/>
            <w:webHidden/>
          </w:rPr>
          <w:t>302</w:t>
        </w:r>
        <w:r>
          <w:rPr>
            <w:noProof/>
            <w:webHidden/>
          </w:rPr>
          <w:fldChar w:fldCharType="end"/>
        </w:r>
      </w:hyperlink>
    </w:p>
    <w:p w14:paraId="1A3E7139" w14:textId="726DCC86"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83" w:history="1">
        <w:r w:rsidRPr="004F22BC">
          <w:rPr>
            <w:rStyle w:val="Hyperlink"/>
            <w:rFonts w:eastAsia="Arial"/>
            <w:noProof/>
          </w:rPr>
          <w:t>Contingent liabilities – unquantifiable</w:t>
        </w:r>
        <w:r>
          <w:rPr>
            <w:noProof/>
            <w:webHidden/>
          </w:rPr>
          <w:tab/>
        </w:r>
        <w:r>
          <w:rPr>
            <w:noProof/>
            <w:webHidden/>
          </w:rPr>
          <w:fldChar w:fldCharType="begin"/>
        </w:r>
        <w:r>
          <w:rPr>
            <w:noProof/>
            <w:webHidden/>
          </w:rPr>
          <w:instrText xml:space="preserve"> PAGEREF _Toc228987383 \h </w:instrText>
        </w:r>
        <w:r>
          <w:rPr>
            <w:noProof/>
            <w:webHidden/>
          </w:rPr>
        </w:r>
        <w:r>
          <w:rPr>
            <w:noProof/>
            <w:webHidden/>
          </w:rPr>
          <w:fldChar w:fldCharType="separate"/>
        </w:r>
        <w:r w:rsidR="00AE1DE4">
          <w:rPr>
            <w:noProof/>
            <w:webHidden/>
          </w:rPr>
          <w:t>303</w:t>
        </w:r>
        <w:r>
          <w:rPr>
            <w:noProof/>
            <w:webHidden/>
          </w:rPr>
          <w:fldChar w:fldCharType="end"/>
        </w:r>
      </w:hyperlink>
    </w:p>
    <w:p w14:paraId="688A5CDD" w14:textId="7ACE21EA"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84" w:history="1">
        <w:r w:rsidRPr="004F22BC">
          <w:rPr>
            <w:rStyle w:val="Hyperlink"/>
            <w:rFonts w:eastAsia="Arial"/>
            <w:noProof/>
          </w:rPr>
          <w:t>Contingent liabilities – quantifiable</w:t>
        </w:r>
        <w:r>
          <w:rPr>
            <w:noProof/>
            <w:webHidden/>
          </w:rPr>
          <w:tab/>
        </w:r>
        <w:r>
          <w:rPr>
            <w:noProof/>
            <w:webHidden/>
          </w:rPr>
          <w:fldChar w:fldCharType="begin"/>
        </w:r>
        <w:r>
          <w:rPr>
            <w:noProof/>
            <w:webHidden/>
          </w:rPr>
          <w:instrText xml:space="preserve"> PAGEREF _Toc228987384 \h </w:instrText>
        </w:r>
        <w:r>
          <w:rPr>
            <w:noProof/>
            <w:webHidden/>
          </w:rPr>
        </w:r>
        <w:r>
          <w:rPr>
            <w:noProof/>
            <w:webHidden/>
          </w:rPr>
          <w:fldChar w:fldCharType="separate"/>
        </w:r>
        <w:r w:rsidR="00AE1DE4">
          <w:rPr>
            <w:noProof/>
            <w:webHidden/>
          </w:rPr>
          <w:t>305</w:t>
        </w:r>
        <w:r>
          <w:rPr>
            <w:noProof/>
            <w:webHidden/>
          </w:rPr>
          <w:fldChar w:fldCharType="end"/>
        </w:r>
      </w:hyperlink>
    </w:p>
    <w:p w14:paraId="1F197D3A" w14:textId="56A5069B"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85" w:history="1">
        <w:r w:rsidRPr="004F22BC">
          <w:rPr>
            <w:rStyle w:val="Hyperlink"/>
            <w:noProof/>
          </w:rPr>
          <w:t>Contingent assets – quantifiable</w:t>
        </w:r>
        <w:r>
          <w:rPr>
            <w:noProof/>
            <w:webHidden/>
          </w:rPr>
          <w:tab/>
        </w:r>
        <w:r>
          <w:rPr>
            <w:noProof/>
            <w:webHidden/>
          </w:rPr>
          <w:fldChar w:fldCharType="begin"/>
        </w:r>
        <w:r>
          <w:rPr>
            <w:noProof/>
            <w:webHidden/>
          </w:rPr>
          <w:instrText xml:space="preserve"> PAGEREF _Toc228987385 \h </w:instrText>
        </w:r>
        <w:r>
          <w:rPr>
            <w:noProof/>
            <w:webHidden/>
          </w:rPr>
        </w:r>
        <w:r>
          <w:rPr>
            <w:noProof/>
            <w:webHidden/>
          </w:rPr>
          <w:fldChar w:fldCharType="separate"/>
        </w:r>
        <w:r w:rsidR="00AE1DE4">
          <w:rPr>
            <w:noProof/>
            <w:webHidden/>
          </w:rPr>
          <w:t>306</w:t>
        </w:r>
        <w:r>
          <w:rPr>
            <w:noProof/>
            <w:webHidden/>
          </w:rPr>
          <w:fldChar w:fldCharType="end"/>
        </w:r>
      </w:hyperlink>
    </w:p>
    <w:p w14:paraId="2FE5E5F9" w14:textId="2A369131" w:rsidR="004423EC" w:rsidRDefault="004423EC" w:rsidP="00E34F04">
      <w:pPr>
        <w:pStyle w:val="TOC2"/>
        <w:tabs>
          <w:tab w:val="clear" w:pos="992"/>
        </w:tabs>
        <w:rPr>
          <w:rFonts w:asciiTheme="minorHAnsi" w:eastAsiaTheme="minorEastAsia" w:hAnsiTheme="minorHAnsi" w:cstheme="minorBidi"/>
          <w:noProof/>
          <w:kern w:val="2"/>
          <w:sz w:val="24"/>
          <w:szCs w:val="24"/>
          <w14:ligatures w14:val="standardContextual"/>
        </w:rPr>
      </w:pPr>
      <w:hyperlink w:anchor="_Toc228987386" w:history="1">
        <w:r w:rsidRPr="004F22BC">
          <w:rPr>
            <w:rStyle w:val="Hyperlink"/>
            <w:noProof/>
          </w:rPr>
          <w:t>Defence</w:t>
        </w:r>
        <w:r>
          <w:rPr>
            <w:noProof/>
            <w:webHidden/>
          </w:rPr>
          <w:tab/>
        </w:r>
        <w:r>
          <w:rPr>
            <w:noProof/>
            <w:webHidden/>
          </w:rPr>
          <w:fldChar w:fldCharType="begin"/>
        </w:r>
        <w:r>
          <w:rPr>
            <w:noProof/>
            <w:webHidden/>
          </w:rPr>
          <w:instrText xml:space="preserve"> PAGEREF _Toc228987386 \h </w:instrText>
        </w:r>
        <w:r>
          <w:rPr>
            <w:noProof/>
            <w:webHidden/>
          </w:rPr>
        </w:r>
        <w:r>
          <w:rPr>
            <w:noProof/>
            <w:webHidden/>
          </w:rPr>
          <w:fldChar w:fldCharType="separate"/>
        </w:r>
        <w:r w:rsidR="00AE1DE4">
          <w:rPr>
            <w:noProof/>
            <w:webHidden/>
          </w:rPr>
          <w:t>306</w:t>
        </w:r>
        <w:r>
          <w:rPr>
            <w:noProof/>
            <w:webHidden/>
          </w:rPr>
          <w:fldChar w:fldCharType="end"/>
        </w:r>
      </w:hyperlink>
    </w:p>
    <w:p w14:paraId="21B45B60" w14:textId="0C66F99C"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87" w:history="1">
        <w:r w:rsidRPr="004F22BC">
          <w:rPr>
            <w:rStyle w:val="Hyperlink"/>
            <w:noProof/>
          </w:rPr>
          <w:t>Fiscal Risks</w:t>
        </w:r>
        <w:r>
          <w:rPr>
            <w:noProof/>
            <w:webHidden/>
          </w:rPr>
          <w:tab/>
        </w:r>
        <w:r>
          <w:rPr>
            <w:noProof/>
            <w:webHidden/>
          </w:rPr>
          <w:fldChar w:fldCharType="begin"/>
        </w:r>
        <w:r>
          <w:rPr>
            <w:noProof/>
            <w:webHidden/>
          </w:rPr>
          <w:instrText xml:space="preserve"> PAGEREF _Toc228987387 \h </w:instrText>
        </w:r>
        <w:r>
          <w:rPr>
            <w:noProof/>
            <w:webHidden/>
          </w:rPr>
        </w:r>
        <w:r>
          <w:rPr>
            <w:noProof/>
            <w:webHidden/>
          </w:rPr>
          <w:fldChar w:fldCharType="separate"/>
        </w:r>
        <w:r w:rsidR="00AE1DE4">
          <w:rPr>
            <w:noProof/>
            <w:webHidden/>
          </w:rPr>
          <w:t>306</w:t>
        </w:r>
        <w:r>
          <w:rPr>
            <w:noProof/>
            <w:webHidden/>
          </w:rPr>
          <w:fldChar w:fldCharType="end"/>
        </w:r>
      </w:hyperlink>
    </w:p>
    <w:p w14:paraId="1F222427" w14:textId="5B52EE4B"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88" w:history="1">
        <w:r w:rsidRPr="004F22BC">
          <w:rPr>
            <w:rStyle w:val="Hyperlink"/>
            <w:noProof/>
          </w:rPr>
          <w:t>Significant but remote contingencies</w:t>
        </w:r>
        <w:r>
          <w:rPr>
            <w:noProof/>
            <w:webHidden/>
          </w:rPr>
          <w:tab/>
        </w:r>
        <w:r>
          <w:rPr>
            <w:noProof/>
            <w:webHidden/>
          </w:rPr>
          <w:fldChar w:fldCharType="begin"/>
        </w:r>
        <w:r>
          <w:rPr>
            <w:noProof/>
            <w:webHidden/>
          </w:rPr>
          <w:instrText xml:space="preserve"> PAGEREF _Toc228987388 \h </w:instrText>
        </w:r>
        <w:r>
          <w:rPr>
            <w:noProof/>
            <w:webHidden/>
          </w:rPr>
        </w:r>
        <w:r>
          <w:rPr>
            <w:noProof/>
            <w:webHidden/>
          </w:rPr>
          <w:fldChar w:fldCharType="separate"/>
        </w:r>
        <w:r w:rsidR="00AE1DE4">
          <w:rPr>
            <w:noProof/>
            <w:webHidden/>
          </w:rPr>
          <w:t>307</w:t>
        </w:r>
        <w:r>
          <w:rPr>
            <w:noProof/>
            <w:webHidden/>
          </w:rPr>
          <w:fldChar w:fldCharType="end"/>
        </w:r>
      </w:hyperlink>
    </w:p>
    <w:p w14:paraId="7BD1C16F" w14:textId="0AC78039"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89" w:history="1">
        <w:r w:rsidRPr="004F22BC">
          <w:rPr>
            <w:rStyle w:val="Hyperlink"/>
            <w:noProof/>
          </w:rPr>
          <w:t>Contingent liabilities – unquantifiable</w:t>
        </w:r>
        <w:r>
          <w:rPr>
            <w:noProof/>
            <w:webHidden/>
          </w:rPr>
          <w:tab/>
        </w:r>
        <w:r>
          <w:rPr>
            <w:noProof/>
            <w:webHidden/>
          </w:rPr>
          <w:fldChar w:fldCharType="begin"/>
        </w:r>
        <w:r>
          <w:rPr>
            <w:noProof/>
            <w:webHidden/>
          </w:rPr>
          <w:instrText xml:space="preserve"> PAGEREF _Toc228987389 \h </w:instrText>
        </w:r>
        <w:r>
          <w:rPr>
            <w:noProof/>
            <w:webHidden/>
          </w:rPr>
        </w:r>
        <w:r>
          <w:rPr>
            <w:noProof/>
            <w:webHidden/>
          </w:rPr>
          <w:fldChar w:fldCharType="separate"/>
        </w:r>
        <w:r w:rsidR="00AE1DE4">
          <w:rPr>
            <w:noProof/>
            <w:webHidden/>
          </w:rPr>
          <w:t>307</w:t>
        </w:r>
        <w:r>
          <w:rPr>
            <w:noProof/>
            <w:webHidden/>
          </w:rPr>
          <w:fldChar w:fldCharType="end"/>
        </w:r>
      </w:hyperlink>
    </w:p>
    <w:p w14:paraId="38F6B44A" w14:textId="57C71265" w:rsidR="004423EC" w:rsidRDefault="004423EC">
      <w:pPr>
        <w:pStyle w:val="TOC2"/>
        <w:rPr>
          <w:rFonts w:asciiTheme="minorHAnsi" w:eastAsiaTheme="minorEastAsia" w:hAnsiTheme="minorHAnsi" w:cstheme="minorBidi"/>
          <w:noProof/>
          <w:kern w:val="2"/>
          <w:sz w:val="24"/>
          <w:szCs w:val="24"/>
          <w14:ligatures w14:val="standardContextual"/>
        </w:rPr>
      </w:pPr>
      <w:hyperlink w:anchor="_Toc228987390" w:history="1">
        <w:r w:rsidRPr="004F22BC">
          <w:rPr>
            <w:rStyle w:val="Hyperlink"/>
            <w:noProof/>
          </w:rPr>
          <w:t>Employment and Workplace Relations</w:t>
        </w:r>
        <w:r>
          <w:rPr>
            <w:noProof/>
            <w:webHidden/>
          </w:rPr>
          <w:tab/>
        </w:r>
        <w:r>
          <w:rPr>
            <w:noProof/>
            <w:webHidden/>
          </w:rPr>
          <w:fldChar w:fldCharType="begin"/>
        </w:r>
        <w:r>
          <w:rPr>
            <w:noProof/>
            <w:webHidden/>
          </w:rPr>
          <w:instrText xml:space="preserve"> PAGEREF _Toc228987390 \h </w:instrText>
        </w:r>
        <w:r>
          <w:rPr>
            <w:noProof/>
            <w:webHidden/>
          </w:rPr>
        </w:r>
        <w:r>
          <w:rPr>
            <w:noProof/>
            <w:webHidden/>
          </w:rPr>
          <w:fldChar w:fldCharType="separate"/>
        </w:r>
        <w:r w:rsidR="00AE1DE4">
          <w:rPr>
            <w:noProof/>
            <w:webHidden/>
          </w:rPr>
          <w:t>308</w:t>
        </w:r>
        <w:r>
          <w:rPr>
            <w:noProof/>
            <w:webHidden/>
          </w:rPr>
          <w:fldChar w:fldCharType="end"/>
        </w:r>
      </w:hyperlink>
    </w:p>
    <w:p w14:paraId="6B6F4330" w14:textId="6D36C1FB"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91" w:history="1">
        <w:r w:rsidRPr="004F22BC">
          <w:rPr>
            <w:rStyle w:val="Hyperlink"/>
            <w:noProof/>
          </w:rPr>
          <w:t>Fiscal Risks</w:t>
        </w:r>
        <w:r>
          <w:rPr>
            <w:noProof/>
            <w:webHidden/>
          </w:rPr>
          <w:tab/>
        </w:r>
        <w:r>
          <w:rPr>
            <w:noProof/>
            <w:webHidden/>
          </w:rPr>
          <w:fldChar w:fldCharType="begin"/>
        </w:r>
        <w:r>
          <w:rPr>
            <w:noProof/>
            <w:webHidden/>
          </w:rPr>
          <w:instrText xml:space="preserve"> PAGEREF _Toc228987391 \h </w:instrText>
        </w:r>
        <w:r>
          <w:rPr>
            <w:noProof/>
            <w:webHidden/>
          </w:rPr>
        </w:r>
        <w:r>
          <w:rPr>
            <w:noProof/>
            <w:webHidden/>
          </w:rPr>
          <w:fldChar w:fldCharType="separate"/>
        </w:r>
        <w:r w:rsidR="00AE1DE4">
          <w:rPr>
            <w:noProof/>
            <w:webHidden/>
          </w:rPr>
          <w:t>308</w:t>
        </w:r>
        <w:r>
          <w:rPr>
            <w:noProof/>
            <w:webHidden/>
          </w:rPr>
          <w:fldChar w:fldCharType="end"/>
        </w:r>
      </w:hyperlink>
    </w:p>
    <w:p w14:paraId="26716D25" w14:textId="29C8EAFD"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92" w:history="1">
        <w:r w:rsidRPr="004F22BC">
          <w:rPr>
            <w:rStyle w:val="Hyperlink"/>
            <w:noProof/>
          </w:rPr>
          <w:t>Contingent liabilities – unquantifiable</w:t>
        </w:r>
        <w:r>
          <w:rPr>
            <w:noProof/>
            <w:webHidden/>
          </w:rPr>
          <w:tab/>
        </w:r>
        <w:r>
          <w:rPr>
            <w:noProof/>
            <w:webHidden/>
          </w:rPr>
          <w:fldChar w:fldCharType="begin"/>
        </w:r>
        <w:r>
          <w:rPr>
            <w:noProof/>
            <w:webHidden/>
          </w:rPr>
          <w:instrText xml:space="preserve"> PAGEREF _Toc228987392 \h </w:instrText>
        </w:r>
        <w:r>
          <w:rPr>
            <w:noProof/>
            <w:webHidden/>
          </w:rPr>
        </w:r>
        <w:r>
          <w:rPr>
            <w:noProof/>
            <w:webHidden/>
          </w:rPr>
          <w:fldChar w:fldCharType="separate"/>
        </w:r>
        <w:r w:rsidR="00AE1DE4">
          <w:rPr>
            <w:noProof/>
            <w:webHidden/>
          </w:rPr>
          <w:t>308</w:t>
        </w:r>
        <w:r>
          <w:rPr>
            <w:noProof/>
            <w:webHidden/>
          </w:rPr>
          <w:fldChar w:fldCharType="end"/>
        </w:r>
      </w:hyperlink>
    </w:p>
    <w:p w14:paraId="6874DCB6" w14:textId="3CFA6059"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93" w:history="1">
        <w:r w:rsidRPr="004F22BC">
          <w:rPr>
            <w:rStyle w:val="Hyperlink"/>
            <w:noProof/>
          </w:rPr>
          <w:t>Contingent liabilities – quantifiable</w:t>
        </w:r>
        <w:r>
          <w:rPr>
            <w:noProof/>
            <w:webHidden/>
          </w:rPr>
          <w:tab/>
        </w:r>
        <w:r>
          <w:rPr>
            <w:noProof/>
            <w:webHidden/>
          </w:rPr>
          <w:fldChar w:fldCharType="begin"/>
        </w:r>
        <w:r>
          <w:rPr>
            <w:noProof/>
            <w:webHidden/>
          </w:rPr>
          <w:instrText xml:space="preserve"> PAGEREF _Toc228987393 \h </w:instrText>
        </w:r>
        <w:r>
          <w:rPr>
            <w:noProof/>
            <w:webHidden/>
          </w:rPr>
        </w:r>
        <w:r>
          <w:rPr>
            <w:noProof/>
            <w:webHidden/>
          </w:rPr>
          <w:fldChar w:fldCharType="separate"/>
        </w:r>
        <w:r w:rsidR="00AE1DE4">
          <w:rPr>
            <w:noProof/>
            <w:webHidden/>
          </w:rPr>
          <w:t>308</w:t>
        </w:r>
        <w:r>
          <w:rPr>
            <w:noProof/>
            <w:webHidden/>
          </w:rPr>
          <w:fldChar w:fldCharType="end"/>
        </w:r>
      </w:hyperlink>
    </w:p>
    <w:p w14:paraId="66441BC4" w14:textId="2F6022D7" w:rsidR="004423EC" w:rsidRDefault="004423EC" w:rsidP="00E34F04">
      <w:pPr>
        <w:pStyle w:val="TOC2"/>
        <w:tabs>
          <w:tab w:val="clear" w:pos="992"/>
        </w:tabs>
        <w:rPr>
          <w:rFonts w:asciiTheme="minorHAnsi" w:eastAsiaTheme="minorEastAsia" w:hAnsiTheme="minorHAnsi" w:cstheme="minorBidi"/>
          <w:noProof/>
          <w:kern w:val="2"/>
          <w:sz w:val="24"/>
          <w:szCs w:val="24"/>
          <w14:ligatures w14:val="standardContextual"/>
        </w:rPr>
      </w:pPr>
      <w:hyperlink w:anchor="_Toc228987394" w:history="1">
        <w:r w:rsidRPr="004F22BC">
          <w:rPr>
            <w:rStyle w:val="Hyperlink"/>
            <w:noProof/>
          </w:rPr>
          <w:t>Finance</w:t>
        </w:r>
        <w:r>
          <w:rPr>
            <w:noProof/>
            <w:webHidden/>
          </w:rPr>
          <w:tab/>
        </w:r>
        <w:r>
          <w:rPr>
            <w:noProof/>
            <w:webHidden/>
          </w:rPr>
          <w:fldChar w:fldCharType="begin"/>
        </w:r>
        <w:r>
          <w:rPr>
            <w:noProof/>
            <w:webHidden/>
          </w:rPr>
          <w:instrText xml:space="preserve"> PAGEREF _Toc228987394 \h </w:instrText>
        </w:r>
        <w:r>
          <w:rPr>
            <w:noProof/>
            <w:webHidden/>
          </w:rPr>
        </w:r>
        <w:r>
          <w:rPr>
            <w:noProof/>
            <w:webHidden/>
          </w:rPr>
          <w:fldChar w:fldCharType="separate"/>
        </w:r>
        <w:r w:rsidR="00AE1DE4">
          <w:rPr>
            <w:noProof/>
            <w:webHidden/>
          </w:rPr>
          <w:t>310</w:t>
        </w:r>
        <w:r>
          <w:rPr>
            <w:noProof/>
            <w:webHidden/>
          </w:rPr>
          <w:fldChar w:fldCharType="end"/>
        </w:r>
      </w:hyperlink>
    </w:p>
    <w:p w14:paraId="5DEA0C63" w14:textId="32778DEF"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95" w:history="1">
        <w:r w:rsidRPr="004F22BC">
          <w:rPr>
            <w:rStyle w:val="Hyperlink"/>
            <w:noProof/>
          </w:rPr>
          <w:t>Fiscal Risks</w:t>
        </w:r>
        <w:r>
          <w:rPr>
            <w:noProof/>
            <w:webHidden/>
          </w:rPr>
          <w:tab/>
        </w:r>
        <w:r>
          <w:rPr>
            <w:noProof/>
            <w:webHidden/>
          </w:rPr>
          <w:fldChar w:fldCharType="begin"/>
        </w:r>
        <w:r>
          <w:rPr>
            <w:noProof/>
            <w:webHidden/>
          </w:rPr>
          <w:instrText xml:space="preserve"> PAGEREF _Toc228987395 \h </w:instrText>
        </w:r>
        <w:r>
          <w:rPr>
            <w:noProof/>
            <w:webHidden/>
          </w:rPr>
        </w:r>
        <w:r>
          <w:rPr>
            <w:noProof/>
            <w:webHidden/>
          </w:rPr>
          <w:fldChar w:fldCharType="separate"/>
        </w:r>
        <w:r w:rsidR="00AE1DE4">
          <w:rPr>
            <w:noProof/>
            <w:webHidden/>
          </w:rPr>
          <w:t>310</w:t>
        </w:r>
        <w:r>
          <w:rPr>
            <w:noProof/>
            <w:webHidden/>
          </w:rPr>
          <w:fldChar w:fldCharType="end"/>
        </w:r>
      </w:hyperlink>
    </w:p>
    <w:p w14:paraId="76EA182A" w14:textId="4B45FF96"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96" w:history="1">
        <w:r w:rsidRPr="004F22BC">
          <w:rPr>
            <w:rStyle w:val="Hyperlink"/>
            <w:noProof/>
          </w:rPr>
          <w:t>Significant but remote contingencies</w:t>
        </w:r>
        <w:r>
          <w:rPr>
            <w:noProof/>
            <w:webHidden/>
          </w:rPr>
          <w:tab/>
        </w:r>
        <w:r>
          <w:rPr>
            <w:noProof/>
            <w:webHidden/>
          </w:rPr>
          <w:fldChar w:fldCharType="begin"/>
        </w:r>
        <w:r>
          <w:rPr>
            <w:noProof/>
            <w:webHidden/>
          </w:rPr>
          <w:instrText xml:space="preserve"> PAGEREF _Toc228987396 \h </w:instrText>
        </w:r>
        <w:r>
          <w:rPr>
            <w:noProof/>
            <w:webHidden/>
          </w:rPr>
        </w:r>
        <w:r>
          <w:rPr>
            <w:noProof/>
            <w:webHidden/>
          </w:rPr>
          <w:fldChar w:fldCharType="separate"/>
        </w:r>
        <w:r w:rsidR="00AE1DE4">
          <w:rPr>
            <w:noProof/>
            <w:webHidden/>
          </w:rPr>
          <w:t>310</w:t>
        </w:r>
        <w:r>
          <w:rPr>
            <w:noProof/>
            <w:webHidden/>
          </w:rPr>
          <w:fldChar w:fldCharType="end"/>
        </w:r>
      </w:hyperlink>
    </w:p>
    <w:p w14:paraId="0DADFA2C" w14:textId="3B776262"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97" w:history="1">
        <w:r w:rsidRPr="004F22BC">
          <w:rPr>
            <w:rStyle w:val="Hyperlink"/>
            <w:noProof/>
          </w:rPr>
          <w:t>Contingent liabilities – unquantifiable</w:t>
        </w:r>
        <w:r>
          <w:rPr>
            <w:noProof/>
            <w:webHidden/>
          </w:rPr>
          <w:tab/>
        </w:r>
        <w:r>
          <w:rPr>
            <w:noProof/>
            <w:webHidden/>
          </w:rPr>
          <w:fldChar w:fldCharType="begin"/>
        </w:r>
        <w:r>
          <w:rPr>
            <w:noProof/>
            <w:webHidden/>
          </w:rPr>
          <w:instrText xml:space="preserve"> PAGEREF _Toc228987397 \h </w:instrText>
        </w:r>
        <w:r>
          <w:rPr>
            <w:noProof/>
            <w:webHidden/>
          </w:rPr>
        </w:r>
        <w:r>
          <w:rPr>
            <w:noProof/>
            <w:webHidden/>
          </w:rPr>
          <w:fldChar w:fldCharType="separate"/>
        </w:r>
        <w:r w:rsidR="00AE1DE4">
          <w:rPr>
            <w:noProof/>
            <w:webHidden/>
          </w:rPr>
          <w:t>310</w:t>
        </w:r>
        <w:r>
          <w:rPr>
            <w:noProof/>
            <w:webHidden/>
          </w:rPr>
          <w:fldChar w:fldCharType="end"/>
        </w:r>
      </w:hyperlink>
    </w:p>
    <w:p w14:paraId="666327A6" w14:textId="7A515153" w:rsidR="004423EC" w:rsidRDefault="004423EC">
      <w:pPr>
        <w:pStyle w:val="TOC2"/>
        <w:rPr>
          <w:rFonts w:asciiTheme="minorHAnsi" w:eastAsiaTheme="minorEastAsia" w:hAnsiTheme="minorHAnsi" w:cstheme="minorBidi"/>
          <w:noProof/>
          <w:kern w:val="2"/>
          <w:sz w:val="24"/>
          <w:szCs w:val="24"/>
          <w14:ligatures w14:val="standardContextual"/>
        </w:rPr>
      </w:pPr>
      <w:hyperlink w:anchor="_Toc228987398" w:history="1">
        <w:r w:rsidRPr="004F22BC">
          <w:rPr>
            <w:rStyle w:val="Hyperlink"/>
            <w:noProof/>
          </w:rPr>
          <w:t>Foreign Affairs and Trade</w:t>
        </w:r>
        <w:r>
          <w:rPr>
            <w:noProof/>
            <w:webHidden/>
          </w:rPr>
          <w:tab/>
        </w:r>
        <w:r>
          <w:rPr>
            <w:noProof/>
            <w:webHidden/>
          </w:rPr>
          <w:fldChar w:fldCharType="begin"/>
        </w:r>
        <w:r>
          <w:rPr>
            <w:noProof/>
            <w:webHidden/>
          </w:rPr>
          <w:instrText xml:space="preserve"> PAGEREF _Toc228987398 \h </w:instrText>
        </w:r>
        <w:r>
          <w:rPr>
            <w:noProof/>
            <w:webHidden/>
          </w:rPr>
        </w:r>
        <w:r>
          <w:rPr>
            <w:noProof/>
            <w:webHidden/>
          </w:rPr>
          <w:fldChar w:fldCharType="separate"/>
        </w:r>
        <w:r w:rsidR="00AE1DE4">
          <w:rPr>
            <w:noProof/>
            <w:webHidden/>
          </w:rPr>
          <w:t>316</w:t>
        </w:r>
        <w:r>
          <w:rPr>
            <w:noProof/>
            <w:webHidden/>
          </w:rPr>
          <w:fldChar w:fldCharType="end"/>
        </w:r>
      </w:hyperlink>
    </w:p>
    <w:p w14:paraId="04F4F7F4" w14:textId="3D192CBC"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399" w:history="1">
        <w:r w:rsidRPr="004F22BC">
          <w:rPr>
            <w:rStyle w:val="Hyperlink"/>
            <w:noProof/>
          </w:rPr>
          <w:t>Fiscal Risks</w:t>
        </w:r>
        <w:r>
          <w:rPr>
            <w:noProof/>
            <w:webHidden/>
          </w:rPr>
          <w:tab/>
        </w:r>
        <w:r>
          <w:rPr>
            <w:noProof/>
            <w:webHidden/>
          </w:rPr>
          <w:fldChar w:fldCharType="begin"/>
        </w:r>
        <w:r>
          <w:rPr>
            <w:noProof/>
            <w:webHidden/>
          </w:rPr>
          <w:instrText xml:space="preserve"> PAGEREF _Toc228987399 \h </w:instrText>
        </w:r>
        <w:r>
          <w:rPr>
            <w:noProof/>
            <w:webHidden/>
          </w:rPr>
        </w:r>
        <w:r>
          <w:rPr>
            <w:noProof/>
            <w:webHidden/>
          </w:rPr>
          <w:fldChar w:fldCharType="separate"/>
        </w:r>
        <w:r w:rsidR="00AE1DE4">
          <w:rPr>
            <w:noProof/>
            <w:webHidden/>
          </w:rPr>
          <w:t>316</w:t>
        </w:r>
        <w:r>
          <w:rPr>
            <w:noProof/>
            <w:webHidden/>
          </w:rPr>
          <w:fldChar w:fldCharType="end"/>
        </w:r>
      </w:hyperlink>
    </w:p>
    <w:p w14:paraId="44D90DA7" w14:textId="720E6B08"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00" w:history="1">
        <w:r w:rsidRPr="004F22BC">
          <w:rPr>
            <w:rStyle w:val="Hyperlink"/>
            <w:noProof/>
          </w:rPr>
          <w:t>Contingent liabilities – quantifiable</w:t>
        </w:r>
        <w:r>
          <w:rPr>
            <w:noProof/>
            <w:webHidden/>
          </w:rPr>
          <w:tab/>
        </w:r>
        <w:r>
          <w:rPr>
            <w:noProof/>
            <w:webHidden/>
          </w:rPr>
          <w:fldChar w:fldCharType="begin"/>
        </w:r>
        <w:r>
          <w:rPr>
            <w:noProof/>
            <w:webHidden/>
          </w:rPr>
          <w:instrText xml:space="preserve"> PAGEREF _Toc228987400 \h </w:instrText>
        </w:r>
        <w:r>
          <w:rPr>
            <w:noProof/>
            <w:webHidden/>
          </w:rPr>
        </w:r>
        <w:r>
          <w:rPr>
            <w:noProof/>
            <w:webHidden/>
          </w:rPr>
          <w:fldChar w:fldCharType="separate"/>
        </w:r>
        <w:r w:rsidR="00AE1DE4">
          <w:rPr>
            <w:noProof/>
            <w:webHidden/>
          </w:rPr>
          <w:t>317</w:t>
        </w:r>
        <w:r>
          <w:rPr>
            <w:noProof/>
            <w:webHidden/>
          </w:rPr>
          <w:fldChar w:fldCharType="end"/>
        </w:r>
      </w:hyperlink>
    </w:p>
    <w:p w14:paraId="55ED9A7B" w14:textId="0F620D46" w:rsidR="004423EC" w:rsidRDefault="004423EC">
      <w:pPr>
        <w:pStyle w:val="TOC2"/>
        <w:rPr>
          <w:rFonts w:asciiTheme="minorHAnsi" w:eastAsiaTheme="minorEastAsia" w:hAnsiTheme="minorHAnsi" w:cstheme="minorBidi"/>
          <w:noProof/>
          <w:kern w:val="2"/>
          <w:sz w:val="24"/>
          <w:szCs w:val="24"/>
          <w14:ligatures w14:val="standardContextual"/>
        </w:rPr>
      </w:pPr>
      <w:hyperlink w:anchor="_Toc228987401" w:history="1">
        <w:r w:rsidRPr="004F22BC">
          <w:rPr>
            <w:rStyle w:val="Hyperlink"/>
            <w:noProof/>
          </w:rPr>
          <w:t>Health, Disability and Ageing</w:t>
        </w:r>
        <w:r>
          <w:rPr>
            <w:noProof/>
            <w:webHidden/>
          </w:rPr>
          <w:tab/>
        </w:r>
        <w:r>
          <w:rPr>
            <w:noProof/>
            <w:webHidden/>
          </w:rPr>
          <w:fldChar w:fldCharType="begin"/>
        </w:r>
        <w:r>
          <w:rPr>
            <w:noProof/>
            <w:webHidden/>
          </w:rPr>
          <w:instrText xml:space="preserve"> PAGEREF _Toc228987401 \h </w:instrText>
        </w:r>
        <w:r>
          <w:rPr>
            <w:noProof/>
            <w:webHidden/>
          </w:rPr>
        </w:r>
        <w:r>
          <w:rPr>
            <w:noProof/>
            <w:webHidden/>
          </w:rPr>
          <w:fldChar w:fldCharType="separate"/>
        </w:r>
        <w:r w:rsidR="00AE1DE4">
          <w:rPr>
            <w:noProof/>
            <w:webHidden/>
          </w:rPr>
          <w:t>318</w:t>
        </w:r>
        <w:r>
          <w:rPr>
            <w:noProof/>
            <w:webHidden/>
          </w:rPr>
          <w:fldChar w:fldCharType="end"/>
        </w:r>
      </w:hyperlink>
    </w:p>
    <w:p w14:paraId="174C4038" w14:textId="0ED854E1"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02" w:history="1">
        <w:r w:rsidRPr="004F22BC">
          <w:rPr>
            <w:rStyle w:val="Hyperlink"/>
            <w:noProof/>
          </w:rPr>
          <w:t>Fiscal Risks</w:t>
        </w:r>
        <w:r>
          <w:rPr>
            <w:noProof/>
            <w:webHidden/>
          </w:rPr>
          <w:tab/>
        </w:r>
        <w:r>
          <w:rPr>
            <w:noProof/>
            <w:webHidden/>
          </w:rPr>
          <w:fldChar w:fldCharType="begin"/>
        </w:r>
        <w:r>
          <w:rPr>
            <w:noProof/>
            <w:webHidden/>
          </w:rPr>
          <w:instrText xml:space="preserve"> PAGEREF _Toc228987402 \h </w:instrText>
        </w:r>
        <w:r>
          <w:rPr>
            <w:noProof/>
            <w:webHidden/>
          </w:rPr>
        </w:r>
        <w:r>
          <w:rPr>
            <w:noProof/>
            <w:webHidden/>
          </w:rPr>
          <w:fldChar w:fldCharType="separate"/>
        </w:r>
        <w:r w:rsidR="00AE1DE4">
          <w:rPr>
            <w:noProof/>
            <w:webHidden/>
          </w:rPr>
          <w:t>318</w:t>
        </w:r>
        <w:r>
          <w:rPr>
            <w:noProof/>
            <w:webHidden/>
          </w:rPr>
          <w:fldChar w:fldCharType="end"/>
        </w:r>
      </w:hyperlink>
    </w:p>
    <w:p w14:paraId="63486E85" w14:textId="6858C6A9"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03" w:history="1">
        <w:r w:rsidRPr="004F22BC">
          <w:rPr>
            <w:rStyle w:val="Hyperlink"/>
            <w:noProof/>
          </w:rPr>
          <w:t>Contingent liabilities – unquantifiable</w:t>
        </w:r>
        <w:r>
          <w:rPr>
            <w:noProof/>
            <w:webHidden/>
          </w:rPr>
          <w:tab/>
        </w:r>
        <w:r>
          <w:rPr>
            <w:noProof/>
            <w:webHidden/>
          </w:rPr>
          <w:fldChar w:fldCharType="begin"/>
        </w:r>
        <w:r>
          <w:rPr>
            <w:noProof/>
            <w:webHidden/>
          </w:rPr>
          <w:instrText xml:space="preserve"> PAGEREF _Toc228987403 \h </w:instrText>
        </w:r>
        <w:r>
          <w:rPr>
            <w:noProof/>
            <w:webHidden/>
          </w:rPr>
        </w:r>
        <w:r>
          <w:rPr>
            <w:noProof/>
            <w:webHidden/>
          </w:rPr>
          <w:fldChar w:fldCharType="separate"/>
        </w:r>
        <w:r w:rsidR="00AE1DE4">
          <w:rPr>
            <w:noProof/>
            <w:webHidden/>
          </w:rPr>
          <w:t>318</w:t>
        </w:r>
        <w:r>
          <w:rPr>
            <w:noProof/>
            <w:webHidden/>
          </w:rPr>
          <w:fldChar w:fldCharType="end"/>
        </w:r>
      </w:hyperlink>
    </w:p>
    <w:p w14:paraId="6CC4DDC6" w14:textId="56582963"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04" w:history="1">
        <w:r w:rsidRPr="004F22BC">
          <w:rPr>
            <w:rStyle w:val="Hyperlink"/>
            <w:rFonts w:eastAsia="Arial"/>
            <w:noProof/>
          </w:rPr>
          <w:t>Contingent assets – unquantifiable</w:t>
        </w:r>
        <w:r>
          <w:rPr>
            <w:noProof/>
            <w:webHidden/>
          </w:rPr>
          <w:tab/>
        </w:r>
        <w:r>
          <w:rPr>
            <w:noProof/>
            <w:webHidden/>
          </w:rPr>
          <w:fldChar w:fldCharType="begin"/>
        </w:r>
        <w:r>
          <w:rPr>
            <w:noProof/>
            <w:webHidden/>
          </w:rPr>
          <w:instrText xml:space="preserve"> PAGEREF _Toc228987404 \h </w:instrText>
        </w:r>
        <w:r>
          <w:rPr>
            <w:noProof/>
            <w:webHidden/>
          </w:rPr>
        </w:r>
        <w:r>
          <w:rPr>
            <w:noProof/>
            <w:webHidden/>
          </w:rPr>
          <w:fldChar w:fldCharType="separate"/>
        </w:r>
        <w:r w:rsidR="00AE1DE4">
          <w:rPr>
            <w:noProof/>
            <w:webHidden/>
          </w:rPr>
          <w:t>321</w:t>
        </w:r>
        <w:r>
          <w:rPr>
            <w:noProof/>
            <w:webHidden/>
          </w:rPr>
          <w:fldChar w:fldCharType="end"/>
        </w:r>
      </w:hyperlink>
    </w:p>
    <w:p w14:paraId="577CDFA0" w14:textId="0B71B4D4" w:rsidR="004423EC" w:rsidRDefault="004423EC">
      <w:pPr>
        <w:pStyle w:val="TOC2"/>
        <w:rPr>
          <w:rFonts w:asciiTheme="minorHAnsi" w:eastAsiaTheme="minorEastAsia" w:hAnsiTheme="minorHAnsi" w:cstheme="minorBidi"/>
          <w:noProof/>
          <w:kern w:val="2"/>
          <w:sz w:val="24"/>
          <w:szCs w:val="24"/>
          <w14:ligatures w14:val="standardContextual"/>
        </w:rPr>
      </w:pPr>
      <w:hyperlink w:anchor="_Toc228987405" w:history="1">
        <w:r w:rsidRPr="004F22BC">
          <w:rPr>
            <w:rStyle w:val="Hyperlink"/>
            <w:noProof/>
          </w:rPr>
          <w:t>Home Affairs</w:t>
        </w:r>
        <w:r>
          <w:rPr>
            <w:noProof/>
            <w:webHidden/>
          </w:rPr>
          <w:tab/>
        </w:r>
        <w:r>
          <w:rPr>
            <w:noProof/>
            <w:webHidden/>
          </w:rPr>
          <w:fldChar w:fldCharType="begin"/>
        </w:r>
        <w:r>
          <w:rPr>
            <w:noProof/>
            <w:webHidden/>
          </w:rPr>
          <w:instrText xml:space="preserve"> PAGEREF _Toc228987405 \h </w:instrText>
        </w:r>
        <w:r>
          <w:rPr>
            <w:noProof/>
            <w:webHidden/>
          </w:rPr>
        </w:r>
        <w:r>
          <w:rPr>
            <w:noProof/>
            <w:webHidden/>
          </w:rPr>
          <w:fldChar w:fldCharType="separate"/>
        </w:r>
        <w:r w:rsidR="00AE1DE4">
          <w:rPr>
            <w:noProof/>
            <w:webHidden/>
          </w:rPr>
          <w:t>322</w:t>
        </w:r>
        <w:r>
          <w:rPr>
            <w:noProof/>
            <w:webHidden/>
          </w:rPr>
          <w:fldChar w:fldCharType="end"/>
        </w:r>
      </w:hyperlink>
    </w:p>
    <w:p w14:paraId="6C9BF023" w14:textId="4C5BD54D"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06" w:history="1">
        <w:r w:rsidRPr="004F22BC">
          <w:rPr>
            <w:rStyle w:val="Hyperlink"/>
            <w:noProof/>
          </w:rPr>
          <w:t>Fiscal Risks</w:t>
        </w:r>
        <w:r>
          <w:rPr>
            <w:noProof/>
            <w:webHidden/>
          </w:rPr>
          <w:tab/>
        </w:r>
        <w:r>
          <w:rPr>
            <w:noProof/>
            <w:webHidden/>
          </w:rPr>
          <w:fldChar w:fldCharType="begin"/>
        </w:r>
        <w:r>
          <w:rPr>
            <w:noProof/>
            <w:webHidden/>
          </w:rPr>
          <w:instrText xml:space="preserve"> PAGEREF _Toc228987406 \h </w:instrText>
        </w:r>
        <w:r>
          <w:rPr>
            <w:noProof/>
            <w:webHidden/>
          </w:rPr>
        </w:r>
        <w:r>
          <w:rPr>
            <w:noProof/>
            <w:webHidden/>
          </w:rPr>
          <w:fldChar w:fldCharType="separate"/>
        </w:r>
        <w:r w:rsidR="00AE1DE4">
          <w:rPr>
            <w:noProof/>
            <w:webHidden/>
          </w:rPr>
          <w:t>322</w:t>
        </w:r>
        <w:r>
          <w:rPr>
            <w:noProof/>
            <w:webHidden/>
          </w:rPr>
          <w:fldChar w:fldCharType="end"/>
        </w:r>
      </w:hyperlink>
    </w:p>
    <w:p w14:paraId="355867F3" w14:textId="3DE707CB"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07" w:history="1">
        <w:r w:rsidRPr="004F22BC">
          <w:rPr>
            <w:rStyle w:val="Hyperlink"/>
            <w:noProof/>
          </w:rPr>
          <w:t>Significant but remote contingencies</w:t>
        </w:r>
        <w:r>
          <w:rPr>
            <w:noProof/>
            <w:webHidden/>
          </w:rPr>
          <w:tab/>
        </w:r>
        <w:r>
          <w:rPr>
            <w:noProof/>
            <w:webHidden/>
          </w:rPr>
          <w:fldChar w:fldCharType="begin"/>
        </w:r>
        <w:r>
          <w:rPr>
            <w:noProof/>
            <w:webHidden/>
          </w:rPr>
          <w:instrText xml:space="preserve"> PAGEREF _Toc228987407 \h </w:instrText>
        </w:r>
        <w:r>
          <w:rPr>
            <w:noProof/>
            <w:webHidden/>
          </w:rPr>
        </w:r>
        <w:r>
          <w:rPr>
            <w:noProof/>
            <w:webHidden/>
          </w:rPr>
          <w:fldChar w:fldCharType="separate"/>
        </w:r>
        <w:r w:rsidR="00AE1DE4">
          <w:rPr>
            <w:noProof/>
            <w:webHidden/>
          </w:rPr>
          <w:t>322</w:t>
        </w:r>
        <w:r>
          <w:rPr>
            <w:noProof/>
            <w:webHidden/>
          </w:rPr>
          <w:fldChar w:fldCharType="end"/>
        </w:r>
      </w:hyperlink>
    </w:p>
    <w:p w14:paraId="1B98AB39" w14:textId="4A835256"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08" w:history="1">
        <w:r w:rsidRPr="004F22BC">
          <w:rPr>
            <w:rStyle w:val="Hyperlink"/>
            <w:noProof/>
          </w:rPr>
          <w:t>Contingent liabilities – unquantifiable</w:t>
        </w:r>
        <w:r>
          <w:rPr>
            <w:noProof/>
            <w:webHidden/>
          </w:rPr>
          <w:tab/>
        </w:r>
        <w:r>
          <w:rPr>
            <w:noProof/>
            <w:webHidden/>
          </w:rPr>
          <w:fldChar w:fldCharType="begin"/>
        </w:r>
        <w:r>
          <w:rPr>
            <w:noProof/>
            <w:webHidden/>
          </w:rPr>
          <w:instrText xml:space="preserve"> PAGEREF _Toc228987408 \h </w:instrText>
        </w:r>
        <w:r>
          <w:rPr>
            <w:noProof/>
            <w:webHidden/>
          </w:rPr>
        </w:r>
        <w:r>
          <w:rPr>
            <w:noProof/>
            <w:webHidden/>
          </w:rPr>
          <w:fldChar w:fldCharType="separate"/>
        </w:r>
        <w:r w:rsidR="00AE1DE4">
          <w:rPr>
            <w:noProof/>
            <w:webHidden/>
          </w:rPr>
          <w:t>322</w:t>
        </w:r>
        <w:r>
          <w:rPr>
            <w:noProof/>
            <w:webHidden/>
          </w:rPr>
          <w:fldChar w:fldCharType="end"/>
        </w:r>
      </w:hyperlink>
    </w:p>
    <w:p w14:paraId="4AED6A4B" w14:textId="671A4DF0"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09" w:history="1">
        <w:r w:rsidRPr="004F22BC">
          <w:rPr>
            <w:rStyle w:val="Hyperlink"/>
            <w:noProof/>
          </w:rPr>
          <w:t>Contingent assets – unquantifiable</w:t>
        </w:r>
        <w:r>
          <w:rPr>
            <w:noProof/>
            <w:webHidden/>
          </w:rPr>
          <w:tab/>
        </w:r>
        <w:r>
          <w:rPr>
            <w:noProof/>
            <w:webHidden/>
          </w:rPr>
          <w:fldChar w:fldCharType="begin"/>
        </w:r>
        <w:r>
          <w:rPr>
            <w:noProof/>
            <w:webHidden/>
          </w:rPr>
          <w:instrText xml:space="preserve"> PAGEREF _Toc228987409 \h </w:instrText>
        </w:r>
        <w:r>
          <w:rPr>
            <w:noProof/>
            <w:webHidden/>
          </w:rPr>
        </w:r>
        <w:r>
          <w:rPr>
            <w:noProof/>
            <w:webHidden/>
          </w:rPr>
          <w:fldChar w:fldCharType="separate"/>
        </w:r>
        <w:r w:rsidR="00AE1DE4">
          <w:rPr>
            <w:noProof/>
            <w:webHidden/>
          </w:rPr>
          <w:t>326</w:t>
        </w:r>
        <w:r>
          <w:rPr>
            <w:noProof/>
            <w:webHidden/>
          </w:rPr>
          <w:fldChar w:fldCharType="end"/>
        </w:r>
      </w:hyperlink>
    </w:p>
    <w:p w14:paraId="11AB523C" w14:textId="77777777" w:rsidR="00E34F04" w:rsidRDefault="00E34F04">
      <w:pPr>
        <w:spacing w:before="0" w:after="160" w:line="259" w:lineRule="auto"/>
        <w:rPr>
          <w:rStyle w:val="Hyperlink"/>
          <w:rFonts w:ascii="Arial" w:hAnsi="Arial"/>
          <w:noProof/>
          <w:sz w:val="18"/>
        </w:rPr>
      </w:pPr>
      <w:r>
        <w:rPr>
          <w:rStyle w:val="Hyperlink"/>
          <w:noProof/>
        </w:rPr>
        <w:br w:type="page"/>
      </w:r>
    </w:p>
    <w:p w14:paraId="1113AF1E" w14:textId="101514C4" w:rsidR="004423EC" w:rsidRDefault="004423EC">
      <w:pPr>
        <w:pStyle w:val="TOC2"/>
        <w:rPr>
          <w:rFonts w:asciiTheme="minorHAnsi" w:eastAsiaTheme="minorEastAsia" w:hAnsiTheme="minorHAnsi" w:cstheme="minorBidi"/>
          <w:noProof/>
          <w:kern w:val="2"/>
          <w:sz w:val="24"/>
          <w:szCs w:val="24"/>
          <w14:ligatures w14:val="standardContextual"/>
        </w:rPr>
      </w:pPr>
      <w:hyperlink w:anchor="_Toc228987410" w:history="1">
        <w:r w:rsidRPr="004F22BC">
          <w:rPr>
            <w:rStyle w:val="Hyperlink"/>
            <w:noProof/>
          </w:rPr>
          <w:t>Industry, Science and Resources</w:t>
        </w:r>
        <w:r>
          <w:rPr>
            <w:noProof/>
            <w:webHidden/>
          </w:rPr>
          <w:tab/>
        </w:r>
        <w:r>
          <w:rPr>
            <w:noProof/>
            <w:webHidden/>
          </w:rPr>
          <w:fldChar w:fldCharType="begin"/>
        </w:r>
        <w:r>
          <w:rPr>
            <w:noProof/>
            <w:webHidden/>
          </w:rPr>
          <w:instrText xml:space="preserve"> PAGEREF _Toc228987410 \h </w:instrText>
        </w:r>
        <w:r>
          <w:rPr>
            <w:noProof/>
            <w:webHidden/>
          </w:rPr>
        </w:r>
        <w:r>
          <w:rPr>
            <w:noProof/>
            <w:webHidden/>
          </w:rPr>
          <w:fldChar w:fldCharType="separate"/>
        </w:r>
        <w:r w:rsidR="00AE1DE4">
          <w:rPr>
            <w:noProof/>
            <w:webHidden/>
          </w:rPr>
          <w:t>327</w:t>
        </w:r>
        <w:r>
          <w:rPr>
            <w:noProof/>
            <w:webHidden/>
          </w:rPr>
          <w:fldChar w:fldCharType="end"/>
        </w:r>
      </w:hyperlink>
    </w:p>
    <w:p w14:paraId="3B31CCA5" w14:textId="53D6A99B"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11" w:history="1">
        <w:r w:rsidRPr="004F22BC">
          <w:rPr>
            <w:rStyle w:val="Hyperlink"/>
            <w:noProof/>
          </w:rPr>
          <w:t>Fiscal Risks</w:t>
        </w:r>
        <w:r>
          <w:rPr>
            <w:noProof/>
            <w:webHidden/>
          </w:rPr>
          <w:tab/>
        </w:r>
        <w:r>
          <w:rPr>
            <w:noProof/>
            <w:webHidden/>
          </w:rPr>
          <w:fldChar w:fldCharType="begin"/>
        </w:r>
        <w:r>
          <w:rPr>
            <w:noProof/>
            <w:webHidden/>
          </w:rPr>
          <w:instrText xml:space="preserve"> PAGEREF _Toc228987411 \h </w:instrText>
        </w:r>
        <w:r>
          <w:rPr>
            <w:noProof/>
            <w:webHidden/>
          </w:rPr>
        </w:r>
        <w:r>
          <w:rPr>
            <w:noProof/>
            <w:webHidden/>
          </w:rPr>
          <w:fldChar w:fldCharType="separate"/>
        </w:r>
        <w:r w:rsidR="00AE1DE4">
          <w:rPr>
            <w:noProof/>
            <w:webHidden/>
          </w:rPr>
          <w:t>327</w:t>
        </w:r>
        <w:r>
          <w:rPr>
            <w:noProof/>
            <w:webHidden/>
          </w:rPr>
          <w:fldChar w:fldCharType="end"/>
        </w:r>
      </w:hyperlink>
    </w:p>
    <w:p w14:paraId="00849902" w14:textId="3AC29275"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12" w:history="1">
        <w:r w:rsidRPr="004F22BC">
          <w:rPr>
            <w:rStyle w:val="Hyperlink"/>
            <w:noProof/>
          </w:rPr>
          <w:t>Significant but remote contingencies</w:t>
        </w:r>
        <w:r>
          <w:rPr>
            <w:noProof/>
            <w:webHidden/>
          </w:rPr>
          <w:tab/>
        </w:r>
        <w:r>
          <w:rPr>
            <w:noProof/>
            <w:webHidden/>
          </w:rPr>
          <w:fldChar w:fldCharType="begin"/>
        </w:r>
        <w:r>
          <w:rPr>
            <w:noProof/>
            <w:webHidden/>
          </w:rPr>
          <w:instrText xml:space="preserve"> PAGEREF _Toc228987412 \h </w:instrText>
        </w:r>
        <w:r>
          <w:rPr>
            <w:noProof/>
            <w:webHidden/>
          </w:rPr>
        </w:r>
        <w:r>
          <w:rPr>
            <w:noProof/>
            <w:webHidden/>
          </w:rPr>
          <w:fldChar w:fldCharType="separate"/>
        </w:r>
        <w:r w:rsidR="00AE1DE4">
          <w:rPr>
            <w:noProof/>
            <w:webHidden/>
          </w:rPr>
          <w:t>328</w:t>
        </w:r>
        <w:r>
          <w:rPr>
            <w:noProof/>
            <w:webHidden/>
          </w:rPr>
          <w:fldChar w:fldCharType="end"/>
        </w:r>
      </w:hyperlink>
    </w:p>
    <w:p w14:paraId="79EE84A4" w14:textId="2AD464F5"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13" w:history="1">
        <w:r w:rsidRPr="004F22BC">
          <w:rPr>
            <w:rStyle w:val="Hyperlink"/>
            <w:noProof/>
          </w:rPr>
          <w:t>Contingent liabilities – unquantifiable</w:t>
        </w:r>
        <w:r>
          <w:rPr>
            <w:noProof/>
            <w:webHidden/>
          </w:rPr>
          <w:tab/>
        </w:r>
        <w:r>
          <w:rPr>
            <w:noProof/>
            <w:webHidden/>
          </w:rPr>
          <w:fldChar w:fldCharType="begin"/>
        </w:r>
        <w:r>
          <w:rPr>
            <w:noProof/>
            <w:webHidden/>
          </w:rPr>
          <w:instrText xml:space="preserve"> PAGEREF _Toc228987413 \h </w:instrText>
        </w:r>
        <w:r>
          <w:rPr>
            <w:noProof/>
            <w:webHidden/>
          </w:rPr>
        </w:r>
        <w:r>
          <w:rPr>
            <w:noProof/>
            <w:webHidden/>
          </w:rPr>
          <w:fldChar w:fldCharType="separate"/>
        </w:r>
        <w:r w:rsidR="00AE1DE4">
          <w:rPr>
            <w:noProof/>
            <w:webHidden/>
          </w:rPr>
          <w:t>329</w:t>
        </w:r>
        <w:r>
          <w:rPr>
            <w:noProof/>
            <w:webHidden/>
          </w:rPr>
          <w:fldChar w:fldCharType="end"/>
        </w:r>
      </w:hyperlink>
    </w:p>
    <w:p w14:paraId="4E637A25" w14:textId="6019DBAD" w:rsidR="004423EC" w:rsidRDefault="004423EC">
      <w:pPr>
        <w:pStyle w:val="TOC2"/>
        <w:rPr>
          <w:rFonts w:asciiTheme="minorHAnsi" w:eastAsiaTheme="minorEastAsia" w:hAnsiTheme="minorHAnsi" w:cstheme="minorBidi"/>
          <w:noProof/>
          <w:kern w:val="2"/>
          <w:sz w:val="24"/>
          <w:szCs w:val="24"/>
          <w14:ligatures w14:val="standardContextual"/>
        </w:rPr>
      </w:pPr>
      <w:hyperlink w:anchor="_Toc228987414" w:history="1">
        <w:r w:rsidRPr="004F22BC">
          <w:rPr>
            <w:rStyle w:val="Hyperlink"/>
            <w:noProof/>
          </w:rPr>
          <w:t>Infrastructure, Transport, Regional Development, Communications, Sport and the Arts</w:t>
        </w:r>
        <w:r>
          <w:rPr>
            <w:noProof/>
            <w:webHidden/>
          </w:rPr>
          <w:tab/>
        </w:r>
        <w:r>
          <w:rPr>
            <w:noProof/>
            <w:webHidden/>
          </w:rPr>
          <w:fldChar w:fldCharType="begin"/>
        </w:r>
        <w:r>
          <w:rPr>
            <w:noProof/>
            <w:webHidden/>
          </w:rPr>
          <w:instrText xml:space="preserve"> PAGEREF _Toc228987414 \h </w:instrText>
        </w:r>
        <w:r>
          <w:rPr>
            <w:noProof/>
            <w:webHidden/>
          </w:rPr>
        </w:r>
        <w:r>
          <w:rPr>
            <w:noProof/>
            <w:webHidden/>
          </w:rPr>
          <w:fldChar w:fldCharType="separate"/>
        </w:r>
        <w:r w:rsidR="00AE1DE4">
          <w:rPr>
            <w:noProof/>
            <w:webHidden/>
          </w:rPr>
          <w:t>331</w:t>
        </w:r>
        <w:r>
          <w:rPr>
            <w:noProof/>
            <w:webHidden/>
          </w:rPr>
          <w:fldChar w:fldCharType="end"/>
        </w:r>
      </w:hyperlink>
    </w:p>
    <w:p w14:paraId="5951B87A" w14:textId="2CB66EEB"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15" w:history="1">
        <w:r w:rsidRPr="004F22BC">
          <w:rPr>
            <w:rStyle w:val="Hyperlink"/>
            <w:noProof/>
          </w:rPr>
          <w:t>Fiscal Risks</w:t>
        </w:r>
        <w:r>
          <w:rPr>
            <w:noProof/>
            <w:webHidden/>
          </w:rPr>
          <w:tab/>
        </w:r>
        <w:r>
          <w:rPr>
            <w:noProof/>
            <w:webHidden/>
          </w:rPr>
          <w:fldChar w:fldCharType="begin"/>
        </w:r>
        <w:r>
          <w:rPr>
            <w:noProof/>
            <w:webHidden/>
          </w:rPr>
          <w:instrText xml:space="preserve"> PAGEREF _Toc228987415 \h </w:instrText>
        </w:r>
        <w:r>
          <w:rPr>
            <w:noProof/>
            <w:webHidden/>
          </w:rPr>
        </w:r>
        <w:r>
          <w:rPr>
            <w:noProof/>
            <w:webHidden/>
          </w:rPr>
          <w:fldChar w:fldCharType="separate"/>
        </w:r>
        <w:r w:rsidR="00AE1DE4">
          <w:rPr>
            <w:noProof/>
            <w:webHidden/>
          </w:rPr>
          <w:t>331</w:t>
        </w:r>
        <w:r>
          <w:rPr>
            <w:noProof/>
            <w:webHidden/>
          </w:rPr>
          <w:fldChar w:fldCharType="end"/>
        </w:r>
      </w:hyperlink>
    </w:p>
    <w:p w14:paraId="2F1F14C3" w14:textId="76B7E000"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16" w:history="1">
        <w:r w:rsidRPr="004F22BC">
          <w:rPr>
            <w:rStyle w:val="Hyperlink"/>
            <w:noProof/>
          </w:rPr>
          <w:t>Significant but remote contingencies</w:t>
        </w:r>
        <w:r>
          <w:rPr>
            <w:noProof/>
            <w:webHidden/>
          </w:rPr>
          <w:tab/>
        </w:r>
        <w:r>
          <w:rPr>
            <w:noProof/>
            <w:webHidden/>
          </w:rPr>
          <w:fldChar w:fldCharType="begin"/>
        </w:r>
        <w:r>
          <w:rPr>
            <w:noProof/>
            <w:webHidden/>
          </w:rPr>
          <w:instrText xml:space="preserve"> PAGEREF _Toc228987416 \h </w:instrText>
        </w:r>
        <w:r>
          <w:rPr>
            <w:noProof/>
            <w:webHidden/>
          </w:rPr>
        </w:r>
        <w:r>
          <w:rPr>
            <w:noProof/>
            <w:webHidden/>
          </w:rPr>
          <w:fldChar w:fldCharType="separate"/>
        </w:r>
        <w:r w:rsidR="00AE1DE4">
          <w:rPr>
            <w:noProof/>
            <w:webHidden/>
          </w:rPr>
          <w:t>332</w:t>
        </w:r>
        <w:r>
          <w:rPr>
            <w:noProof/>
            <w:webHidden/>
          </w:rPr>
          <w:fldChar w:fldCharType="end"/>
        </w:r>
      </w:hyperlink>
    </w:p>
    <w:p w14:paraId="566C3AA8" w14:textId="6F81AB31"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17" w:history="1">
        <w:r w:rsidRPr="004F22BC">
          <w:rPr>
            <w:rStyle w:val="Hyperlink"/>
            <w:noProof/>
          </w:rPr>
          <w:t>Contingent liabilities – unquantifiable</w:t>
        </w:r>
        <w:r>
          <w:rPr>
            <w:noProof/>
            <w:webHidden/>
          </w:rPr>
          <w:tab/>
        </w:r>
        <w:r>
          <w:rPr>
            <w:noProof/>
            <w:webHidden/>
          </w:rPr>
          <w:fldChar w:fldCharType="begin"/>
        </w:r>
        <w:r>
          <w:rPr>
            <w:noProof/>
            <w:webHidden/>
          </w:rPr>
          <w:instrText xml:space="preserve"> PAGEREF _Toc228987417 \h </w:instrText>
        </w:r>
        <w:r>
          <w:rPr>
            <w:noProof/>
            <w:webHidden/>
          </w:rPr>
        </w:r>
        <w:r>
          <w:rPr>
            <w:noProof/>
            <w:webHidden/>
          </w:rPr>
          <w:fldChar w:fldCharType="separate"/>
        </w:r>
        <w:r w:rsidR="00AE1DE4">
          <w:rPr>
            <w:noProof/>
            <w:webHidden/>
          </w:rPr>
          <w:t>334</w:t>
        </w:r>
        <w:r>
          <w:rPr>
            <w:noProof/>
            <w:webHidden/>
          </w:rPr>
          <w:fldChar w:fldCharType="end"/>
        </w:r>
      </w:hyperlink>
    </w:p>
    <w:p w14:paraId="11131341" w14:textId="52A65DA9" w:rsidR="004423EC" w:rsidRDefault="004423EC">
      <w:pPr>
        <w:pStyle w:val="TOC2"/>
        <w:rPr>
          <w:rFonts w:asciiTheme="minorHAnsi" w:eastAsiaTheme="minorEastAsia" w:hAnsiTheme="minorHAnsi" w:cstheme="minorBidi"/>
          <w:noProof/>
          <w:kern w:val="2"/>
          <w:sz w:val="24"/>
          <w:szCs w:val="24"/>
          <w14:ligatures w14:val="standardContextual"/>
        </w:rPr>
      </w:pPr>
      <w:hyperlink w:anchor="_Toc228987418" w:history="1">
        <w:r w:rsidRPr="004F22BC">
          <w:rPr>
            <w:rStyle w:val="Hyperlink"/>
            <w:noProof/>
          </w:rPr>
          <w:t>Social Services</w:t>
        </w:r>
        <w:r>
          <w:rPr>
            <w:noProof/>
            <w:webHidden/>
          </w:rPr>
          <w:tab/>
        </w:r>
        <w:r>
          <w:rPr>
            <w:noProof/>
            <w:webHidden/>
          </w:rPr>
          <w:fldChar w:fldCharType="begin"/>
        </w:r>
        <w:r>
          <w:rPr>
            <w:noProof/>
            <w:webHidden/>
          </w:rPr>
          <w:instrText xml:space="preserve"> PAGEREF _Toc228987418 \h </w:instrText>
        </w:r>
        <w:r>
          <w:rPr>
            <w:noProof/>
            <w:webHidden/>
          </w:rPr>
        </w:r>
        <w:r>
          <w:rPr>
            <w:noProof/>
            <w:webHidden/>
          </w:rPr>
          <w:fldChar w:fldCharType="separate"/>
        </w:r>
        <w:r w:rsidR="00AE1DE4">
          <w:rPr>
            <w:noProof/>
            <w:webHidden/>
          </w:rPr>
          <w:t>337</w:t>
        </w:r>
        <w:r>
          <w:rPr>
            <w:noProof/>
            <w:webHidden/>
          </w:rPr>
          <w:fldChar w:fldCharType="end"/>
        </w:r>
      </w:hyperlink>
    </w:p>
    <w:p w14:paraId="23D65E63" w14:textId="3D37C9FA"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19" w:history="1">
        <w:r w:rsidRPr="004F22BC">
          <w:rPr>
            <w:rStyle w:val="Hyperlink"/>
            <w:noProof/>
          </w:rPr>
          <w:t>Contingent liabilities – unquantifiable</w:t>
        </w:r>
        <w:r>
          <w:rPr>
            <w:noProof/>
            <w:webHidden/>
          </w:rPr>
          <w:tab/>
        </w:r>
        <w:r>
          <w:rPr>
            <w:noProof/>
            <w:webHidden/>
          </w:rPr>
          <w:fldChar w:fldCharType="begin"/>
        </w:r>
        <w:r>
          <w:rPr>
            <w:noProof/>
            <w:webHidden/>
          </w:rPr>
          <w:instrText xml:space="preserve"> PAGEREF _Toc228987419 \h </w:instrText>
        </w:r>
        <w:r>
          <w:rPr>
            <w:noProof/>
            <w:webHidden/>
          </w:rPr>
        </w:r>
        <w:r>
          <w:rPr>
            <w:noProof/>
            <w:webHidden/>
          </w:rPr>
          <w:fldChar w:fldCharType="separate"/>
        </w:r>
        <w:r w:rsidR="00AE1DE4">
          <w:rPr>
            <w:noProof/>
            <w:webHidden/>
          </w:rPr>
          <w:t>337</w:t>
        </w:r>
        <w:r>
          <w:rPr>
            <w:noProof/>
            <w:webHidden/>
          </w:rPr>
          <w:fldChar w:fldCharType="end"/>
        </w:r>
      </w:hyperlink>
    </w:p>
    <w:p w14:paraId="71EFB129" w14:textId="2C006040"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20" w:history="1">
        <w:r w:rsidRPr="004F22BC">
          <w:rPr>
            <w:rStyle w:val="Hyperlink"/>
            <w:noProof/>
          </w:rPr>
          <w:t>Contingent assets – quantifiable</w:t>
        </w:r>
        <w:r>
          <w:rPr>
            <w:noProof/>
            <w:webHidden/>
          </w:rPr>
          <w:tab/>
        </w:r>
        <w:r>
          <w:rPr>
            <w:noProof/>
            <w:webHidden/>
          </w:rPr>
          <w:fldChar w:fldCharType="begin"/>
        </w:r>
        <w:r>
          <w:rPr>
            <w:noProof/>
            <w:webHidden/>
          </w:rPr>
          <w:instrText xml:space="preserve"> PAGEREF _Toc228987420 \h </w:instrText>
        </w:r>
        <w:r>
          <w:rPr>
            <w:noProof/>
            <w:webHidden/>
          </w:rPr>
        </w:r>
        <w:r>
          <w:rPr>
            <w:noProof/>
            <w:webHidden/>
          </w:rPr>
          <w:fldChar w:fldCharType="separate"/>
        </w:r>
        <w:r w:rsidR="00AE1DE4">
          <w:rPr>
            <w:noProof/>
            <w:webHidden/>
          </w:rPr>
          <w:t>337</w:t>
        </w:r>
        <w:r>
          <w:rPr>
            <w:noProof/>
            <w:webHidden/>
          </w:rPr>
          <w:fldChar w:fldCharType="end"/>
        </w:r>
      </w:hyperlink>
    </w:p>
    <w:p w14:paraId="136C70C0" w14:textId="354C0907" w:rsidR="004423EC" w:rsidRDefault="004423EC" w:rsidP="00F17B35">
      <w:pPr>
        <w:pStyle w:val="TOC2"/>
        <w:tabs>
          <w:tab w:val="clear" w:pos="992"/>
        </w:tabs>
        <w:rPr>
          <w:rFonts w:asciiTheme="minorHAnsi" w:eastAsiaTheme="minorEastAsia" w:hAnsiTheme="minorHAnsi" w:cstheme="minorBidi"/>
          <w:noProof/>
          <w:kern w:val="2"/>
          <w:sz w:val="24"/>
          <w:szCs w:val="24"/>
          <w14:ligatures w14:val="standardContextual"/>
        </w:rPr>
      </w:pPr>
      <w:hyperlink w:anchor="_Toc228987421" w:history="1">
        <w:r w:rsidRPr="004F22BC">
          <w:rPr>
            <w:rStyle w:val="Hyperlink"/>
            <w:noProof/>
          </w:rPr>
          <w:t>Treasury</w:t>
        </w:r>
        <w:r>
          <w:rPr>
            <w:noProof/>
            <w:webHidden/>
          </w:rPr>
          <w:tab/>
        </w:r>
        <w:r>
          <w:rPr>
            <w:noProof/>
            <w:webHidden/>
          </w:rPr>
          <w:fldChar w:fldCharType="begin"/>
        </w:r>
        <w:r>
          <w:rPr>
            <w:noProof/>
            <w:webHidden/>
          </w:rPr>
          <w:instrText xml:space="preserve"> PAGEREF _Toc228987421 \h </w:instrText>
        </w:r>
        <w:r>
          <w:rPr>
            <w:noProof/>
            <w:webHidden/>
          </w:rPr>
        </w:r>
        <w:r>
          <w:rPr>
            <w:noProof/>
            <w:webHidden/>
          </w:rPr>
          <w:fldChar w:fldCharType="separate"/>
        </w:r>
        <w:r w:rsidR="00AE1DE4">
          <w:rPr>
            <w:noProof/>
            <w:webHidden/>
          </w:rPr>
          <w:t>338</w:t>
        </w:r>
        <w:r>
          <w:rPr>
            <w:noProof/>
            <w:webHidden/>
          </w:rPr>
          <w:fldChar w:fldCharType="end"/>
        </w:r>
      </w:hyperlink>
    </w:p>
    <w:p w14:paraId="422E3D28" w14:textId="2EC72141"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22" w:history="1">
        <w:r w:rsidRPr="004F22BC">
          <w:rPr>
            <w:rStyle w:val="Hyperlink"/>
            <w:noProof/>
          </w:rPr>
          <w:t>Fiscal risks</w:t>
        </w:r>
        <w:r>
          <w:rPr>
            <w:noProof/>
            <w:webHidden/>
          </w:rPr>
          <w:tab/>
        </w:r>
        <w:r>
          <w:rPr>
            <w:noProof/>
            <w:webHidden/>
          </w:rPr>
          <w:fldChar w:fldCharType="begin"/>
        </w:r>
        <w:r>
          <w:rPr>
            <w:noProof/>
            <w:webHidden/>
          </w:rPr>
          <w:instrText xml:space="preserve"> PAGEREF _Toc228987422 \h </w:instrText>
        </w:r>
        <w:r>
          <w:rPr>
            <w:noProof/>
            <w:webHidden/>
          </w:rPr>
        </w:r>
        <w:r>
          <w:rPr>
            <w:noProof/>
            <w:webHidden/>
          </w:rPr>
          <w:fldChar w:fldCharType="separate"/>
        </w:r>
        <w:r w:rsidR="00AE1DE4">
          <w:rPr>
            <w:noProof/>
            <w:webHidden/>
          </w:rPr>
          <w:t>338</w:t>
        </w:r>
        <w:r>
          <w:rPr>
            <w:noProof/>
            <w:webHidden/>
          </w:rPr>
          <w:fldChar w:fldCharType="end"/>
        </w:r>
      </w:hyperlink>
    </w:p>
    <w:p w14:paraId="02ED0558" w14:textId="25E3C0D0"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23" w:history="1">
        <w:r w:rsidRPr="004F22BC">
          <w:rPr>
            <w:rStyle w:val="Hyperlink"/>
            <w:noProof/>
          </w:rPr>
          <w:t>Significant but remote contingencies</w:t>
        </w:r>
        <w:r>
          <w:rPr>
            <w:noProof/>
            <w:webHidden/>
          </w:rPr>
          <w:tab/>
        </w:r>
        <w:r>
          <w:rPr>
            <w:noProof/>
            <w:webHidden/>
          </w:rPr>
          <w:fldChar w:fldCharType="begin"/>
        </w:r>
        <w:r>
          <w:rPr>
            <w:noProof/>
            <w:webHidden/>
          </w:rPr>
          <w:instrText xml:space="preserve"> PAGEREF _Toc228987423 \h </w:instrText>
        </w:r>
        <w:r>
          <w:rPr>
            <w:noProof/>
            <w:webHidden/>
          </w:rPr>
        </w:r>
        <w:r>
          <w:rPr>
            <w:noProof/>
            <w:webHidden/>
          </w:rPr>
          <w:fldChar w:fldCharType="separate"/>
        </w:r>
        <w:r w:rsidR="00AE1DE4">
          <w:rPr>
            <w:noProof/>
            <w:webHidden/>
          </w:rPr>
          <w:t>338</w:t>
        </w:r>
        <w:r>
          <w:rPr>
            <w:noProof/>
            <w:webHidden/>
          </w:rPr>
          <w:fldChar w:fldCharType="end"/>
        </w:r>
      </w:hyperlink>
    </w:p>
    <w:p w14:paraId="59F2C454" w14:textId="21E67197"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24" w:history="1">
        <w:r w:rsidRPr="004F22BC">
          <w:rPr>
            <w:rStyle w:val="Hyperlink"/>
            <w:rFonts w:eastAsia="Arial"/>
            <w:noProof/>
          </w:rPr>
          <w:t>Contingent liabilities – unquantifiable</w:t>
        </w:r>
        <w:r>
          <w:rPr>
            <w:noProof/>
            <w:webHidden/>
          </w:rPr>
          <w:tab/>
        </w:r>
        <w:r>
          <w:rPr>
            <w:noProof/>
            <w:webHidden/>
          </w:rPr>
          <w:fldChar w:fldCharType="begin"/>
        </w:r>
        <w:r>
          <w:rPr>
            <w:noProof/>
            <w:webHidden/>
          </w:rPr>
          <w:instrText xml:space="preserve"> PAGEREF _Toc228987424 \h </w:instrText>
        </w:r>
        <w:r>
          <w:rPr>
            <w:noProof/>
            <w:webHidden/>
          </w:rPr>
        </w:r>
        <w:r>
          <w:rPr>
            <w:noProof/>
            <w:webHidden/>
          </w:rPr>
          <w:fldChar w:fldCharType="separate"/>
        </w:r>
        <w:r w:rsidR="00AE1DE4">
          <w:rPr>
            <w:noProof/>
            <w:webHidden/>
          </w:rPr>
          <w:t>340</w:t>
        </w:r>
        <w:r>
          <w:rPr>
            <w:noProof/>
            <w:webHidden/>
          </w:rPr>
          <w:fldChar w:fldCharType="end"/>
        </w:r>
      </w:hyperlink>
    </w:p>
    <w:p w14:paraId="5162AFAC" w14:textId="47F8BB0E"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25" w:history="1">
        <w:r w:rsidRPr="004F22BC">
          <w:rPr>
            <w:rStyle w:val="Hyperlink"/>
            <w:rFonts w:eastAsia="Arial"/>
            <w:noProof/>
          </w:rPr>
          <w:t>Contingent liabilities – quantifiable</w:t>
        </w:r>
        <w:r>
          <w:rPr>
            <w:noProof/>
            <w:webHidden/>
          </w:rPr>
          <w:tab/>
        </w:r>
        <w:r>
          <w:rPr>
            <w:noProof/>
            <w:webHidden/>
          </w:rPr>
          <w:fldChar w:fldCharType="begin"/>
        </w:r>
        <w:r>
          <w:rPr>
            <w:noProof/>
            <w:webHidden/>
          </w:rPr>
          <w:instrText xml:space="preserve"> PAGEREF _Toc228987425 \h </w:instrText>
        </w:r>
        <w:r>
          <w:rPr>
            <w:noProof/>
            <w:webHidden/>
          </w:rPr>
        </w:r>
        <w:r>
          <w:rPr>
            <w:noProof/>
            <w:webHidden/>
          </w:rPr>
          <w:fldChar w:fldCharType="separate"/>
        </w:r>
        <w:r w:rsidR="00AE1DE4">
          <w:rPr>
            <w:noProof/>
            <w:webHidden/>
          </w:rPr>
          <w:t>343</w:t>
        </w:r>
        <w:r>
          <w:rPr>
            <w:noProof/>
            <w:webHidden/>
          </w:rPr>
          <w:fldChar w:fldCharType="end"/>
        </w:r>
      </w:hyperlink>
    </w:p>
    <w:p w14:paraId="51FA2C34" w14:textId="4F32064C" w:rsidR="004423EC" w:rsidRDefault="004423EC">
      <w:pPr>
        <w:pStyle w:val="TOC2"/>
        <w:rPr>
          <w:rFonts w:asciiTheme="minorHAnsi" w:eastAsiaTheme="minorEastAsia" w:hAnsiTheme="minorHAnsi" w:cstheme="minorBidi"/>
          <w:noProof/>
          <w:kern w:val="2"/>
          <w:sz w:val="24"/>
          <w:szCs w:val="24"/>
          <w14:ligatures w14:val="standardContextual"/>
        </w:rPr>
      </w:pPr>
      <w:hyperlink w:anchor="_Toc228987426" w:history="1">
        <w:r w:rsidRPr="004F22BC">
          <w:rPr>
            <w:rStyle w:val="Hyperlink"/>
            <w:rFonts w:eastAsia="Arial"/>
            <w:noProof/>
          </w:rPr>
          <w:t>Veterans</w:t>
        </w:r>
        <w:r w:rsidR="00880FAB">
          <w:rPr>
            <w:rStyle w:val="Hyperlink"/>
            <w:rFonts w:eastAsia="Arial"/>
            <w:noProof/>
          </w:rPr>
          <w:t>’</w:t>
        </w:r>
        <w:r w:rsidRPr="004F22BC">
          <w:rPr>
            <w:rStyle w:val="Hyperlink"/>
            <w:rFonts w:eastAsia="Arial"/>
            <w:noProof/>
          </w:rPr>
          <w:t xml:space="preserve"> Affairs</w:t>
        </w:r>
        <w:r>
          <w:rPr>
            <w:noProof/>
            <w:webHidden/>
          </w:rPr>
          <w:tab/>
        </w:r>
        <w:r>
          <w:rPr>
            <w:noProof/>
            <w:webHidden/>
          </w:rPr>
          <w:fldChar w:fldCharType="begin"/>
        </w:r>
        <w:r>
          <w:rPr>
            <w:noProof/>
            <w:webHidden/>
          </w:rPr>
          <w:instrText xml:space="preserve"> PAGEREF _Toc228987426 \h </w:instrText>
        </w:r>
        <w:r>
          <w:rPr>
            <w:noProof/>
            <w:webHidden/>
          </w:rPr>
        </w:r>
        <w:r>
          <w:rPr>
            <w:noProof/>
            <w:webHidden/>
          </w:rPr>
          <w:fldChar w:fldCharType="separate"/>
        </w:r>
        <w:r w:rsidR="00AE1DE4">
          <w:rPr>
            <w:noProof/>
            <w:webHidden/>
          </w:rPr>
          <w:t>345</w:t>
        </w:r>
        <w:r>
          <w:rPr>
            <w:noProof/>
            <w:webHidden/>
          </w:rPr>
          <w:fldChar w:fldCharType="end"/>
        </w:r>
      </w:hyperlink>
    </w:p>
    <w:p w14:paraId="057EB51D" w14:textId="23E27E9D"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27" w:history="1">
        <w:r w:rsidRPr="004F22BC">
          <w:rPr>
            <w:rStyle w:val="Hyperlink"/>
            <w:rFonts w:eastAsia="Arial"/>
            <w:noProof/>
          </w:rPr>
          <w:t>Fiscal Risks</w:t>
        </w:r>
        <w:r>
          <w:rPr>
            <w:noProof/>
            <w:webHidden/>
          </w:rPr>
          <w:tab/>
        </w:r>
        <w:r>
          <w:rPr>
            <w:noProof/>
            <w:webHidden/>
          </w:rPr>
          <w:fldChar w:fldCharType="begin"/>
        </w:r>
        <w:r>
          <w:rPr>
            <w:noProof/>
            <w:webHidden/>
          </w:rPr>
          <w:instrText xml:space="preserve"> PAGEREF _Toc228987427 \h </w:instrText>
        </w:r>
        <w:r>
          <w:rPr>
            <w:noProof/>
            <w:webHidden/>
          </w:rPr>
        </w:r>
        <w:r>
          <w:rPr>
            <w:noProof/>
            <w:webHidden/>
          </w:rPr>
          <w:fldChar w:fldCharType="separate"/>
        </w:r>
        <w:r w:rsidR="00AE1DE4">
          <w:rPr>
            <w:noProof/>
            <w:webHidden/>
          </w:rPr>
          <w:t>345</w:t>
        </w:r>
        <w:r>
          <w:rPr>
            <w:noProof/>
            <w:webHidden/>
          </w:rPr>
          <w:fldChar w:fldCharType="end"/>
        </w:r>
      </w:hyperlink>
    </w:p>
    <w:p w14:paraId="68F6D46D" w14:textId="4097B28B" w:rsidR="004423EC" w:rsidRDefault="004423EC">
      <w:pPr>
        <w:pStyle w:val="TOC2"/>
        <w:rPr>
          <w:rFonts w:asciiTheme="minorHAnsi" w:eastAsiaTheme="minorEastAsia" w:hAnsiTheme="minorHAnsi" w:cstheme="minorBidi"/>
          <w:noProof/>
          <w:kern w:val="2"/>
          <w:sz w:val="24"/>
          <w:szCs w:val="24"/>
          <w14:ligatures w14:val="standardContextual"/>
        </w:rPr>
      </w:pPr>
      <w:hyperlink w:anchor="_Toc228987428" w:history="1">
        <w:r w:rsidRPr="004F22BC">
          <w:rPr>
            <w:rStyle w:val="Hyperlink"/>
            <w:rFonts w:eastAsia="Arial"/>
            <w:noProof/>
          </w:rPr>
          <w:t>Government loans</w:t>
        </w:r>
        <w:r>
          <w:rPr>
            <w:noProof/>
            <w:webHidden/>
          </w:rPr>
          <w:tab/>
        </w:r>
        <w:r>
          <w:rPr>
            <w:noProof/>
            <w:webHidden/>
          </w:rPr>
          <w:fldChar w:fldCharType="begin"/>
        </w:r>
        <w:r>
          <w:rPr>
            <w:noProof/>
            <w:webHidden/>
          </w:rPr>
          <w:instrText xml:space="preserve"> PAGEREF _Toc228987428 \h </w:instrText>
        </w:r>
        <w:r>
          <w:rPr>
            <w:noProof/>
            <w:webHidden/>
          </w:rPr>
        </w:r>
        <w:r>
          <w:rPr>
            <w:noProof/>
            <w:webHidden/>
          </w:rPr>
          <w:fldChar w:fldCharType="separate"/>
        </w:r>
        <w:r w:rsidR="00AE1DE4">
          <w:rPr>
            <w:noProof/>
            <w:webHidden/>
          </w:rPr>
          <w:t>346</w:t>
        </w:r>
        <w:r>
          <w:rPr>
            <w:noProof/>
            <w:webHidden/>
          </w:rPr>
          <w:fldChar w:fldCharType="end"/>
        </w:r>
      </w:hyperlink>
    </w:p>
    <w:p w14:paraId="604050F5" w14:textId="7897D975"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29" w:history="1">
        <w:r w:rsidRPr="004F22BC">
          <w:rPr>
            <w:rStyle w:val="Hyperlink"/>
            <w:rFonts w:eastAsia="Arial"/>
            <w:noProof/>
          </w:rPr>
          <w:t>Agriculture, Fisheries and Forestry</w:t>
        </w:r>
        <w:r>
          <w:rPr>
            <w:noProof/>
            <w:webHidden/>
          </w:rPr>
          <w:tab/>
        </w:r>
        <w:r>
          <w:rPr>
            <w:noProof/>
            <w:webHidden/>
          </w:rPr>
          <w:fldChar w:fldCharType="begin"/>
        </w:r>
        <w:r>
          <w:rPr>
            <w:noProof/>
            <w:webHidden/>
          </w:rPr>
          <w:instrText xml:space="preserve"> PAGEREF _Toc228987429 \h </w:instrText>
        </w:r>
        <w:r>
          <w:rPr>
            <w:noProof/>
            <w:webHidden/>
          </w:rPr>
        </w:r>
        <w:r>
          <w:rPr>
            <w:noProof/>
            <w:webHidden/>
          </w:rPr>
          <w:fldChar w:fldCharType="separate"/>
        </w:r>
        <w:r w:rsidR="00AE1DE4">
          <w:rPr>
            <w:noProof/>
            <w:webHidden/>
          </w:rPr>
          <w:t>350</w:t>
        </w:r>
        <w:r>
          <w:rPr>
            <w:noProof/>
            <w:webHidden/>
          </w:rPr>
          <w:fldChar w:fldCharType="end"/>
        </w:r>
      </w:hyperlink>
    </w:p>
    <w:p w14:paraId="1E6EAE68" w14:textId="2B76C19D"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30" w:history="1">
        <w:r w:rsidRPr="004F22BC">
          <w:rPr>
            <w:rStyle w:val="Hyperlink"/>
            <w:noProof/>
          </w:rPr>
          <w:t>Climate Change, Energy, the Environment and Water</w:t>
        </w:r>
        <w:r>
          <w:rPr>
            <w:noProof/>
            <w:webHidden/>
          </w:rPr>
          <w:tab/>
        </w:r>
        <w:r>
          <w:rPr>
            <w:noProof/>
            <w:webHidden/>
          </w:rPr>
          <w:fldChar w:fldCharType="begin"/>
        </w:r>
        <w:r>
          <w:rPr>
            <w:noProof/>
            <w:webHidden/>
          </w:rPr>
          <w:instrText xml:space="preserve"> PAGEREF _Toc228987430 \h </w:instrText>
        </w:r>
        <w:r>
          <w:rPr>
            <w:noProof/>
            <w:webHidden/>
          </w:rPr>
        </w:r>
        <w:r>
          <w:rPr>
            <w:noProof/>
            <w:webHidden/>
          </w:rPr>
          <w:fldChar w:fldCharType="separate"/>
        </w:r>
        <w:r w:rsidR="00AE1DE4">
          <w:rPr>
            <w:noProof/>
            <w:webHidden/>
          </w:rPr>
          <w:t>350</w:t>
        </w:r>
        <w:r>
          <w:rPr>
            <w:noProof/>
            <w:webHidden/>
          </w:rPr>
          <w:fldChar w:fldCharType="end"/>
        </w:r>
      </w:hyperlink>
    </w:p>
    <w:p w14:paraId="172598BC" w14:textId="26B96A92"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31" w:history="1">
        <w:r w:rsidRPr="004F22BC">
          <w:rPr>
            <w:rStyle w:val="Hyperlink"/>
            <w:rFonts w:eastAsia="Arial"/>
            <w:noProof/>
          </w:rPr>
          <w:t>Education</w:t>
        </w:r>
        <w:r>
          <w:rPr>
            <w:noProof/>
            <w:webHidden/>
          </w:rPr>
          <w:tab/>
        </w:r>
        <w:r>
          <w:rPr>
            <w:noProof/>
            <w:webHidden/>
          </w:rPr>
          <w:fldChar w:fldCharType="begin"/>
        </w:r>
        <w:r>
          <w:rPr>
            <w:noProof/>
            <w:webHidden/>
          </w:rPr>
          <w:instrText xml:space="preserve"> PAGEREF _Toc228987431 \h </w:instrText>
        </w:r>
        <w:r>
          <w:rPr>
            <w:noProof/>
            <w:webHidden/>
          </w:rPr>
        </w:r>
        <w:r>
          <w:rPr>
            <w:noProof/>
            <w:webHidden/>
          </w:rPr>
          <w:fldChar w:fldCharType="separate"/>
        </w:r>
        <w:r w:rsidR="00AE1DE4">
          <w:rPr>
            <w:noProof/>
            <w:webHidden/>
          </w:rPr>
          <w:t>351</w:t>
        </w:r>
        <w:r>
          <w:rPr>
            <w:noProof/>
            <w:webHidden/>
          </w:rPr>
          <w:fldChar w:fldCharType="end"/>
        </w:r>
      </w:hyperlink>
    </w:p>
    <w:p w14:paraId="18612CAE" w14:textId="7B72C11E"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32" w:history="1">
        <w:r w:rsidRPr="004F22BC">
          <w:rPr>
            <w:rStyle w:val="Hyperlink"/>
            <w:noProof/>
          </w:rPr>
          <w:t>Employment and Workplace Relations</w:t>
        </w:r>
        <w:r>
          <w:rPr>
            <w:noProof/>
            <w:webHidden/>
          </w:rPr>
          <w:tab/>
        </w:r>
        <w:r>
          <w:rPr>
            <w:noProof/>
            <w:webHidden/>
          </w:rPr>
          <w:fldChar w:fldCharType="begin"/>
        </w:r>
        <w:r>
          <w:rPr>
            <w:noProof/>
            <w:webHidden/>
          </w:rPr>
          <w:instrText xml:space="preserve"> PAGEREF _Toc228987432 \h </w:instrText>
        </w:r>
        <w:r>
          <w:rPr>
            <w:noProof/>
            <w:webHidden/>
          </w:rPr>
        </w:r>
        <w:r>
          <w:rPr>
            <w:noProof/>
            <w:webHidden/>
          </w:rPr>
          <w:fldChar w:fldCharType="separate"/>
        </w:r>
        <w:r w:rsidR="00AE1DE4">
          <w:rPr>
            <w:noProof/>
            <w:webHidden/>
          </w:rPr>
          <w:t>351</w:t>
        </w:r>
        <w:r>
          <w:rPr>
            <w:noProof/>
            <w:webHidden/>
          </w:rPr>
          <w:fldChar w:fldCharType="end"/>
        </w:r>
      </w:hyperlink>
    </w:p>
    <w:p w14:paraId="62FBD485" w14:textId="2F914F89" w:rsidR="004423EC" w:rsidRDefault="004423EC" w:rsidP="00F17B35">
      <w:pPr>
        <w:pStyle w:val="TOC3"/>
        <w:tabs>
          <w:tab w:val="clear" w:pos="992"/>
        </w:tabs>
        <w:rPr>
          <w:rFonts w:asciiTheme="minorHAnsi" w:eastAsiaTheme="minorEastAsia" w:hAnsiTheme="minorHAnsi" w:cstheme="minorBidi"/>
          <w:noProof/>
          <w:kern w:val="2"/>
          <w:sz w:val="24"/>
          <w:szCs w:val="24"/>
          <w:lang w:val="en-AU"/>
          <w14:ligatures w14:val="standardContextual"/>
        </w:rPr>
      </w:pPr>
      <w:hyperlink w:anchor="_Toc228987433" w:history="1">
        <w:r w:rsidRPr="004F22BC">
          <w:rPr>
            <w:rStyle w:val="Hyperlink"/>
            <w:noProof/>
          </w:rPr>
          <w:t>Finance</w:t>
        </w:r>
        <w:r>
          <w:rPr>
            <w:noProof/>
            <w:webHidden/>
          </w:rPr>
          <w:tab/>
        </w:r>
        <w:r>
          <w:rPr>
            <w:noProof/>
            <w:webHidden/>
          </w:rPr>
          <w:fldChar w:fldCharType="begin"/>
        </w:r>
        <w:r>
          <w:rPr>
            <w:noProof/>
            <w:webHidden/>
          </w:rPr>
          <w:instrText xml:space="preserve"> PAGEREF _Toc228987433 \h </w:instrText>
        </w:r>
        <w:r>
          <w:rPr>
            <w:noProof/>
            <w:webHidden/>
          </w:rPr>
        </w:r>
        <w:r>
          <w:rPr>
            <w:noProof/>
            <w:webHidden/>
          </w:rPr>
          <w:fldChar w:fldCharType="separate"/>
        </w:r>
        <w:r w:rsidR="00AE1DE4">
          <w:rPr>
            <w:noProof/>
            <w:webHidden/>
          </w:rPr>
          <w:t>352</w:t>
        </w:r>
        <w:r>
          <w:rPr>
            <w:noProof/>
            <w:webHidden/>
          </w:rPr>
          <w:fldChar w:fldCharType="end"/>
        </w:r>
      </w:hyperlink>
    </w:p>
    <w:p w14:paraId="7214CCD4" w14:textId="7B2E80B0"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34" w:history="1">
        <w:r w:rsidRPr="004F22BC">
          <w:rPr>
            <w:rStyle w:val="Hyperlink"/>
            <w:noProof/>
          </w:rPr>
          <w:t>Foreign Affairs and Trade</w:t>
        </w:r>
        <w:r>
          <w:rPr>
            <w:noProof/>
            <w:webHidden/>
          </w:rPr>
          <w:tab/>
        </w:r>
        <w:r>
          <w:rPr>
            <w:noProof/>
            <w:webHidden/>
          </w:rPr>
          <w:fldChar w:fldCharType="begin"/>
        </w:r>
        <w:r>
          <w:rPr>
            <w:noProof/>
            <w:webHidden/>
          </w:rPr>
          <w:instrText xml:space="preserve"> PAGEREF _Toc228987434 \h </w:instrText>
        </w:r>
        <w:r>
          <w:rPr>
            <w:noProof/>
            <w:webHidden/>
          </w:rPr>
        </w:r>
        <w:r>
          <w:rPr>
            <w:noProof/>
            <w:webHidden/>
          </w:rPr>
          <w:fldChar w:fldCharType="separate"/>
        </w:r>
        <w:r w:rsidR="00AE1DE4">
          <w:rPr>
            <w:noProof/>
            <w:webHidden/>
          </w:rPr>
          <w:t>352</w:t>
        </w:r>
        <w:r>
          <w:rPr>
            <w:noProof/>
            <w:webHidden/>
          </w:rPr>
          <w:fldChar w:fldCharType="end"/>
        </w:r>
      </w:hyperlink>
    </w:p>
    <w:p w14:paraId="2302CB0B" w14:textId="5A41323E"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35" w:history="1">
        <w:r w:rsidRPr="004F22BC">
          <w:rPr>
            <w:rStyle w:val="Hyperlink"/>
            <w:noProof/>
          </w:rPr>
          <w:t>Industry, Science and Resources</w:t>
        </w:r>
        <w:r>
          <w:rPr>
            <w:noProof/>
            <w:webHidden/>
          </w:rPr>
          <w:tab/>
        </w:r>
        <w:r>
          <w:rPr>
            <w:noProof/>
            <w:webHidden/>
          </w:rPr>
          <w:fldChar w:fldCharType="begin"/>
        </w:r>
        <w:r>
          <w:rPr>
            <w:noProof/>
            <w:webHidden/>
          </w:rPr>
          <w:instrText xml:space="preserve"> PAGEREF _Toc228987435 \h </w:instrText>
        </w:r>
        <w:r>
          <w:rPr>
            <w:noProof/>
            <w:webHidden/>
          </w:rPr>
        </w:r>
        <w:r>
          <w:rPr>
            <w:noProof/>
            <w:webHidden/>
          </w:rPr>
          <w:fldChar w:fldCharType="separate"/>
        </w:r>
        <w:r w:rsidR="00AE1DE4">
          <w:rPr>
            <w:noProof/>
            <w:webHidden/>
          </w:rPr>
          <w:t>353</w:t>
        </w:r>
        <w:r>
          <w:rPr>
            <w:noProof/>
            <w:webHidden/>
          </w:rPr>
          <w:fldChar w:fldCharType="end"/>
        </w:r>
      </w:hyperlink>
    </w:p>
    <w:p w14:paraId="3D34195F" w14:textId="0844BB36" w:rsidR="004423EC" w:rsidRDefault="004423EC" w:rsidP="00F17B35">
      <w:pPr>
        <w:pStyle w:val="TOC3"/>
        <w:tabs>
          <w:tab w:val="clear" w:pos="992"/>
        </w:tabs>
        <w:rPr>
          <w:rFonts w:asciiTheme="minorHAnsi" w:eastAsiaTheme="minorEastAsia" w:hAnsiTheme="minorHAnsi" w:cstheme="minorBidi"/>
          <w:noProof/>
          <w:kern w:val="2"/>
          <w:sz w:val="24"/>
          <w:szCs w:val="24"/>
          <w:lang w:val="en-AU"/>
          <w14:ligatures w14:val="standardContextual"/>
        </w:rPr>
      </w:pPr>
      <w:hyperlink w:anchor="_Toc228987436" w:history="1">
        <w:r w:rsidRPr="004F22BC">
          <w:rPr>
            <w:rStyle w:val="Hyperlink"/>
            <w:rFonts w:eastAsia="Arial"/>
            <w:noProof/>
          </w:rPr>
          <w:t xml:space="preserve">Infrastructure, Transport, Regional Development, Communications, </w:t>
        </w:r>
        <w:r w:rsidR="00F17B35">
          <w:rPr>
            <w:rStyle w:val="Hyperlink"/>
            <w:rFonts w:eastAsia="Arial"/>
            <w:noProof/>
          </w:rPr>
          <w:br/>
        </w:r>
        <w:r w:rsidRPr="004F22BC">
          <w:rPr>
            <w:rStyle w:val="Hyperlink"/>
            <w:rFonts w:eastAsia="Arial"/>
            <w:noProof/>
          </w:rPr>
          <w:t>Sport and the Arts</w:t>
        </w:r>
        <w:r>
          <w:rPr>
            <w:noProof/>
            <w:webHidden/>
          </w:rPr>
          <w:tab/>
        </w:r>
        <w:r>
          <w:rPr>
            <w:noProof/>
            <w:webHidden/>
          </w:rPr>
          <w:fldChar w:fldCharType="begin"/>
        </w:r>
        <w:r>
          <w:rPr>
            <w:noProof/>
            <w:webHidden/>
          </w:rPr>
          <w:instrText xml:space="preserve"> PAGEREF _Toc228987436 \h </w:instrText>
        </w:r>
        <w:r>
          <w:rPr>
            <w:noProof/>
            <w:webHidden/>
          </w:rPr>
        </w:r>
        <w:r>
          <w:rPr>
            <w:noProof/>
            <w:webHidden/>
          </w:rPr>
          <w:fldChar w:fldCharType="separate"/>
        </w:r>
        <w:r w:rsidR="00AE1DE4">
          <w:rPr>
            <w:noProof/>
            <w:webHidden/>
          </w:rPr>
          <w:t>353</w:t>
        </w:r>
        <w:r>
          <w:rPr>
            <w:noProof/>
            <w:webHidden/>
          </w:rPr>
          <w:fldChar w:fldCharType="end"/>
        </w:r>
      </w:hyperlink>
    </w:p>
    <w:p w14:paraId="12BE2A14" w14:textId="495E5589"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37" w:history="1">
        <w:r w:rsidRPr="004F22BC">
          <w:rPr>
            <w:rStyle w:val="Hyperlink"/>
            <w:rFonts w:eastAsia="Arial"/>
            <w:noProof/>
          </w:rPr>
          <w:t>Prime Minister and Cabinet</w:t>
        </w:r>
        <w:r>
          <w:rPr>
            <w:noProof/>
            <w:webHidden/>
          </w:rPr>
          <w:tab/>
        </w:r>
        <w:r>
          <w:rPr>
            <w:noProof/>
            <w:webHidden/>
          </w:rPr>
          <w:fldChar w:fldCharType="begin"/>
        </w:r>
        <w:r>
          <w:rPr>
            <w:noProof/>
            <w:webHidden/>
          </w:rPr>
          <w:instrText xml:space="preserve"> PAGEREF _Toc228987437 \h </w:instrText>
        </w:r>
        <w:r>
          <w:rPr>
            <w:noProof/>
            <w:webHidden/>
          </w:rPr>
        </w:r>
        <w:r>
          <w:rPr>
            <w:noProof/>
            <w:webHidden/>
          </w:rPr>
          <w:fldChar w:fldCharType="separate"/>
        </w:r>
        <w:r w:rsidR="00AE1DE4">
          <w:rPr>
            <w:noProof/>
            <w:webHidden/>
          </w:rPr>
          <w:t>354</w:t>
        </w:r>
        <w:r>
          <w:rPr>
            <w:noProof/>
            <w:webHidden/>
          </w:rPr>
          <w:fldChar w:fldCharType="end"/>
        </w:r>
      </w:hyperlink>
    </w:p>
    <w:p w14:paraId="24610F91" w14:textId="172E38D1"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38" w:history="1">
        <w:r w:rsidRPr="004F22BC">
          <w:rPr>
            <w:rStyle w:val="Hyperlink"/>
            <w:noProof/>
          </w:rPr>
          <w:t>Social Services</w:t>
        </w:r>
        <w:r>
          <w:rPr>
            <w:noProof/>
            <w:webHidden/>
          </w:rPr>
          <w:tab/>
        </w:r>
        <w:r>
          <w:rPr>
            <w:noProof/>
            <w:webHidden/>
          </w:rPr>
          <w:fldChar w:fldCharType="begin"/>
        </w:r>
        <w:r>
          <w:rPr>
            <w:noProof/>
            <w:webHidden/>
          </w:rPr>
          <w:instrText xml:space="preserve"> PAGEREF _Toc228987438 \h </w:instrText>
        </w:r>
        <w:r>
          <w:rPr>
            <w:noProof/>
            <w:webHidden/>
          </w:rPr>
        </w:r>
        <w:r>
          <w:rPr>
            <w:noProof/>
            <w:webHidden/>
          </w:rPr>
          <w:fldChar w:fldCharType="separate"/>
        </w:r>
        <w:r w:rsidR="00AE1DE4">
          <w:rPr>
            <w:noProof/>
            <w:webHidden/>
          </w:rPr>
          <w:t>354</w:t>
        </w:r>
        <w:r>
          <w:rPr>
            <w:noProof/>
            <w:webHidden/>
          </w:rPr>
          <w:fldChar w:fldCharType="end"/>
        </w:r>
      </w:hyperlink>
    </w:p>
    <w:p w14:paraId="3A9F0066" w14:textId="21E3B744" w:rsidR="004423EC" w:rsidRDefault="004423EC">
      <w:pPr>
        <w:pStyle w:val="TOC3"/>
        <w:rPr>
          <w:rFonts w:asciiTheme="minorHAnsi" w:eastAsiaTheme="minorEastAsia" w:hAnsiTheme="minorHAnsi" w:cstheme="minorBidi"/>
          <w:noProof/>
          <w:kern w:val="2"/>
          <w:sz w:val="24"/>
          <w:szCs w:val="24"/>
          <w:lang w:val="en-AU"/>
          <w14:ligatures w14:val="standardContextual"/>
        </w:rPr>
      </w:pPr>
      <w:hyperlink w:anchor="_Toc228987439" w:history="1">
        <w:r w:rsidRPr="004F22BC">
          <w:rPr>
            <w:rStyle w:val="Hyperlink"/>
            <w:rFonts w:eastAsia="Arial"/>
            <w:noProof/>
          </w:rPr>
          <w:t>Treasury</w:t>
        </w:r>
        <w:r>
          <w:rPr>
            <w:noProof/>
            <w:webHidden/>
          </w:rPr>
          <w:tab/>
        </w:r>
        <w:r>
          <w:rPr>
            <w:noProof/>
            <w:webHidden/>
          </w:rPr>
          <w:fldChar w:fldCharType="begin"/>
        </w:r>
        <w:r>
          <w:rPr>
            <w:noProof/>
            <w:webHidden/>
          </w:rPr>
          <w:instrText xml:space="preserve"> PAGEREF _Toc228987439 \h </w:instrText>
        </w:r>
        <w:r>
          <w:rPr>
            <w:noProof/>
            <w:webHidden/>
          </w:rPr>
        </w:r>
        <w:r>
          <w:rPr>
            <w:noProof/>
            <w:webHidden/>
          </w:rPr>
          <w:fldChar w:fldCharType="separate"/>
        </w:r>
        <w:r w:rsidR="00AE1DE4">
          <w:rPr>
            <w:noProof/>
            <w:webHidden/>
          </w:rPr>
          <w:t>355</w:t>
        </w:r>
        <w:r>
          <w:rPr>
            <w:noProof/>
            <w:webHidden/>
          </w:rPr>
          <w:fldChar w:fldCharType="end"/>
        </w:r>
      </w:hyperlink>
    </w:p>
    <w:p w14:paraId="5B7B46F9" w14:textId="00DF10EA" w:rsidR="00F1260C" w:rsidRPr="00D12C6F" w:rsidRDefault="00AA73EB" w:rsidP="00060E47">
      <w:pPr>
        <w:rPr>
          <w:rFonts w:eastAsia="Book Antiqua"/>
        </w:rPr>
        <w:sectPr w:rsidR="00F1260C" w:rsidRPr="00D12C6F" w:rsidSect="00B816B9">
          <w:headerReference w:type="even" r:id="rId12"/>
          <w:footerReference w:type="even" r:id="rId13"/>
          <w:headerReference w:type="first" r:id="rId14"/>
          <w:footerReference w:type="first" r:id="rId15"/>
          <w:pgSz w:w="11907" w:h="16840" w:code="9"/>
          <w:pgMar w:top="2835" w:right="2098" w:bottom="2466" w:left="2098" w:header="1814" w:footer="1814" w:gutter="0"/>
          <w:cols w:space="708"/>
          <w:titlePg/>
          <w:docGrid w:linePitch="360"/>
        </w:sectPr>
      </w:pPr>
      <w:r w:rsidRPr="00D12C6F">
        <w:rPr>
          <w:b/>
          <w:position w:val="-1"/>
          <w:sz w:val="20"/>
        </w:rPr>
        <w:fldChar w:fldCharType="end"/>
      </w:r>
    </w:p>
    <w:p w14:paraId="624C0FB3" w14:textId="58D9FC76" w:rsidR="007B5C53" w:rsidRPr="00D12C6F" w:rsidRDefault="00D306D1" w:rsidP="00D12C6F">
      <w:pPr>
        <w:pStyle w:val="Heading1"/>
        <w:rPr>
          <w:rFonts w:eastAsia="Book Antiqua"/>
        </w:rPr>
      </w:pPr>
      <w:r w:rsidRPr="00D12C6F">
        <w:rPr>
          <w:rFonts w:eastAsia="Book Antiqua"/>
        </w:rPr>
        <w:lastRenderedPageBreak/>
        <w:t>Statement</w:t>
      </w:r>
      <w:r w:rsidR="007B5C53" w:rsidRPr="00D12C6F">
        <w:rPr>
          <w:rFonts w:eastAsia="Book Antiqua"/>
        </w:rPr>
        <w:t xml:space="preserve"> </w:t>
      </w:r>
      <w:r w:rsidR="00C80015" w:rsidRPr="00D12C6F">
        <w:rPr>
          <w:rFonts w:eastAsia="Book Antiqua"/>
        </w:rPr>
        <w:t>9</w:t>
      </w:r>
      <w:r w:rsidR="007B5C53" w:rsidRPr="00D12C6F">
        <w:rPr>
          <w:rFonts w:eastAsia="Book Antiqua"/>
        </w:rPr>
        <w:t>: Statement of Risks</w:t>
      </w:r>
    </w:p>
    <w:p w14:paraId="3A4DDFD8" w14:textId="77777777" w:rsidR="00ED1026" w:rsidRPr="00D12C6F" w:rsidRDefault="00ED1026" w:rsidP="00ED1026">
      <w:pPr>
        <w:pStyle w:val="Heading2"/>
        <w:rPr>
          <w:rFonts w:eastAsia="Arial"/>
        </w:rPr>
      </w:pPr>
      <w:bookmarkStart w:id="1" w:name="Statement_8:_Statement_of_Risks"/>
      <w:bookmarkStart w:id="2" w:name="_Toc71117767"/>
      <w:bookmarkStart w:id="3" w:name="_Toc99141849"/>
      <w:bookmarkStart w:id="4" w:name="_Toc184039465"/>
      <w:bookmarkStart w:id="5" w:name="_Toc228987372"/>
      <w:bookmarkEnd w:id="1"/>
      <w:r w:rsidRPr="00D12C6F">
        <w:rPr>
          <w:rFonts w:eastAsia="Arial"/>
        </w:rPr>
        <w:t>Overview</w:t>
      </w:r>
      <w:bookmarkEnd w:id="2"/>
      <w:bookmarkEnd w:id="3"/>
      <w:bookmarkEnd w:id="4"/>
      <w:bookmarkEnd w:id="5"/>
    </w:p>
    <w:p w14:paraId="589127AD" w14:textId="77777777" w:rsidR="00ED1026" w:rsidRPr="00D12C6F" w:rsidRDefault="00ED1026" w:rsidP="00ED1026">
      <w:pPr>
        <w:rPr>
          <w:rFonts w:eastAsia="Book Antiqua"/>
        </w:rPr>
      </w:pPr>
      <w:bookmarkStart w:id="6" w:name="_Toc184039466"/>
      <w:bookmarkStart w:id="7" w:name="_Toc166165483"/>
      <w:r w:rsidRPr="00D12C6F">
        <w:rPr>
          <w:rFonts w:eastAsia="Book Antiqua"/>
        </w:rPr>
        <w:t>The forward estimates of revenue and expenses in the 2026–27 Budget incorporate assumptions, forecasts, projections, and judgments based on the best information available at the time of publication.</w:t>
      </w:r>
    </w:p>
    <w:p w14:paraId="53ABF941" w14:textId="77777777" w:rsidR="00ED1026" w:rsidRPr="00D12C6F" w:rsidRDefault="00ED1026" w:rsidP="00ED1026">
      <w:pPr>
        <w:rPr>
          <w:rFonts w:eastAsia="Book Antiqua"/>
        </w:rPr>
      </w:pPr>
      <w:r w:rsidRPr="00D12C6F">
        <w:rPr>
          <w:rFonts w:eastAsia="Book Antiqua"/>
        </w:rPr>
        <w:t xml:space="preserve">Events that could affect fiscal outcomes include: </w:t>
      </w:r>
    </w:p>
    <w:p w14:paraId="0786118D" w14:textId="77777777" w:rsidR="00ED1026" w:rsidRPr="00D12C6F" w:rsidRDefault="00ED1026" w:rsidP="00ED1026">
      <w:pPr>
        <w:pStyle w:val="Bullet"/>
        <w:rPr>
          <w:rFonts w:eastAsia="Book Antiqua"/>
        </w:rPr>
      </w:pPr>
      <w:r w:rsidRPr="00D12C6F">
        <w:rPr>
          <w:rFonts w:eastAsia="Book Antiqua"/>
        </w:rPr>
        <w:t>changes in economic and other parameters, which may be driven by the evolution of, and responses to, domestic and global inflationary pressures, volatility in global commodity prices, instability stemming from international conflicts, and the challenges associated with the transition towards net zero emissions</w:t>
      </w:r>
    </w:p>
    <w:p w14:paraId="3D5C0705" w14:textId="77777777" w:rsidR="00ED1026" w:rsidRPr="00D12C6F" w:rsidRDefault="00ED1026" w:rsidP="00ED1026">
      <w:pPr>
        <w:pStyle w:val="Bullet"/>
        <w:rPr>
          <w:rFonts w:eastAsia="Book Antiqua"/>
        </w:rPr>
      </w:pPr>
      <w:r w:rsidRPr="00D12C6F">
        <w:rPr>
          <w:rFonts w:eastAsia="Book Antiqua"/>
        </w:rPr>
        <w:t>matters not included in the fiscal forecasts because of uncertainty about their timing, magnitude or likelihood</w:t>
      </w:r>
    </w:p>
    <w:p w14:paraId="0E861885" w14:textId="77777777" w:rsidR="00ED1026" w:rsidRPr="00D12C6F" w:rsidRDefault="00ED1026" w:rsidP="00ED1026">
      <w:pPr>
        <w:pStyle w:val="Bullet"/>
        <w:rPr>
          <w:rFonts w:eastAsia="Book Antiqua"/>
        </w:rPr>
      </w:pPr>
      <w:r w:rsidRPr="00D12C6F">
        <w:rPr>
          <w:rFonts w:eastAsia="Book Antiqua"/>
        </w:rPr>
        <w:t>the realisation of contingent liabilities or assets.</w:t>
      </w:r>
    </w:p>
    <w:p w14:paraId="496767A7" w14:textId="77777777" w:rsidR="00ED1026" w:rsidRPr="00D12C6F" w:rsidRDefault="00ED1026" w:rsidP="00ED1026">
      <w:pPr>
        <w:rPr>
          <w:rFonts w:eastAsia="Book Antiqua"/>
          <w:i/>
        </w:rPr>
      </w:pPr>
      <w:r w:rsidRPr="00D12C6F">
        <w:rPr>
          <w:rFonts w:eastAsia="Book Antiqua"/>
        </w:rPr>
        <w:t xml:space="preserve">The revenue and expense estimates and projections published in the </w:t>
      </w:r>
      <w:r w:rsidRPr="008106E2">
        <w:rPr>
          <w:rStyle w:val="Emphasis"/>
          <w:rFonts w:eastAsia="Book Antiqua"/>
          <w:i w:val="0"/>
          <w:iCs w:val="0"/>
        </w:rPr>
        <w:t>2026–27</w:t>
      </w:r>
      <w:r w:rsidRPr="00D12C6F">
        <w:rPr>
          <w:rFonts w:eastAsia="Book Antiqua"/>
        </w:rPr>
        <w:t xml:space="preserve"> Budget are based on a range of economic and other parameters that are consistent with the domestic and international outlook detailed in </w:t>
      </w:r>
      <w:r w:rsidRPr="00374F03">
        <w:rPr>
          <w:rStyle w:val="Emphasis"/>
          <w:rFonts w:eastAsia="Book Antiqua"/>
        </w:rPr>
        <w:t>Statement 2: Economic Outlook</w:t>
      </w:r>
      <w:r w:rsidRPr="00D12C6F">
        <w:rPr>
          <w:rFonts w:eastAsia="Book Antiqua"/>
        </w:rPr>
        <w:t xml:space="preserve">. Economic outcomes that differ from the parameters used in the Budget represent a material risk to the budget estimates. </w:t>
      </w:r>
      <w:r w:rsidRPr="00374F03">
        <w:rPr>
          <w:rStyle w:val="Emphasis"/>
          <w:rFonts w:eastAsia="Book Antiqua"/>
        </w:rPr>
        <w:t>Statement 8: Forecasting Performance and Sensitivity Analysis</w:t>
      </w:r>
      <w:r w:rsidRPr="00D12C6F">
        <w:rPr>
          <w:rFonts w:eastAsia="Book Antiqua"/>
        </w:rPr>
        <w:t xml:space="preserve"> examines the variance between estimates and actuals and explores the uncertainty and sensitivity of budget estimates.</w:t>
      </w:r>
    </w:p>
    <w:p w14:paraId="1F005A7F" w14:textId="570C6A24" w:rsidR="00ED1026" w:rsidRPr="00D12C6F" w:rsidRDefault="00ED1026" w:rsidP="00ED1026">
      <w:pPr>
        <w:rPr>
          <w:rFonts w:eastAsia="Book Antiqua"/>
          <w:i/>
        </w:rPr>
      </w:pPr>
      <w:r w:rsidRPr="00D12C6F">
        <w:rPr>
          <w:rFonts w:eastAsia="Book Antiqua"/>
        </w:rPr>
        <w:t xml:space="preserve">As discussed in </w:t>
      </w:r>
      <w:r w:rsidRPr="00374F03">
        <w:rPr>
          <w:rStyle w:val="Emphasis"/>
          <w:rFonts w:eastAsia="Book Antiqua"/>
        </w:rPr>
        <w:t>Statement 2: Economic Outlook,</w:t>
      </w:r>
      <w:r w:rsidRPr="00D12C6F">
        <w:rPr>
          <w:rFonts w:eastAsia="Book Antiqua"/>
          <w:i/>
          <w:iCs/>
        </w:rPr>
        <w:t xml:space="preserve"> </w:t>
      </w:r>
      <w:r w:rsidRPr="00D12C6F">
        <w:rPr>
          <w:rFonts w:eastAsia="Book Antiqua"/>
        </w:rPr>
        <w:t>consequences of conflict in the Middle</w:t>
      </w:r>
      <w:r w:rsidR="00081CA0">
        <w:rPr>
          <w:rFonts w:eastAsia="Book Antiqua"/>
        </w:rPr>
        <w:t> </w:t>
      </w:r>
      <w:r w:rsidRPr="00D12C6F">
        <w:rPr>
          <w:rFonts w:eastAsia="Book Antiqua"/>
        </w:rPr>
        <w:t>East poses a significant risk to the global economy through energy market disruption. Higher energy prices place pressure on inflation in Australia and other economies where inflation remains above target, but may improve Australia</w:t>
      </w:r>
      <w:r w:rsidR="00880FAB">
        <w:rPr>
          <w:rFonts w:eastAsia="Book Antiqua"/>
        </w:rPr>
        <w:t>’</w:t>
      </w:r>
      <w:r w:rsidRPr="00D12C6F">
        <w:rPr>
          <w:rFonts w:eastAsia="Book Antiqua"/>
        </w:rPr>
        <w:t xml:space="preserve">s terms of trade, as a major </w:t>
      </w:r>
      <w:r>
        <w:rPr>
          <w:rFonts w:eastAsia="Book Antiqua"/>
        </w:rPr>
        <w:t>l</w:t>
      </w:r>
      <w:r w:rsidRPr="00D12C6F">
        <w:rPr>
          <w:rFonts w:eastAsia="Book Antiqua"/>
        </w:rPr>
        <w:t xml:space="preserve">iquefied </w:t>
      </w:r>
      <w:r>
        <w:rPr>
          <w:rFonts w:eastAsia="Book Antiqua"/>
        </w:rPr>
        <w:t>n</w:t>
      </w:r>
      <w:r w:rsidRPr="00D12C6F">
        <w:rPr>
          <w:rFonts w:eastAsia="Book Antiqua"/>
        </w:rPr>
        <w:t xml:space="preserve">atural </w:t>
      </w:r>
      <w:r>
        <w:rPr>
          <w:rFonts w:eastAsia="Book Antiqua"/>
        </w:rPr>
        <w:t>g</w:t>
      </w:r>
      <w:r w:rsidRPr="00D12C6F">
        <w:rPr>
          <w:rFonts w:eastAsia="Book Antiqua"/>
        </w:rPr>
        <w:t>as exporter. The uncertainty surrounding flow</w:t>
      </w:r>
      <w:r w:rsidR="00880FAB">
        <w:rPr>
          <w:rFonts w:eastAsia="Book Antiqua"/>
        </w:rPr>
        <w:noBreakHyphen/>
      </w:r>
      <w:r w:rsidRPr="00D12C6F">
        <w:rPr>
          <w:rFonts w:eastAsia="Book Antiqua"/>
        </w:rPr>
        <w:t>on effects from conflict in the Middle East may impact the accuracy of the budget estimates.</w:t>
      </w:r>
    </w:p>
    <w:p w14:paraId="6B9C7208" w14:textId="62868647" w:rsidR="00ED1026" w:rsidRPr="00D12C6F" w:rsidRDefault="00ED1026" w:rsidP="00ED1026">
      <w:pPr>
        <w:rPr>
          <w:rFonts w:eastAsia="Book Antiqua"/>
        </w:rPr>
      </w:pPr>
      <w:r w:rsidRPr="00D12C6F">
        <w:rPr>
          <w:rFonts w:eastAsia="Book Antiqua"/>
        </w:rPr>
        <w:t>Expenditure can differ from estimates for program specific reasons. Estimates of payments for demand</w:t>
      </w:r>
      <w:r w:rsidR="00880FAB">
        <w:rPr>
          <w:rFonts w:eastAsia="Book Antiqua"/>
        </w:rPr>
        <w:noBreakHyphen/>
      </w:r>
      <w:r w:rsidRPr="00D12C6F">
        <w:rPr>
          <w:rFonts w:eastAsia="Book Antiqua"/>
        </w:rPr>
        <w:t>driven programs, such as payments related to Aged Care, Child Care or the NDIS, are highly dependent on estimates of the number of expected participants or beneficiaries and estimates of the cost of providing services to different cohorts of participants. Decisions made by courts, tribunals and other legal</w:t>
      </w:r>
      <w:r>
        <w:rPr>
          <w:rFonts w:eastAsia="Book Antiqua"/>
        </w:rPr>
        <w:t xml:space="preserve"> or </w:t>
      </w:r>
      <w:r w:rsidRPr="00D12C6F">
        <w:rPr>
          <w:rFonts w:eastAsia="Book Antiqua"/>
        </w:rPr>
        <w:t xml:space="preserve">statutory bodies (such as through the Fair Work Commission) can also affect the cost of activities funded by the Government. Significant variations in estimates are outlined in </w:t>
      </w:r>
      <w:r w:rsidRPr="00374F03">
        <w:rPr>
          <w:rStyle w:val="Emphasis"/>
          <w:rFonts w:eastAsia="Book Antiqua"/>
        </w:rPr>
        <w:t>Statement 3: Fiscal Strategy and Outlook</w:t>
      </w:r>
      <w:r w:rsidRPr="00D12C6F">
        <w:rPr>
          <w:rFonts w:eastAsia="Book Antiqua"/>
        </w:rPr>
        <w:t>.</w:t>
      </w:r>
    </w:p>
    <w:p w14:paraId="6BCF8A13" w14:textId="77777777" w:rsidR="00ED1026" w:rsidRPr="00D12C6F" w:rsidRDefault="00ED1026" w:rsidP="00ED1026">
      <w:pPr>
        <w:rPr>
          <w:rFonts w:eastAsia="Book Antiqua"/>
        </w:rPr>
      </w:pPr>
      <w:r w:rsidRPr="00D12C6F">
        <w:rPr>
          <w:rFonts w:eastAsia="Book Antiqua"/>
        </w:rPr>
        <w:t xml:space="preserve">Revenue forecasting relies heavily on the observed relationships between the economy, tax bases and tax revenues. Such relationships may shift over time as the economy changes, presenting risk to the estimates. For example, the ability of entities to use tax losses to offset </w:t>
      </w:r>
      <w:r w:rsidRPr="00D12C6F">
        <w:rPr>
          <w:rFonts w:eastAsia="Book Antiqua"/>
        </w:rPr>
        <w:lastRenderedPageBreak/>
        <w:t>profits may continue to pose heightened challenges in estimating the profile for company and resource tax receipts. Revenue forecasts also incorporate costings for new policies that typically involve a degree of uncertainty.</w:t>
      </w:r>
    </w:p>
    <w:p w14:paraId="13F0EDC5" w14:textId="77777777" w:rsidR="00ED1026" w:rsidRPr="00D12C6F" w:rsidRDefault="00ED1026" w:rsidP="00ED1026">
      <w:pPr>
        <w:rPr>
          <w:rFonts w:eastAsia="Book Antiqua"/>
        </w:rPr>
      </w:pPr>
      <w:r w:rsidRPr="00D12C6F">
        <w:rPr>
          <w:rFonts w:eastAsia="Book Antiqua"/>
        </w:rPr>
        <w:t>The estimates and projections of revenue are also subject to general risks that can affect taxation collections. These risks include the ability of the tax system to keep pace with changes in the business environment, the potential for tax avoidance, pending court decisions and Australian Taxation Office rulings, and the uncertain outcomes of compliance programs. The manifestation of these risks may result in a shift in the composition of taxation collected from the various tax bases or a change in the size of the tax base.</w:t>
      </w:r>
    </w:p>
    <w:p w14:paraId="1CDE6394" w14:textId="77777777" w:rsidR="00ED1026" w:rsidRPr="00D12C6F" w:rsidRDefault="00ED1026" w:rsidP="00ED1026">
      <w:pPr>
        <w:rPr>
          <w:rFonts w:eastAsia="Book Antiqua"/>
        </w:rPr>
      </w:pPr>
      <w:r w:rsidRPr="00D12C6F">
        <w:rPr>
          <w:rFonts w:eastAsia="Book Antiqua"/>
        </w:rPr>
        <w:t xml:space="preserve">Many entities rely on external revenue to fund the delivery of some of their services. Estimates included in the 2026–27 Budget for these entities reflect the latest information about the likely amount of external revenue they will raise. There are some common factors that affect the actual revenue collected by entities. Key among the common factors are the prevailing economic conditions, which can affect estimates for individual entities and for the </w:t>
      </w:r>
      <w:proofErr w:type="gramStart"/>
      <w:r w:rsidRPr="00D12C6F">
        <w:rPr>
          <w:rFonts w:eastAsia="Book Antiqua"/>
        </w:rPr>
        <w:t>budget as a whole</w:t>
      </w:r>
      <w:proofErr w:type="gramEnd"/>
      <w:r w:rsidRPr="00D12C6F">
        <w:rPr>
          <w:rFonts w:eastAsia="Book Antiqua"/>
        </w:rPr>
        <w:t xml:space="preserve">. </w:t>
      </w:r>
    </w:p>
    <w:p w14:paraId="1A9EE369" w14:textId="77777777" w:rsidR="00ED1026" w:rsidRPr="00D12C6F" w:rsidRDefault="00ED1026" w:rsidP="00ED1026">
      <w:pPr>
        <w:rPr>
          <w:rFonts w:eastAsia="Book Antiqua"/>
        </w:rPr>
      </w:pPr>
      <w:r w:rsidRPr="00D12C6F">
        <w:rPr>
          <w:rFonts w:eastAsia="Book Antiqua"/>
        </w:rPr>
        <w:t>The forward estimates in the 2026–27 Budget include the impact of all policy decisions, including those that remain unlegislated. This includes the impact of policy decisions that have been made but where negotiations remain underway or implementation details are still being finalised. There are risks to the fiscal position where legislation is not passed in time, where negotiations deliver outcomes that go beyond the funding offer or where final implementation details affect the timing or quantum of expected payments.</w:t>
      </w:r>
    </w:p>
    <w:p w14:paraId="5C86E0ED" w14:textId="77777777" w:rsidR="00ED1026" w:rsidRPr="00D12C6F" w:rsidRDefault="00ED1026" w:rsidP="00ED1026">
      <w:pPr>
        <w:pStyle w:val="Heading3"/>
      </w:pPr>
      <w:bookmarkStart w:id="8" w:name="_Toc228987373"/>
      <w:r w:rsidRPr="00D12C6F">
        <w:t>The risks associated with climate change</w:t>
      </w:r>
      <w:bookmarkEnd w:id="6"/>
      <w:bookmarkEnd w:id="8"/>
    </w:p>
    <w:bookmarkEnd w:id="7"/>
    <w:p w14:paraId="3D6FBD43" w14:textId="77777777" w:rsidR="00ED1026" w:rsidRPr="00D12C6F" w:rsidRDefault="00ED1026" w:rsidP="00ED1026">
      <w:pPr>
        <w:rPr>
          <w:rFonts w:eastAsia="Book Antiqua"/>
        </w:rPr>
      </w:pPr>
      <w:r w:rsidRPr="00D12C6F">
        <w:rPr>
          <w:rFonts w:eastAsia="Book Antiqua"/>
        </w:rPr>
        <w:t>Over time, climate change is expected to have a significant impact on the budget, both in terms of risks and opportunities. The Government is managing these impacts by reducing emissions and supporting the economic opportunities presented by the net zero transition. However, there is still significant uncertainty about the trajectory of global greenhouse gas emissions and the impacts climate change will have on Australia.</w:t>
      </w:r>
    </w:p>
    <w:p w14:paraId="02BC9307" w14:textId="5C47A13E" w:rsidR="00ED1026" w:rsidRPr="00D12C6F" w:rsidRDefault="00ED1026" w:rsidP="00ED1026">
      <w:pPr>
        <w:rPr>
          <w:rFonts w:eastAsia="Book Antiqua"/>
        </w:rPr>
      </w:pPr>
      <w:r w:rsidRPr="00D12C6F">
        <w:rPr>
          <w:rFonts w:eastAsia="Book Antiqua"/>
        </w:rPr>
        <w:t>Climate change can affect macroeconomic and fiscal outcomes in various ways. These include the physical impacts of climate change, the indirect impacts climate change will have on Australia</w:t>
      </w:r>
      <w:r w:rsidR="00880FAB">
        <w:rPr>
          <w:rFonts w:eastAsia="Book Antiqua"/>
        </w:rPr>
        <w:t>’</w:t>
      </w:r>
      <w:r w:rsidRPr="00D12C6F">
        <w:rPr>
          <w:rFonts w:eastAsia="Book Antiqua"/>
        </w:rPr>
        <w:t>s industry mix, and the impacts of policy responses in Australia and other countries to reduce emissions or adapt to the impacts of a changing climate. Each of these has the potential to affect receipts, payments, and the Government</w:t>
      </w:r>
      <w:r w:rsidR="00880FAB">
        <w:rPr>
          <w:rFonts w:eastAsia="Book Antiqua"/>
        </w:rPr>
        <w:t>’</w:t>
      </w:r>
      <w:r w:rsidRPr="00D12C6F">
        <w:rPr>
          <w:rFonts w:eastAsia="Book Antiqua"/>
        </w:rPr>
        <w:t>s balance sheet. They also have the potential to influence general economic outcomes, which may, in turn, affect budget outcomes.</w:t>
      </w:r>
    </w:p>
    <w:p w14:paraId="1761254C" w14:textId="6ABBA4E3" w:rsidR="00ED1026" w:rsidRPr="00D12C6F" w:rsidRDefault="00ED1026" w:rsidP="00ED1026">
      <w:pPr>
        <w:rPr>
          <w:rFonts w:eastAsia="Book Antiqua"/>
        </w:rPr>
      </w:pPr>
      <w:r w:rsidRPr="00D12C6F">
        <w:rPr>
          <w:rFonts w:eastAsia="Book Antiqua"/>
        </w:rPr>
        <w:t xml:space="preserve">This Statement sets out specific risks where they may have an impact on the budget in the budget year or over the forward estimates period. Some of these risks, such as those associated with extreme weather events and related flooding reinsurance pool and disaster recovery arrangements, are likely to be exacerbated by climate change over time. Other specific risks may emerge that will impact the budget beyond the forward estimates period. </w:t>
      </w:r>
    </w:p>
    <w:p w14:paraId="04E09F78" w14:textId="77777777" w:rsidR="00ED1026" w:rsidRPr="00D12C6F" w:rsidRDefault="00ED1026" w:rsidP="00ED1026">
      <w:pPr>
        <w:pStyle w:val="Heading3"/>
        <w:rPr>
          <w:rFonts w:eastAsia="Arial"/>
        </w:rPr>
      </w:pPr>
      <w:bookmarkStart w:id="9" w:name="_Toc166165484"/>
      <w:bookmarkStart w:id="10" w:name="_Toc184039467"/>
      <w:bookmarkStart w:id="11" w:name="_Toc228987374"/>
      <w:bookmarkStart w:id="12" w:name="_Toc99141850"/>
      <w:r w:rsidRPr="00D12C6F">
        <w:rPr>
          <w:rFonts w:eastAsia="Arial"/>
        </w:rPr>
        <w:lastRenderedPageBreak/>
        <w:t>Specialist direct Investment Vehicles</w:t>
      </w:r>
      <w:bookmarkEnd w:id="9"/>
      <w:bookmarkEnd w:id="10"/>
      <w:bookmarkEnd w:id="11"/>
    </w:p>
    <w:p w14:paraId="38527451" w14:textId="77777777" w:rsidR="00ED1026" w:rsidRPr="00D12C6F" w:rsidRDefault="00ED1026" w:rsidP="00ED1026">
      <w:pPr>
        <w:rPr>
          <w:rFonts w:eastAsia="Book Antiqua"/>
        </w:rPr>
      </w:pPr>
      <w:bookmarkStart w:id="13" w:name="_Toc166165485"/>
      <w:bookmarkStart w:id="14" w:name="_Toc184039468"/>
      <w:bookmarkEnd w:id="12"/>
      <w:r w:rsidRPr="00D12C6F">
        <w:rPr>
          <w:rFonts w:eastAsia="Book Antiqua"/>
        </w:rPr>
        <w:t>Successive Australian Governments have established Specialist direct Investment Vehicles (SIVs) to finance sectors of the economy to achieve policy outcomes. As at the 2026–27 Budget, there are eight SIVs: the Australian Infrastructure Financing Facility for the Pacific, the Australian Renewable Energy Agency, the Clean Energy Finance Corporation, Export Finance Australia, Housing Australia, the National Reconstruction Fund Corporation, the Northern Australia Infrastructure Facility and the Regional Investment Corporation. These SIVs have robust governance arrangements, including their</w:t>
      </w:r>
      <w:r>
        <w:rPr>
          <w:rFonts w:eastAsia="Book Antiqua"/>
        </w:rPr>
        <w:t> </w:t>
      </w:r>
      <w:r w:rsidRPr="00D12C6F">
        <w:rPr>
          <w:rFonts w:eastAsia="Book Antiqua"/>
        </w:rPr>
        <w:t>own boards that make independent investment decisions balancing commercial and</w:t>
      </w:r>
      <w:r>
        <w:rPr>
          <w:rFonts w:eastAsia="Book Antiqua"/>
        </w:rPr>
        <w:t> </w:t>
      </w:r>
      <w:r w:rsidRPr="00D12C6F">
        <w:rPr>
          <w:rFonts w:eastAsia="Book Antiqua"/>
        </w:rPr>
        <w:t xml:space="preserve">policy outcomes. </w:t>
      </w:r>
    </w:p>
    <w:p w14:paraId="4E452A55" w14:textId="3317DCB9" w:rsidR="00ED1026" w:rsidRPr="00D12C6F" w:rsidRDefault="00ED1026" w:rsidP="00ED1026">
      <w:pPr>
        <w:rPr>
          <w:rFonts w:eastAsia="Book Antiqua"/>
        </w:rPr>
      </w:pPr>
      <w:r w:rsidRPr="00D12C6F">
        <w:rPr>
          <w:rFonts w:eastAsia="Book Antiqua"/>
        </w:rPr>
        <w:t xml:space="preserve">Details of each SIV are set out in Budget Paper No. 2 or Appendix A to the MYEFO when they are established and, where relevant, in the </w:t>
      </w:r>
      <w:r w:rsidR="00880FAB">
        <w:rPr>
          <w:rFonts w:eastAsia="Book Antiqua"/>
        </w:rPr>
        <w:t>‘</w:t>
      </w:r>
      <w:r w:rsidRPr="00D12C6F">
        <w:rPr>
          <w:rFonts w:eastAsia="Book Antiqua"/>
        </w:rPr>
        <w:t>Government loans</w:t>
      </w:r>
      <w:r w:rsidR="00880FAB">
        <w:rPr>
          <w:rFonts w:eastAsia="Book Antiqua"/>
        </w:rPr>
        <w:t>’</w:t>
      </w:r>
      <w:r w:rsidRPr="00D12C6F">
        <w:rPr>
          <w:rFonts w:eastAsia="Book Antiqua"/>
        </w:rPr>
        <w:t xml:space="preserve"> section of this Statement, including the total value of loans issued by each entity. This Statement includes reference to specific risks associated with these SIVs at the time it is apparent that the impact of those risks associated with the investments exceed or are expected to exceed the materiality threshold of $20 million in any one year, or $50</w:t>
      </w:r>
      <w:r w:rsidR="00AA06F4">
        <w:rPr>
          <w:rFonts w:eastAsia="Book Antiqua"/>
        </w:rPr>
        <w:t> million</w:t>
      </w:r>
      <w:r w:rsidRPr="00D12C6F">
        <w:rPr>
          <w:rFonts w:eastAsia="Book Antiqua"/>
        </w:rPr>
        <w:t xml:space="preserve"> over the forward estimates period.</w:t>
      </w:r>
    </w:p>
    <w:p w14:paraId="4E75CFBA" w14:textId="77777777" w:rsidR="00ED1026" w:rsidRPr="00D12C6F" w:rsidRDefault="00ED1026" w:rsidP="00ED1026">
      <w:pPr>
        <w:pStyle w:val="Heading3"/>
        <w:rPr>
          <w:rFonts w:eastAsia="Arial"/>
        </w:rPr>
      </w:pPr>
      <w:bookmarkStart w:id="15" w:name="_Toc228987375"/>
      <w:r w:rsidRPr="00D12C6F">
        <w:rPr>
          <w:rFonts w:eastAsia="Arial"/>
        </w:rPr>
        <w:t xml:space="preserve">Specific risks to the </w:t>
      </w:r>
      <w:r>
        <w:rPr>
          <w:rFonts w:eastAsia="Arial"/>
        </w:rPr>
        <w:t>b</w:t>
      </w:r>
      <w:r w:rsidRPr="00D12C6F">
        <w:rPr>
          <w:rFonts w:eastAsia="Arial"/>
        </w:rPr>
        <w:t>udget</w:t>
      </w:r>
      <w:bookmarkEnd w:id="13"/>
      <w:bookmarkEnd w:id="14"/>
      <w:bookmarkEnd w:id="15"/>
    </w:p>
    <w:p w14:paraId="18AEEC0A" w14:textId="77777777" w:rsidR="00ED1026" w:rsidRPr="00D12C6F" w:rsidRDefault="00ED1026" w:rsidP="00ED1026">
      <w:pPr>
        <w:rPr>
          <w:rFonts w:eastAsia="Book Antiqua"/>
        </w:rPr>
      </w:pPr>
      <w:r w:rsidRPr="00D12C6F">
        <w:rPr>
          <w:rFonts w:eastAsia="Book Antiqua"/>
        </w:rPr>
        <w:t>The budget is subject to contingent liabilities. Many of these reflect indemnities, including those relating to the Department of Defence, the Future Fund Management Agency and Future Fund Board of Guardians, and the Reserve Bank of Australia. The Australian Government has also issued guarantees, including those relating to guarantee schemes for the banking and financial sector, payments by Export Finance Australia, and the superannuation liabilities of the Commonwealth Bank prior to its sale. Other significant contingent liabilities relate to uncalled capital subscriptions and credit facilities to international financial institutions and legal cases concerning the Australian Government. The Government has robust and conservative strategies in place to reduce its potential exposure to these contingent liabilities.</w:t>
      </w:r>
    </w:p>
    <w:p w14:paraId="09A1EA77" w14:textId="77777777" w:rsidR="00ED1026" w:rsidRPr="00D12C6F" w:rsidRDefault="00ED1026" w:rsidP="00ED1026">
      <w:pPr>
        <w:rPr>
          <w:rFonts w:eastAsia="Book Antiqua"/>
        </w:rPr>
      </w:pPr>
      <w:r w:rsidRPr="00D12C6F">
        <w:rPr>
          <w:rFonts w:eastAsia="Book Antiqua"/>
        </w:rPr>
        <w:t xml:space="preserve">Table 9.1 outlines how fiscal risks, assets and liabilities, and material contingent assets and liabilities, are disclosed in the </w:t>
      </w:r>
      <w:bookmarkStart w:id="16" w:name="_Toc32480713"/>
      <w:bookmarkStart w:id="17" w:name="_Toc32487225"/>
      <w:r w:rsidRPr="00D12C6F">
        <w:rPr>
          <w:rFonts w:eastAsia="Book Antiqua"/>
        </w:rPr>
        <w:t xml:space="preserve">Budget. </w:t>
      </w:r>
    </w:p>
    <w:p w14:paraId="23AC9EDD" w14:textId="77777777" w:rsidR="00ED1026" w:rsidRPr="00D12C6F" w:rsidRDefault="00ED1026" w:rsidP="00ED1026">
      <w:pPr>
        <w:rPr>
          <w:rFonts w:eastAsia="Book Antiqua"/>
        </w:rPr>
      </w:pPr>
      <w:r w:rsidRPr="00D12C6F">
        <w:rPr>
          <w:rFonts w:eastAsia="Book Antiqua"/>
        </w:rPr>
        <w:t xml:space="preserve">Table 9.2 summarises fiscal risks, contingent liabilities and contingent assets with a possible impact on the forward estimates greater than the materiality threshold of $20 million in any one year, or $50 million over the forward estimates period. Risks are detailed by portfolio after Table 9.2. </w:t>
      </w:r>
    </w:p>
    <w:p w14:paraId="305750A3" w14:textId="10A476BB" w:rsidR="00ED1026" w:rsidRPr="00D12C6F" w:rsidRDefault="00ED1026" w:rsidP="00ED1026">
      <w:pPr>
        <w:rPr>
          <w:rFonts w:eastAsia="Book Antiqua"/>
        </w:rPr>
      </w:pPr>
      <w:r w:rsidRPr="00D12C6F">
        <w:rPr>
          <w:rFonts w:eastAsia="Book Antiqua"/>
        </w:rPr>
        <w:t>The Australian Government</w:t>
      </w:r>
      <w:r w:rsidR="00880FAB">
        <w:rPr>
          <w:rFonts w:eastAsia="Book Antiqua"/>
        </w:rPr>
        <w:t>’</w:t>
      </w:r>
      <w:r w:rsidRPr="00D12C6F">
        <w:rPr>
          <w:rFonts w:eastAsia="Book Antiqua"/>
        </w:rPr>
        <w:t>s annual consolidated financial statements and the annual financial statements of departments and other government entities also set out information on contingent liabilities and contingent assets.</w:t>
      </w:r>
      <w:bookmarkEnd w:id="16"/>
      <w:bookmarkEnd w:id="17"/>
    </w:p>
    <w:p w14:paraId="20BD5A94" w14:textId="77777777" w:rsidR="00ED1026" w:rsidRDefault="00ED1026" w:rsidP="00ED1026">
      <w:pPr>
        <w:spacing w:before="0" w:after="160" w:line="259" w:lineRule="auto"/>
        <w:rPr>
          <w:rFonts w:eastAsia="Book Antiqua"/>
        </w:rPr>
      </w:pPr>
      <w:r>
        <w:rPr>
          <w:rFonts w:eastAsia="Book Antiqua"/>
        </w:rPr>
        <w:br w:type="page"/>
      </w:r>
    </w:p>
    <w:p w14:paraId="2B09E6E3" w14:textId="1B489FAF" w:rsidR="007071AA" w:rsidRPr="00D12C6F" w:rsidRDefault="00ED1026" w:rsidP="00ED1026">
      <w:pPr>
        <w:rPr>
          <w:rFonts w:eastAsia="Book Antiqua"/>
        </w:rPr>
      </w:pPr>
      <w:r w:rsidRPr="00D12C6F">
        <w:rPr>
          <w:rFonts w:eastAsia="Book Antiqua"/>
        </w:rPr>
        <w:lastRenderedPageBreak/>
        <w:t xml:space="preserve">The Government also makes direct loans for policy purposes. All loans contain some element of credit risk (that is, they will not be repaid in full) although, in many cases, this risk is small. Details of Government loans estimated to exceed $200 million </w:t>
      </w:r>
      <w:proofErr w:type="gramStart"/>
      <w:r w:rsidRPr="00D12C6F">
        <w:rPr>
          <w:rFonts w:eastAsia="Book Antiqua"/>
        </w:rPr>
        <w:t>at</w:t>
      </w:r>
      <w:proofErr w:type="gramEnd"/>
      <w:r w:rsidRPr="00D12C6F">
        <w:rPr>
          <w:rFonts w:eastAsia="Book Antiqua"/>
        </w:rPr>
        <w:t xml:space="preserve"> 30 June 2026 are included at the conclusion of this Statement.</w:t>
      </w:r>
    </w:p>
    <w:p w14:paraId="6BD74D5D" w14:textId="77777777" w:rsidR="008E6E27" w:rsidRPr="00D12C6F" w:rsidRDefault="00DA1CBE" w:rsidP="00D12C6F">
      <w:pPr>
        <w:pStyle w:val="TableHeading"/>
        <w:rPr>
          <w:rFonts w:eastAsia="Arial"/>
        </w:rPr>
      </w:pPr>
      <w:r w:rsidRPr="00D12C6F">
        <w:rPr>
          <w:rFonts w:eastAsia="Arial"/>
        </w:rPr>
        <w:t>Table 9.1: Disclosure of fiscal risks, contingent assets and contingent liabilities, and assets and liabilities in the Budget papers</w:t>
      </w:r>
    </w:p>
    <w:tbl>
      <w:tblPr>
        <w:tblW w:w="5000" w:type="pct"/>
        <w:tblCellMar>
          <w:left w:w="0" w:type="dxa"/>
          <w:right w:w="28" w:type="dxa"/>
        </w:tblCellMar>
        <w:tblLook w:val="04A0" w:firstRow="1" w:lastRow="0" w:firstColumn="1" w:lastColumn="0" w:noHBand="0" w:noVBand="1"/>
      </w:tblPr>
      <w:tblGrid>
        <w:gridCol w:w="2552"/>
        <w:gridCol w:w="3402"/>
        <w:gridCol w:w="1757"/>
      </w:tblGrid>
      <w:tr w:rsidR="009F04C2" w:rsidRPr="00880FAB" w14:paraId="4851659C" w14:textId="77777777" w:rsidTr="00290F6F">
        <w:trPr>
          <w:trHeight w:val="225"/>
        </w:trPr>
        <w:tc>
          <w:tcPr>
            <w:tcW w:w="1655" w:type="pct"/>
            <w:tcBorders>
              <w:top w:val="single" w:sz="4" w:space="0" w:color="293F5B"/>
              <w:left w:val="nil"/>
              <w:bottom w:val="single" w:sz="4" w:space="0" w:color="293F5B"/>
              <w:right w:val="nil"/>
            </w:tcBorders>
            <w:shd w:val="clear" w:color="000000" w:fill="E6F2FF"/>
            <w:noWrap/>
            <w:tcMar>
              <w:left w:w="108" w:type="dxa"/>
              <w:right w:w="108" w:type="dxa"/>
            </w:tcMar>
            <w:vAlign w:val="bottom"/>
            <w:hideMark/>
          </w:tcPr>
          <w:p w14:paraId="6C0A8B05" w14:textId="77777777" w:rsidR="00D3719C" w:rsidRPr="00880FAB" w:rsidRDefault="00D3719C" w:rsidP="000C3629">
            <w:pPr>
              <w:pStyle w:val="TableColumnHeadingLeft"/>
              <w:rPr>
                <w:rFonts w:ascii="Arial" w:hAnsi="Arial" w:cs="Arial"/>
                <w:b w:val="0"/>
                <w:bCs/>
                <w:color w:val="000000"/>
                <w:szCs w:val="16"/>
              </w:rPr>
            </w:pPr>
            <w:r w:rsidRPr="00880FAB">
              <w:t>Category</w:t>
            </w:r>
          </w:p>
        </w:tc>
        <w:tc>
          <w:tcPr>
            <w:tcW w:w="2206" w:type="pct"/>
            <w:tcBorders>
              <w:top w:val="single" w:sz="4" w:space="0" w:color="293F5B"/>
              <w:left w:val="nil"/>
              <w:bottom w:val="nil"/>
              <w:right w:val="nil"/>
            </w:tcBorders>
            <w:shd w:val="clear" w:color="000000" w:fill="E6F2FF"/>
            <w:noWrap/>
            <w:tcMar>
              <w:left w:w="108" w:type="dxa"/>
              <w:right w:w="108" w:type="dxa"/>
            </w:tcMar>
            <w:vAlign w:val="bottom"/>
            <w:hideMark/>
          </w:tcPr>
          <w:p w14:paraId="6B842B3C" w14:textId="77777777" w:rsidR="00D3719C" w:rsidRPr="00880FAB" w:rsidRDefault="00D3719C" w:rsidP="000C3629">
            <w:pPr>
              <w:pStyle w:val="TableColumnHeadingLeft"/>
              <w:rPr>
                <w:rFonts w:ascii="Arial" w:hAnsi="Arial" w:cs="Arial"/>
                <w:b w:val="0"/>
                <w:bCs/>
                <w:color w:val="000000"/>
                <w:szCs w:val="16"/>
              </w:rPr>
            </w:pPr>
            <w:r w:rsidRPr="00880FAB">
              <w:t>Type</w:t>
            </w:r>
            <w:r w:rsidRPr="00880FAB">
              <w:rPr>
                <w:rFonts w:ascii="Arial" w:hAnsi="Arial" w:cs="Arial"/>
                <w:bCs/>
                <w:color w:val="000000"/>
                <w:szCs w:val="16"/>
                <w:vertAlign w:val="superscript"/>
              </w:rPr>
              <w:t>(a)</w:t>
            </w:r>
          </w:p>
        </w:tc>
        <w:tc>
          <w:tcPr>
            <w:tcW w:w="1139" w:type="pct"/>
            <w:tcBorders>
              <w:top w:val="single" w:sz="4" w:space="0" w:color="293F5B"/>
              <w:left w:val="nil"/>
              <w:bottom w:val="nil"/>
              <w:right w:val="nil"/>
            </w:tcBorders>
            <w:shd w:val="clear" w:color="000000" w:fill="E6F2FF"/>
            <w:noWrap/>
            <w:tcMar>
              <w:left w:w="108" w:type="dxa"/>
              <w:right w:w="108" w:type="dxa"/>
            </w:tcMar>
            <w:vAlign w:val="bottom"/>
            <w:hideMark/>
          </w:tcPr>
          <w:p w14:paraId="487B96B4" w14:textId="77777777" w:rsidR="00D3719C" w:rsidRPr="00880FAB" w:rsidRDefault="00D3719C" w:rsidP="000C3629">
            <w:pPr>
              <w:pStyle w:val="TableColumnHeadingLeft"/>
              <w:rPr>
                <w:rFonts w:ascii="Arial" w:hAnsi="Arial" w:cs="Arial"/>
                <w:b w:val="0"/>
                <w:bCs/>
                <w:color w:val="000000"/>
                <w:szCs w:val="16"/>
              </w:rPr>
            </w:pPr>
            <w:r w:rsidRPr="00880FAB">
              <w:t>Disclosure</w:t>
            </w:r>
          </w:p>
        </w:tc>
      </w:tr>
      <w:tr w:rsidR="00D3719C" w:rsidRPr="00880FAB" w14:paraId="3A2E111B" w14:textId="77777777" w:rsidTr="00290F6F">
        <w:trPr>
          <w:trHeight w:hRule="exact" w:val="300"/>
        </w:trPr>
        <w:tc>
          <w:tcPr>
            <w:tcW w:w="1655" w:type="pct"/>
            <w:tcBorders>
              <w:top w:val="nil"/>
              <w:left w:val="nil"/>
              <w:bottom w:val="nil"/>
              <w:right w:val="nil"/>
            </w:tcBorders>
            <w:tcMar>
              <w:left w:w="108" w:type="dxa"/>
              <w:right w:w="108" w:type="dxa"/>
            </w:tcMar>
            <w:vAlign w:val="center"/>
            <w:hideMark/>
          </w:tcPr>
          <w:p w14:paraId="75B3F2ED" w14:textId="77777777" w:rsidR="00D3719C" w:rsidRPr="00880FAB" w:rsidRDefault="00D3719C" w:rsidP="000C3629">
            <w:pPr>
              <w:pStyle w:val="TableTextLeft"/>
              <w:rPr>
                <w:rFonts w:cs="Arial"/>
                <w:color w:val="000000"/>
                <w:szCs w:val="16"/>
              </w:rPr>
            </w:pPr>
            <w:r w:rsidRPr="00880FAB">
              <w:t>Fiscal Risks</w:t>
            </w:r>
            <w:r w:rsidRPr="00880FAB">
              <w:rPr>
                <w:rFonts w:cs="Arial"/>
                <w:color w:val="000000"/>
                <w:szCs w:val="16"/>
                <w:vertAlign w:val="superscript"/>
              </w:rPr>
              <w:t>(b)</w:t>
            </w:r>
          </w:p>
        </w:tc>
        <w:tc>
          <w:tcPr>
            <w:tcW w:w="2206" w:type="pct"/>
            <w:tcBorders>
              <w:top w:val="single" w:sz="4" w:space="0" w:color="293F5B"/>
              <w:left w:val="nil"/>
              <w:bottom w:val="nil"/>
              <w:right w:val="nil"/>
            </w:tcBorders>
            <w:tcMar>
              <w:left w:w="108" w:type="dxa"/>
              <w:right w:w="108" w:type="dxa"/>
            </w:tcMar>
            <w:vAlign w:val="center"/>
            <w:hideMark/>
          </w:tcPr>
          <w:p w14:paraId="137B6576" w14:textId="77777777" w:rsidR="00D3719C" w:rsidRPr="00880FAB" w:rsidRDefault="00D3719C" w:rsidP="000C3629">
            <w:pPr>
              <w:pStyle w:val="TableTextLeft"/>
              <w:rPr>
                <w:rFonts w:cs="Arial"/>
                <w:color w:val="000000"/>
                <w:szCs w:val="16"/>
              </w:rPr>
            </w:pPr>
            <w:r w:rsidRPr="00880FAB">
              <w:t xml:space="preserve">Fiscal </w:t>
            </w:r>
            <w:r w:rsidRPr="00880FAB">
              <w:rPr>
                <w:rFonts w:cs="Arial"/>
                <w:color w:val="000000"/>
                <w:szCs w:val="16"/>
              </w:rPr>
              <w:t>Risks</w:t>
            </w:r>
          </w:p>
        </w:tc>
        <w:tc>
          <w:tcPr>
            <w:tcW w:w="1139" w:type="pct"/>
            <w:tcBorders>
              <w:top w:val="single" w:sz="4" w:space="0" w:color="293F5B"/>
              <w:left w:val="nil"/>
              <w:bottom w:val="nil"/>
              <w:right w:val="nil"/>
            </w:tcBorders>
            <w:tcMar>
              <w:left w:w="108" w:type="dxa"/>
              <w:right w:w="108" w:type="dxa"/>
            </w:tcMar>
            <w:vAlign w:val="center"/>
            <w:hideMark/>
          </w:tcPr>
          <w:p w14:paraId="7FF020FA" w14:textId="77777777" w:rsidR="00D3719C" w:rsidRPr="00880FAB" w:rsidRDefault="00D3719C" w:rsidP="000C3629">
            <w:pPr>
              <w:pStyle w:val="TableTextLeft"/>
              <w:rPr>
                <w:rFonts w:cs="Arial"/>
                <w:color w:val="000000"/>
                <w:szCs w:val="16"/>
              </w:rPr>
            </w:pPr>
            <w:r w:rsidRPr="00880FAB">
              <w:t>Statement of Risks</w:t>
            </w:r>
            <w:r w:rsidRPr="00880FAB">
              <w:rPr>
                <w:rFonts w:cs="Arial"/>
                <w:color w:val="000000"/>
                <w:szCs w:val="16"/>
                <w:vertAlign w:val="superscript"/>
              </w:rPr>
              <w:t>(c)</w:t>
            </w:r>
          </w:p>
        </w:tc>
      </w:tr>
      <w:tr w:rsidR="00D3719C" w:rsidRPr="00880FAB" w14:paraId="13560E73" w14:textId="77777777" w:rsidTr="00290F6F">
        <w:trPr>
          <w:trHeight w:hRule="exact" w:val="450"/>
        </w:trPr>
        <w:tc>
          <w:tcPr>
            <w:tcW w:w="1655" w:type="pct"/>
            <w:tcBorders>
              <w:top w:val="single" w:sz="4" w:space="0" w:color="293F5B"/>
              <w:left w:val="nil"/>
              <w:bottom w:val="nil"/>
              <w:right w:val="nil"/>
            </w:tcBorders>
            <w:tcMar>
              <w:left w:w="108" w:type="dxa"/>
              <w:right w:w="108" w:type="dxa"/>
            </w:tcMar>
            <w:vAlign w:val="center"/>
            <w:hideMark/>
          </w:tcPr>
          <w:p w14:paraId="1452FD12" w14:textId="77777777" w:rsidR="00D3719C" w:rsidRPr="00880FAB" w:rsidRDefault="00D3719C" w:rsidP="000C3629">
            <w:pPr>
              <w:pStyle w:val="TableTextLeft"/>
              <w:rPr>
                <w:rFonts w:cs="Arial"/>
                <w:color w:val="000000"/>
                <w:szCs w:val="16"/>
              </w:rPr>
            </w:pPr>
            <w:r w:rsidRPr="00880FAB">
              <w:t>Contingent assets and contingent liabilities</w:t>
            </w:r>
            <w:r w:rsidRPr="00880FAB">
              <w:rPr>
                <w:rFonts w:cs="Arial"/>
                <w:color w:val="000000"/>
                <w:szCs w:val="16"/>
                <w:vertAlign w:val="superscript"/>
              </w:rPr>
              <w:t>(b)</w:t>
            </w:r>
          </w:p>
        </w:tc>
        <w:tc>
          <w:tcPr>
            <w:tcW w:w="2206" w:type="pct"/>
            <w:tcBorders>
              <w:top w:val="single" w:sz="4" w:space="0" w:color="293F5B"/>
              <w:left w:val="nil"/>
              <w:bottom w:val="nil"/>
              <w:right w:val="nil"/>
            </w:tcBorders>
            <w:tcMar>
              <w:left w:w="108" w:type="dxa"/>
              <w:right w:w="108" w:type="dxa"/>
            </w:tcMar>
            <w:vAlign w:val="center"/>
            <w:hideMark/>
          </w:tcPr>
          <w:p w14:paraId="4EC36139" w14:textId="77777777" w:rsidR="00D3719C" w:rsidRPr="00880FAB" w:rsidRDefault="00D3719C" w:rsidP="000C3629">
            <w:pPr>
              <w:pStyle w:val="TableTextLeft"/>
              <w:rPr>
                <w:rFonts w:cs="Arial"/>
                <w:color w:val="000000"/>
                <w:szCs w:val="16"/>
              </w:rPr>
            </w:pPr>
            <w:r w:rsidRPr="00880FAB">
              <w:t>Significant contingent assets and liabilities considered remote</w:t>
            </w:r>
          </w:p>
        </w:tc>
        <w:tc>
          <w:tcPr>
            <w:tcW w:w="1139" w:type="pct"/>
            <w:tcBorders>
              <w:top w:val="single" w:sz="4" w:space="0" w:color="293F5B"/>
              <w:left w:val="nil"/>
              <w:bottom w:val="nil"/>
              <w:right w:val="nil"/>
            </w:tcBorders>
            <w:tcMar>
              <w:left w:w="108" w:type="dxa"/>
              <w:right w:w="108" w:type="dxa"/>
            </w:tcMar>
            <w:vAlign w:val="center"/>
            <w:hideMark/>
          </w:tcPr>
          <w:p w14:paraId="38759EB3" w14:textId="77777777" w:rsidR="00D3719C" w:rsidRPr="00880FAB" w:rsidRDefault="00D3719C" w:rsidP="000C3629">
            <w:pPr>
              <w:pStyle w:val="TableTextLeft"/>
              <w:rPr>
                <w:rFonts w:cs="Arial"/>
                <w:color w:val="000000"/>
                <w:szCs w:val="16"/>
              </w:rPr>
            </w:pPr>
            <w:r w:rsidRPr="00880FAB">
              <w:t>Statement of Risks</w:t>
            </w:r>
            <w:r w:rsidRPr="00880FAB">
              <w:rPr>
                <w:rFonts w:cs="Arial"/>
                <w:color w:val="000000"/>
                <w:szCs w:val="16"/>
                <w:vertAlign w:val="superscript"/>
              </w:rPr>
              <w:t>(c)</w:t>
            </w:r>
          </w:p>
        </w:tc>
      </w:tr>
      <w:tr w:rsidR="00D3719C" w:rsidRPr="00880FAB" w14:paraId="1EDF652C" w14:textId="77777777" w:rsidTr="00290F6F">
        <w:trPr>
          <w:trHeight w:hRule="exact" w:val="450"/>
        </w:trPr>
        <w:tc>
          <w:tcPr>
            <w:tcW w:w="1655" w:type="pct"/>
            <w:tcBorders>
              <w:top w:val="nil"/>
              <w:left w:val="nil"/>
              <w:bottom w:val="nil"/>
              <w:right w:val="nil"/>
            </w:tcBorders>
            <w:tcMar>
              <w:left w:w="108" w:type="dxa"/>
              <w:right w:w="108" w:type="dxa"/>
            </w:tcMar>
            <w:vAlign w:val="center"/>
            <w:hideMark/>
          </w:tcPr>
          <w:p w14:paraId="677507F3" w14:textId="77777777" w:rsidR="00D3719C" w:rsidRPr="00880FAB" w:rsidRDefault="00D3719C" w:rsidP="000C3629">
            <w:pPr>
              <w:pStyle w:val="TableTextLeft"/>
            </w:pPr>
          </w:p>
        </w:tc>
        <w:tc>
          <w:tcPr>
            <w:tcW w:w="2206" w:type="pct"/>
            <w:tcBorders>
              <w:top w:val="single" w:sz="4" w:space="0" w:color="293F5B"/>
              <w:left w:val="nil"/>
              <w:bottom w:val="nil"/>
              <w:right w:val="nil"/>
            </w:tcBorders>
            <w:tcMar>
              <w:left w:w="108" w:type="dxa"/>
              <w:right w:w="108" w:type="dxa"/>
            </w:tcMar>
            <w:vAlign w:val="center"/>
            <w:hideMark/>
          </w:tcPr>
          <w:p w14:paraId="0FBEDBA2" w14:textId="77777777" w:rsidR="00D3719C" w:rsidRPr="00880FAB" w:rsidRDefault="00D3719C" w:rsidP="000C3629">
            <w:pPr>
              <w:pStyle w:val="TableTextLeft"/>
              <w:rPr>
                <w:rFonts w:cs="Arial"/>
                <w:color w:val="000000"/>
                <w:szCs w:val="16"/>
              </w:rPr>
            </w:pPr>
            <w:r w:rsidRPr="00880FAB">
              <w:t xml:space="preserve">Unquantifiable contingent assets and </w:t>
            </w:r>
            <w:r w:rsidRPr="00880FAB">
              <w:rPr>
                <w:rFonts w:cs="Arial"/>
                <w:color w:val="000000"/>
                <w:szCs w:val="16"/>
              </w:rPr>
              <w:t>liabilities that are improbable but not remote</w:t>
            </w:r>
          </w:p>
        </w:tc>
        <w:tc>
          <w:tcPr>
            <w:tcW w:w="1139" w:type="pct"/>
            <w:tcBorders>
              <w:top w:val="single" w:sz="4" w:space="0" w:color="293F5B"/>
              <w:left w:val="nil"/>
              <w:bottom w:val="nil"/>
              <w:right w:val="nil"/>
            </w:tcBorders>
            <w:tcMar>
              <w:left w:w="108" w:type="dxa"/>
              <w:right w:w="108" w:type="dxa"/>
            </w:tcMar>
            <w:vAlign w:val="center"/>
            <w:hideMark/>
          </w:tcPr>
          <w:p w14:paraId="27FC8DFA" w14:textId="77777777" w:rsidR="00D3719C" w:rsidRPr="00880FAB" w:rsidRDefault="00D3719C" w:rsidP="000C3629">
            <w:pPr>
              <w:pStyle w:val="TableTextLeft"/>
              <w:rPr>
                <w:rFonts w:cs="Arial"/>
                <w:color w:val="000000"/>
                <w:szCs w:val="16"/>
              </w:rPr>
            </w:pPr>
            <w:r w:rsidRPr="00880FAB">
              <w:t>Statement of Risks</w:t>
            </w:r>
            <w:r w:rsidRPr="00880FAB">
              <w:rPr>
                <w:rFonts w:cs="Arial"/>
                <w:color w:val="000000"/>
                <w:szCs w:val="16"/>
                <w:vertAlign w:val="superscript"/>
              </w:rPr>
              <w:t>(c)</w:t>
            </w:r>
          </w:p>
        </w:tc>
      </w:tr>
      <w:tr w:rsidR="00D3719C" w:rsidRPr="00880FAB" w14:paraId="0AE2BBB7" w14:textId="77777777" w:rsidTr="00290F6F">
        <w:trPr>
          <w:trHeight w:hRule="exact" w:val="450"/>
        </w:trPr>
        <w:tc>
          <w:tcPr>
            <w:tcW w:w="1655" w:type="pct"/>
            <w:tcBorders>
              <w:top w:val="nil"/>
              <w:left w:val="nil"/>
              <w:bottom w:val="single" w:sz="4" w:space="0" w:color="293F5B"/>
              <w:right w:val="nil"/>
            </w:tcBorders>
            <w:tcMar>
              <w:left w:w="108" w:type="dxa"/>
              <w:right w:w="108" w:type="dxa"/>
            </w:tcMar>
            <w:vAlign w:val="center"/>
            <w:hideMark/>
          </w:tcPr>
          <w:p w14:paraId="7B39090B" w14:textId="77777777" w:rsidR="00D3719C" w:rsidRPr="00880FAB" w:rsidRDefault="00D3719C" w:rsidP="000C3629">
            <w:pPr>
              <w:pStyle w:val="TableTextLeft"/>
              <w:rPr>
                <w:rFonts w:cs="Arial"/>
                <w:color w:val="000000"/>
                <w:szCs w:val="16"/>
              </w:rPr>
            </w:pPr>
            <w:r w:rsidRPr="00880FAB">
              <w:t> </w:t>
            </w:r>
          </w:p>
        </w:tc>
        <w:tc>
          <w:tcPr>
            <w:tcW w:w="2206" w:type="pct"/>
            <w:tcBorders>
              <w:top w:val="single" w:sz="4" w:space="0" w:color="293F5B"/>
              <w:left w:val="nil"/>
              <w:bottom w:val="nil"/>
              <w:right w:val="nil"/>
            </w:tcBorders>
            <w:tcMar>
              <w:left w:w="108" w:type="dxa"/>
              <w:right w:w="108" w:type="dxa"/>
            </w:tcMar>
            <w:vAlign w:val="center"/>
            <w:hideMark/>
          </w:tcPr>
          <w:p w14:paraId="561CF6D0" w14:textId="77777777" w:rsidR="00D3719C" w:rsidRPr="00880FAB" w:rsidRDefault="00D3719C" w:rsidP="000C3629">
            <w:pPr>
              <w:pStyle w:val="TableTextLeft"/>
              <w:rPr>
                <w:rFonts w:cs="Arial"/>
                <w:color w:val="000000"/>
                <w:szCs w:val="16"/>
              </w:rPr>
            </w:pPr>
            <w:r w:rsidRPr="00880FAB">
              <w:t>Quantifiable contingent assets and liabilities that are improbable but not remote</w:t>
            </w:r>
          </w:p>
        </w:tc>
        <w:tc>
          <w:tcPr>
            <w:tcW w:w="1139" w:type="pct"/>
            <w:tcBorders>
              <w:top w:val="single" w:sz="4" w:space="0" w:color="293F5B"/>
              <w:left w:val="nil"/>
              <w:bottom w:val="nil"/>
              <w:right w:val="nil"/>
            </w:tcBorders>
            <w:tcMar>
              <w:left w:w="108" w:type="dxa"/>
              <w:right w:w="108" w:type="dxa"/>
            </w:tcMar>
            <w:vAlign w:val="center"/>
            <w:hideMark/>
          </w:tcPr>
          <w:p w14:paraId="3035614E" w14:textId="77777777" w:rsidR="00D3719C" w:rsidRPr="00880FAB" w:rsidRDefault="00D3719C" w:rsidP="000C3629">
            <w:pPr>
              <w:pStyle w:val="TableTextLeft"/>
              <w:rPr>
                <w:rFonts w:cs="Arial"/>
                <w:color w:val="000000"/>
                <w:szCs w:val="16"/>
              </w:rPr>
            </w:pPr>
            <w:r w:rsidRPr="00880FAB">
              <w:t>Statement of Risks</w:t>
            </w:r>
            <w:r w:rsidRPr="00880FAB">
              <w:rPr>
                <w:rFonts w:cs="Arial"/>
                <w:color w:val="000000"/>
                <w:szCs w:val="16"/>
                <w:vertAlign w:val="superscript"/>
              </w:rPr>
              <w:t>(c)</w:t>
            </w:r>
          </w:p>
        </w:tc>
      </w:tr>
      <w:tr w:rsidR="00D3719C" w:rsidRPr="00880FAB" w14:paraId="7F9B4DFA" w14:textId="77777777" w:rsidTr="00290F6F">
        <w:trPr>
          <w:trHeight w:hRule="exact" w:val="450"/>
        </w:trPr>
        <w:tc>
          <w:tcPr>
            <w:tcW w:w="1655" w:type="pct"/>
            <w:tcBorders>
              <w:top w:val="nil"/>
              <w:left w:val="nil"/>
              <w:bottom w:val="nil"/>
              <w:right w:val="nil"/>
            </w:tcBorders>
            <w:tcMar>
              <w:left w:w="108" w:type="dxa"/>
              <w:right w:w="108" w:type="dxa"/>
            </w:tcMar>
            <w:vAlign w:val="center"/>
            <w:hideMark/>
          </w:tcPr>
          <w:p w14:paraId="37480ECF" w14:textId="77777777" w:rsidR="00D3719C" w:rsidRPr="00880FAB" w:rsidRDefault="00D3719C" w:rsidP="000C3629">
            <w:pPr>
              <w:pStyle w:val="TableTextLeft"/>
              <w:rPr>
                <w:rFonts w:cs="Arial"/>
                <w:color w:val="000000"/>
                <w:szCs w:val="16"/>
              </w:rPr>
            </w:pPr>
            <w:r w:rsidRPr="00880FAB">
              <w:t>Assets and liabilities</w:t>
            </w:r>
          </w:p>
        </w:tc>
        <w:tc>
          <w:tcPr>
            <w:tcW w:w="2206" w:type="pct"/>
            <w:tcBorders>
              <w:top w:val="single" w:sz="4" w:space="0" w:color="293F5B"/>
              <w:left w:val="nil"/>
              <w:bottom w:val="nil"/>
              <w:right w:val="nil"/>
            </w:tcBorders>
            <w:tcMar>
              <w:left w:w="108" w:type="dxa"/>
              <w:right w:w="108" w:type="dxa"/>
            </w:tcMar>
            <w:vAlign w:val="center"/>
            <w:hideMark/>
          </w:tcPr>
          <w:p w14:paraId="626CDEEF" w14:textId="77777777" w:rsidR="00D3719C" w:rsidRPr="00880FAB" w:rsidRDefault="00D3719C" w:rsidP="000C3629">
            <w:pPr>
              <w:pStyle w:val="TableTextLeft"/>
              <w:rPr>
                <w:rFonts w:cs="Arial"/>
                <w:color w:val="000000"/>
                <w:szCs w:val="16"/>
              </w:rPr>
            </w:pPr>
            <w:r w:rsidRPr="00880FAB">
              <w:t xml:space="preserve">Assets and liabilities that are probable and can be </w:t>
            </w:r>
            <w:r w:rsidRPr="00880FAB">
              <w:rPr>
                <w:rFonts w:cs="Arial"/>
                <w:color w:val="000000"/>
                <w:szCs w:val="16"/>
              </w:rPr>
              <w:t>reliably measured</w:t>
            </w:r>
          </w:p>
        </w:tc>
        <w:tc>
          <w:tcPr>
            <w:tcW w:w="1139" w:type="pct"/>
            <w:tcBorders>
              <w:top w:val="single" w:sz="4" w:space="0" w:color="293F5B"/>
              <w:left w:val="nil"/>
              <w:bottom w:val="nil"/>
              <w:right w:val="nil"/>
            </w:tcBorders>
            <w:tcMar>
              <w:left w:w="108" w:type="dxa"/>
              <w:right w:w="108" w:type="dxa"/>
            </w:tcMar>
            <w:vAlign w:val="center"/>
            <w:hideMark/>
          </w:tcPr>
          <w:p w14:paraId="05B15876" w14:textId="77777777" w:rsidR="00D3719C" w:rsidRPr="00880FAB" w:rsidRDefault="00D3719C" w:rsidP="000C3629">
            <w:pPr>
              <w:pStyle w:val="TableTextLeft"/>
              <w:rPr>
                <w:rFonts w:cs="Arial"/>
                <w:color w:val="000000"/>
                <w:szCs w:val="16"/>
              </w:rPr>
            </w:pPr>
            <w:r w:rsidRPr="00880FAB">
              <w:t>Balance sheet</w:t>
            </w:r>
            <w:r w:rsidRPr="00880FAB">
              <w:rPr>
                <w:rFonts w:cs="Arial"/>
                <w:color w:val="000000"/>
                <w:szCs w:val="16"/>
                <w:vertAlign w:val="superscript"/>
              </w:rPr>
              <w:t>(d)(e)</w:t>
            </w:r>
          </w:p>
        </w:tc>
      </w:tr>
      <w:tr w:rsidR="00D3719C" w:rsidRPr="00880FAB" w14:paraId="2F1E128D" w14:textId="77777777" w:rsidTr="00290F6F">
        <w:trPr>
          <w:trHeight w:hRule="exact" w:val="675"/>
        </w:trPr>
        <w:tc>
          <w:tcPr>
            <w:tcW w:w="1655" w:type="pct"/>
            <w:tcBorders>
              <w:top w:val="nil"/>
              <w:left w:val="nil"/>
              <w:bottom w:val="single" w:sz="4" w:space="0" w:color="293F5B"/>
              <w:right w:val="nil"/>
            </w:tcBorders>
            <w:tcMar>
              <w:left w:w="108" w:type="dxa"/>
              <w:right w:w="108" w:type="dxa"/>
            </w:tcMar>
            <w:vAlign w:val="center"/>
            <w:hideMark/>
          </w:tcPr>
          <w:p w14:paraId="040B68FC" w14:textId="77777777" w:rsidR="00D3719C" w:rsidRPr="00880FAB" w:rsidRDefault="00D3719C" w:rsidP="000C3629">
            <w:pPr>
              <w:pStyle w:val="TableTextLeft"/>
              <w:rPr>
                <w:rFonts w:cs="Arial"/>
                <w:color w:val="000000"/>
                <w:szCs w:val="16"/>
              </w:rPr>
            </w:pPr>
            <w:r w:rsidRPr="00880FAB">
              <w:t> </w:t>
            </w:r>
          </w:p>
        </w:tc>
        <w:tc>
          <w:tcPr>
            <w:tcW w:w="2206" w:type="pct"/>
            <w:tcBorders>
              <w:top w:val="single" w:sz="4" w:space="0" w:color="293F5B"/>
              <w:left w:val="nil"/>
              <w:bottom w:val="single" w:sz="4" w:space="0" w:color="293F5B"/>
              <w:right w:val="nil"/>
            </w:tcBorders>
            <w:tcMar>
              <w:left w:w="108" w:type="dxa"/>
              <w:right w:w="108" w:type="dxa"/>
            </w:tcMar>
            <w:vAlign w:val="center"/>
            <w:hideMark/>
          </w:tcPr>
          <w:p w14:paraId="44C73415" w14:textId="77777777" w:rsidR="00D3719C" w:rsidRPr="00880FAB" w:rsidRDefault="00D3719C" w:rsidP="000C3629">
            <w:pPr>
              <w:pStyle w:val="TableTextLeft"/>
              <w:rPr>
                <w:rFonts w:cs="Arial"/>
                <w:color w:val="000000"/>
                <w:szCs w:val="16"/>
              </w:rPr>
            </w:pPr>
            <w:r w:rsidRPr="00880FAB">
              <w:t>Assets and liabilities that are probable but have an uncertain timing or amount (provisions)</w:t>
            </w:r>
          </w:p>
        </w:tc>
        <w:tc>
          <w:tcPr>
            <w:tcW w:w="1139" w:type="pct"/>
            <w:tcBorders>
              <w:top w:val="single" w:sz="4" w:space="0" w:color="293F5B"/>
              <w:left w:val="nil"/>
              <w:bottom w:val="single" w:sz="4" w:space="0" w:color="293F5B"/>
              <w:right w:val="nil"/>
            </w:tcBorders>
            <w:tcMar>
              <w:left w:w="108" w:type="dxa"/>
              <w:right w:w="108" w:type="dxa"/>
            </w:tcMar>
            <w:vAlign w:val="center"/>
            <w:hideMark/>
          </w:tcPr>
          <w:p w14:paraId="2925EDBC" w14:textId="77777777" w:rsidR="00D3719C" w:rsidRPr="00880FAB" w:rsidRDefault="00D3719C" w:rsidP="000C3629">
            <w:pPr>
              <w:pStyle w:val="TableTextLeft"/>
              <w:rPr>
                <w:rFonts w:cs="Arial"/>
                <w:color w:val="000000"/>
                <w:szCs w:val="16"/>
              </w:rPr>
            </w:pPr>
            <w:r w:rsidRPr="00880FAB">
              <w:t>Balance sheet</w:t>
            </w:r>
          </w:p>
        </w:tc>
      </w:tr>
    </w:tbl>
    <w:p w14:paraId="1A7EE22B" w14:textId="77777777" w:rsidR="00304A1B" w:rsidRPr="00D12C6F" w:rsidRDefault="00304A1B" w:rsidP="00D12C6F">
      <w:pPr>
        <w:pStyle w:val="ChartandTableFootnoteAlpha"/>
      </w:pPr>
      <w:r w:rsidRPr="00D12C6F">
        <w:rPr>
          <w:rFonts w:eastAsia="Arial"/>
        </w:rPr>
        <w:t>Items that are described as probable have a 50 per cent or higher chance of</w:t>
      </w:r>
      <w:r w:rsidRPr="00D12C6F">
        <w:rPr>
          <w:rFonts w:eastAsia="Arial"/>
          <w:spacing w:val="-15"/>
        </w:rPr>
        <w:t xml:space="preserve"> </w:t>
      </w:r>
      <w:r w:rsidRPr="00D12C6F">
        <w:rPr>
          <w:rFonts w:eastAsia="Arial"/>
        </w:rPr>
        <w:t>occurrence.</w:t>
      </w:r>
    </w:p>
    <w:p w14:paraId="10B7531B" w14:textId="4561C2BA" w:rsidR="00304A1B" w:rsidRPr="00D12C6F" w:rsidRDefault="00304A1B" w:rsidP="00D12C6F">
      <w:pPr>
        <w:pStyle w:val="ChartandTableFootnoteAlpha"/>
        <w:rPr>
          <w:rFonts w:eastAsia="Book Antiqua" w:cs="Book Antiqua"/>
          <w:spacing w:val="-1"/>
        </w:rPr>
      </w:pPr>
      <w:r w:rsidRPr="00D12C6F">
        <w:rPr>
          <w:rFonts w:eastAsia="Arial"/>
        </w:rPr>
        <w:t>Risks, assets and liabilities that are accounted for in the budget estimates are not disclosed in this Statement.</w:t>
      </w:r>
    </w:p>
    <w:p w14:paraId="63FBF139" w14:textId="77777777" w:rsidR="00304A1B" w:rsidRPr="00D12C6F" w:rsidRDefault="00304A1B" w:rsidP="00D12C6F">
      <w:pPr>
        <w:pStyle w:val="ChartandTableFootnoteAlpha"/>
        <w:rPr>
          <w:rFonts w:eastAsia="Book Antiqua" w:cs="Book Antiqua"/>
          <w:spacing w:val="-1"/>
        </w:rPr>
      </w:pPr>
      <w:r w:rsidRPr="00D12C6F">
        <w:rPr>
          <w:spacing w:val="-1"/>
        </w:rPr>
        <w:t xml:space="preserve">Only risks with a possible impact on the forward estimates greater than $20 million in any one year, or </w:t>
      </w:r>
      <w:r w:rsidRPr="00D12C6F">
        <w:rPr>
          <w:rFonts w:cs="Book Antiqua"/>
          <w:spacing w:val="-1"/>
        </w:rPr>
        <w:t>$50 million over the forward estimates period, are considered material and disclosed in this Statement</w:t>
      </w:r>
      <w:r w:rsidRPr="00D12C6F">
        <w:rPr>
          <w:rFonts w:eastAsia="Book Antiqua" w:cs="Book Antiqua"/>
          <w:spacing w:val="-1"/>
        </w:rPr>
        <w:t>.</w:t>
      </w:r>
    </w:p>
    <w:p w14:paraId="5361FD4F" w14:textId="77777777" w:rsidR="00304A1B" w:rsidRPr="00D12C6F" w:rsidRDefault="00304A1B" w:rsidP="00D12C6F">
      <w:pPr>
        <w:pStyle w:val="ChartandTableFootnoteAlpha"/>
        <w:rPr>
          <w:rFonts w:eastAsia="Arial"/>
        </w:rPr>
      </w:pPr>
      <w:r w:rsidRPr="00D12C6F">
        <w:rPr>
          <w:rFonts w:eastAsia="Arial"/>
        </w:rPr>
        <w:t>Unearned income from charging guarantee fees is shown as a liability in the balance</w:t>
      </w:r>
      <w:r w:rsidRPr="00D12C6F">
        <w:rPr>
          <w:rFonts w:eastAsia="Arial"/>
          <w:spacing w:val="-13"/>
        </w:rPr>
        <w:t xml:space="preserve"> </w:t>
      </w:r>
      <w:r w:rsidRPr="00D12C6F">
        <w:rPr>
          <w:rFonts w:eastAsia="Arial"/>
        </w:rPr>
        <w:t>sheet.</w:t>
      </w:r>
    </w:p>
    <w:p w14:paraId="713FA539" w14:textId="77777777" w:rsidR="00304A1B" w:rsidRPr="00D12C6F" w:rsidRDefault="00304A1B" w:rsidP="00D12C6F">
      <w:pPr>
        <w:pStyle w:val="ChartandTableFootnoteAlpha"/>
        <w:rPr>
          <w:rFonts w:eastAsia="Arial"/>
        </w:rPr>
      </w:pPr>
      <w:r w:rsidRPr="00D12C6F">
        <w:rPr>
          <w:rFonts w:eastAsia="Arial"/>
        </w:rPr>
        <w:t>Additional disclosure to increase transparency on loans over $200 million is included in this Statement.</w:t>
      </w:r>
    </w:p>
    <w:p w14:paraId="165F3D7E" w14:textId="77777777" w:rsidR="007B5C53" w:rsidRPr="00D12C6F" w:rsidRDefault="007B5C53" w:rsidP="00D12C6F">
      <w:pPr>
        <w:pStyle w:val="TableLine"/>
        <w:rPr>
          <w:rFonts w:eastAsia="Arial"/>
        </w:rPr>
      </w:pPr>
    </w:p>
    <w:p w14:paraId="5EC6CC7C" w14:textId="77777777" w:rsidR="007B5C53" w:rsidRPr="00D12C6F" w:rsidRDefault="007B5C53" w:rsidP="00D12C6F">
      <w:pPr>
        <w:pStyle w:val="SingleParagraph"/>
      </w:pPr>
      <w:r w:rsidRPr="00D12C6F">
        <w:br w:type="page"/>
      </w:r>
    </w:p>
    <w:p w14:paraId="674C7CDE" w14:textId="77777777" w:rsidR="004650F2" w:rsidRPr="00D12C6F" w:rsidRDefault="00C22542" w:rsidP="00D12C6F">
      <w:pPr>
        <w:pStyle w:val="TableHeading"/>
      </w:pPr>
      <w:r w:rsidRPr="00D12C6F">
        <w:rPr>
          <w:rFonts w:eastAsia="Arial"/>
        </w:rPr>
        <w:lastRenderedPageBreak/>
        <w:t xml:space="preserve">Table 9.2: </w:t>
      </w:r>
      <w:r w:rsidR="00DD61D7" w:rsidRPr="00D12C6F">
        <w:rPr>
          <w:rFonts w:eastAsia="Arial"/>
        </w:rPr>
        <w:t>Summary of fiscal risks, contingent liabilities and contingent assets in the Statement of Risks</w:t>
      </w:r>
    </w:p>
    <w:tbl>
      <w:tblPr>
        <w:tblW w:w="0" w:type="auto"/>
        <w:tblCellMar>
          <w:left w:w="0" w:type="dxa"/>
          <w:right w:w="28" w:type="dxa"/>
        </w:tblCellMar>
        <w:tblLook w:val="04A0" w:firstRow="1" w:lastRow="0" w:firstColumn="1" w:lastColumn="0" w:noHBand="0" w:noVBand="1"/>
      </w:tblPr>
      <w:tblGrid>
        <w:gridCol w:w="6393"/>
        <w:gridCol w:w="936"/>
      </w:tblGrid>
      <w:tr w:rsidR="001206E8" w:rsidRPr="00880FAB" w14:paraId="0C75279D" w14:textId="77777777" w:rsidTr="004C38A7">
        <w:trPr>
          <w:trHeight w:val="225"/>
        </w:trPr>
        <w:tc>
          <w:tcPr>
            <w:tcW w:w="6393" w:type="dxa"/>
            <w:tcBorders>
              <w:top w:val="single" w:sz="4" w:space="0" w:color="293F5B"/>
              <w:left w:val="nil"/>
              <w:bottom w:val="single" w:sz="4" w:space="0" w:color="293F5B"/>
              <w:right w:val="nil"/>
            </w:tcBorders>
            <w:shd w:val="clear" w:color="000000" w:fill="E6F2FF"/>
            <w:vAlign w:val="center"/>
            <w:hideMark/>
          </w:tcPr>
          <w:p w14:paraId="7C5F2D8E"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Agriculture, Fisheries and Forestry</w:t>
            </w:r>
          </w:p>
        </w:tc>
        <w:tc>
          <w:tcPr>
            <w:tcW w:w="936" w:type="dxa"/>
            <w:tcBorders>
              <w:top w:val="single" w:sz="4" w:space="0" w:color="293F5B"/>
              <w:left w:val="nil"/>
              <w:bottom w:val="nil"/>
              <w:right w:val="nil"/>
            </w:tcBorders>
            <w:shd w:val="clear" w:color="000000" w:fill="E6F2FF"/>
            <w:vAlign w:val="center"/>
            <w:hideMark/>
          </w:tcPr>
          <w:p w14:paraId="6A63A9C7"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4650F2" w:rsidRPr="00880FAB" w14:paraId="1E4D1E19" w14:textId="77777777" w:rsidTr="004C38A7">
        <w:trPr>
          <w:trHeight w:hRule="exact" w:val="225"/>
        </w:trPr>
        <w:tc>
          <w:tcPr>
            <w:tcW w:w="6393" w:type="dxa"/>
            <w:tcBorders>
              <w:top w:val="nil"/>
              <w:left w:val="nil"/>
              <w:bottom w:val="single" w:sz="4" w:space="0" w:color="293F5B"/>
              <w:right w:val="nil"/>
            </w:tcBorders>
            <w:shd w:val="clear" w:color="000000" w:fill="E6F2FF"/>
            <w:vAlign w:val="center"/>
            <w:hideMark/>
          </w:tcPr>
          <w:p w14:paraId="057D703B" w14:textId="77777777" w:rsidR="004650F2" w:rsidRPr="00880FAB" w:rsidRDefault="004650F2" w:rsidP="004650F2">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unquantifiable</w:t>
            </w:r>
          </w:p>
        </w:tc>
        <w:tc>
          <w:tcPr>
            <w:tcW w:w="936" w:type="dxa"/>
            <w:tcBorders>
              <w:top w:val="single" w:sz="4" w:space="0" w:color="293F5B"/>
              <w:left w:val="nil"/>
              <w:bottom w:val="nil"/>
              <w:right w:val="nil"/>
            </w:tcBorders>
            <w:shd w:val="clear" w:color="000000" w:fill="E6F2FF"/>
            <w:vAlign w:val="center"/>
            <w:hideMark/>
          </w:tcPr>
          <w:p w14:paraId="384731C5"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4650F2" w:rsidRPr="00880FAB" w14:paraId="3C2882E7" w14:textId="77777777" w:rsidTr="004C38A7">
        <w:trPr>
          <w:trHeight w:hRule="exact" w:val="494"/>
        </w:trPr>
        <w:tc>
          <w:tcPr>
            <w:tcW w:w="6393" w:type="dxa"/>
            <w:tcBorders>
              <w:top w:val="nil"/>
              <w:left w:val="nil"/>
              <w:bottom w:val="single" w:sz="4" w:space="0" w:color="293F5B"/>
              <w:right w:val="nil"/>
            </w:tcBorders>
            <w:vAlign w:val="center"/>
            <w:hideMark/>
          </w:tcPr>
          <w:p w14:paraId="1B9BF4A0" w14:textId="77777777" w:rsidR="001D49C1"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Commonwealth liabilities in respect of matching payments to industries for research </w:t>
            </w:r>
          </w:p>
          <w:p w14:paraId="0F885C28" w14:textId="00BB3276" w:rsidR="004650F2" w:rsidRPr="00880FAB" w:rsidRDefault="004650F2" w:rsidP="001D49C1">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and development contributions</w:t>
            </w:r>
          </w:p>
        </w:tc>
        <w:tc>
          <w:tcPr>
            <w:tcW w:w="936" w:type="dxa"/>
            <w:tcBorders>
              <w:top w:val="single" w:sz="4" w:space="0" w:color="293F5B"/>
              <w:left w:val="nil"/>
              <w:bottom w:val="single" w:sz="4" w:space="0" w:color="293F5B"/>
              <w:right w:val="nil"/>
            </w:tcBorders>
            <w:vAlign w:val="center"/>
            <w:hideMark/>
          </w:tcPr>
          <w:p w14:paraId="7D443169"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4650F2" w:rsidRPr="00880FAB" w14:paraId="6143EACA" w14:textId="77777777" w:rsidTr="004C38A7">
        <w:trPr>
          <w:trHeight w:hRule="exact" w:val="225"/>
        </w:trPr>
        <w:tc>
          <w:tcPr>
            <w:tcW w:w="6393" w:type="dxa"/>
            <w:tcBorders>
              <w:top w:val="nil"/>
              <w:left w:val="nil"/>
              <w:bottom w:val="nil"/>
              <w:right w:val="nil"/>
            </w:tcBorders>
            <w:vAlign w:val="center"/>
            <w:hideMark/>
          </w:tcPr>
          <w:p w14:paraId="7932B833"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Emergency pest and disease response arrangements</w:t>
            </w:r>
          </w:p>
        </w:tc>
        <w:tc>
          <w:tcPr>
            <w:tcW w:w="936" w:type="dxa"/>
            <w:tcBorders>
              <w:top w:val="nil"/>
              <w:left w:val="nil"/>
              <w:bottom w:val="nil"/>
              <w:right w:val="nil"/>
            </w:tcBorders>
            <w:vAlign w:val="center"/>
            <w:hideMark/>
          </w:tcPr>
          <w:p w14:paraId="29D16607"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1206E8" w:rsidRPr="00880FAB" w14:paraId="320B7790" w14:textId="77777777" w:rsidTr="004C38A7">
        <w:trPr>
          <w:trHeight w:hRule="exact" w:val="225"/>
        </w:trPr>
        <w:tc>
          <w:tcPr>
            <w:tcW w:w="6393" w:type="dxa"/>
            <w:tcBorders>
              <w:top w:val="single" w:sz="4" w:space="0" w:color="293F5B"/>
              <w:left w:val="nil"/>
              <w:bottom w:val="single" w:sz="4" w:space="0" w:color="293F5B"/>
              <w:right w:val="nil"/>
            </w:tcBorders>
            <w:shd w:val="clear" w:color="000000" w:fill="E6F2FF"/>
            <w:vAlign w:val="center"/>
            <w:hideMark/>
          </w:tcPr>
          <w:p w14:paraId="059335D5"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Attorney</w:t>
            </w:r>
            <w:r w:rsidRPr="00880FAB">
              <w:rPr>
                <w:rFonts w:ascii="Arial" w:hAnsi="Arial" w:cs="Arial"/>
                <w:b/>
                <w:bCs/>
                <w:color w:val="000000"/>
                <w:sz w:val="16"/>
                <w:szCs w:val="16"/>
              </w:rPr>
              <w:noBreakHyphen/>
              <w:t>General’s</w:t>
            </w:r>
          </w:p>
        </w:tc>
        <w:tc>
          <w:tcPr>
            <w:tcW w:w="936" w:type="dxa"/>
            <w:tcBorders>
              <w:top w:val="single" w:sz="4" w:space="0" w:color="293F5B"/>
              <w:left w:val="nil"/>
              <w:bottom w:val="nil"/>
              <w:right w:val="nil"/>
            </w:tcBorders>
            <w:shd w:val="clear" w:color="000000" w:fill="E6F2FF"/>
            <w:vAlign w:val="center"/>
            <w:hideMark/>
          </w:tcPr>
          <w:p w14:paraId="7B84D5D0"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4650F2" w:rsidRPr="00880FAB" w14:paraId="668F7231" w14:textId="77777777" w:rsidTr="004C38A7">
        <w:trPr>
          <w:trHeight w:hRule="exact" w:val="225"/>
        </w:trPr>
        <w:tc>
          <w:tcPr>
            <w:tcW w:w="6393" w:type="dxa"/>
            <w:tcBorders>
              <w:top w:val="nil"/>
              <w:left w:val="nil"/>
              <w:bottom w:val="single" w:sz="4" w:space="0" w:color="293F5B"/>
              <w:right w:val="nil"/>
            </w:tcBorders>
            <w:shd w:val="clear" w:color="000000" w:fill="E6F2FF"/>
            <w:vAlign w:val="center"/>
            <w:hideMark/>
          </w:tcPr>
          <w:p w14:paraId="7CF69179" w14:textId="77777777" w:rsidR="004650F2" w:rsidRPr="00880FAB" w:rsidRDefault="004650F2" w:rsidP="004650F2">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unquantifiable</w:t>
            </w:r>
          </w:p>
        </w:tc>
        <w:tc>
          <w:tcPr>
            <w:tcW w:w="936" w:type="dxa"/>
            <w:tcBorders>
              <w:top w:val="single" w:sz="4" w:space="0" w:color="293F5B"/>
              <w:left w:val="nil"/>
              <w:bottom w:val="nil"/>
              <w:right w:val="nil"/>
            </w:tcBorders>
            <w:shd w:val="clear" w:color="000000" w:fill="E6F2FF"/>
            <w:vAlign w:val="center"/>
            <w:hideMark/>
          </w:tcPr>
          <w:p w14:paraId="1A37B7B6"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4650F2" w:rsidRPr="00880FAB" w14:paraId="39CF3C15" w14:textId="77777777" w:rsidTr="004C38A7">
        <w:trPr>
          <w:trHeight w:hRule="exact" w:val="225"/>
        </w:trPr>
        <w:tc>
          <w:tcPr>
            <w:tcW w:w="6393" w:type="dxa"/>
            <w:tcBorders>
              <w:top w:val="nil"/>
              <w:left w:val="nil"/>
              <w:bottom w:val="single" w:sz="4" w:space="0" w:color="293F5B"/>
              <w:right w:val="nil"/>
            </w:tcBorders>
            <w:vAlign w:val="center"/>
            <w:hideMark/>
          </w:tcPr>
          <w:p w14:paraId="281CC108"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Investor</w:t>
            </w:r>
            <w:r w:rsidRPr="00880FAB">
              <w:rPr>
                <w:rFonts w:ascii="Arial" w:hAnsi="Arial" w:cs="Arial"/>
                <w:color w:val="000000"/>
                <w:sz w:val="16"/>
                <w:szCs w:val="16"/>
              </w:rPr>
              <w:noBreakHyphen/>
              <w:t>state claims against the Australian Government</w:t>
            </w:r>
          </w:p>
        </w:tc>
        <w:tc>
          <w:tcPr>
            <w:tcW w:w="936" w:type="dxa"/>
            <w:tcBorders>
              <w:top w:val="single" w:sz="4" w:space="0" w:color="293F5B"/>
              <w:left w:val="nil"/>
              <w:bottom w:val="nil"/>
              <w:right w:val="nil"/>
            </w:tcBorders>
            <w:vAlign w:val="center"/>
            <w:hideMark/>
          </w:tcPr>
          <w:p w14:paraId="722613B7"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4650F2" w:rsidRPr="00880FAB" w14:paraId="0EF0E626" w14:textId="77777777" w:rsidTr="004C38A7">
        <w:trPr>
          <w:trHeight w:hRule="exact" w:val="225"/>
        </w:trPr>
        <w:tc>
          <w:tcPr>
            <w:tcW w:w="6393" w:type="dxa"/>
            <w:tcBorders>
              <w:top w:val="nil"/>
              <w:left w:val="nil"/>
              <w:bottom w:val="nil"/>
              <w:right w:val="nil"/>
            </w:tcBorders>
            <w:vAlign w:val="center"/>
            <w:hideMark/>
          </w:tcPr>
          <w:p w14:paraId="5E40BAFB"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Native Title costs</w:t>
            </w:r>
          </w:p>
        </w:tc>
        <w:tc>
          <w:tcPr>
            <w:tcW w:w="936" w:type="dxa"/>
            <w:tcBorders>
              <w:top w:val="single" w:sz="4" w:space="0" w:color="293F5B"/>
              <w:left w:val="nil"/>
              <w:bottom w:val="nil"/>
              <w:right w:val="nil"/>
            </w:tcBorders>
            <w:vAlign w:val="center"/>
            <w:hideMark/>
          </w:tcPr>
          <w:p w14:paraId="745228B7"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1206E8" w:rsidRPr="00880FAB" w14:paraId="2EB95D93" w14:textId="77777777" w:rsidTr="004C38A7">
        <w:trPr>
          <w:trHeight w:hRule="exact" w:val="225"/>
        </w:trPr>
        <w:tc>
          <w:tcPr>
            <w:tcW w:w="6393" w:type="dxa"/>
            <w:tcBorders>
              <w:top w:val="single" w:sz="4" w:space="0" w:color="293F5B"/>
              <w:left w:val="nil"/>
              <w:bottom w:val="single" w:sz="4" w:space="0" w:color="293F5B"/>
              <w:right w:val="nil"/>
            </w:tcBorders>
            <w:shd w:val="clear" w:color="000000" w:fill="E6F2FF"/>
            <w:vAlign w:val="center"/>
            <w:hideMark/>
          </w:tcPr>
          <w:p w14:paraId="4ABA0869"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Climate Change, Energy, the Environment and Water</w:t>
            </w:r>
          </w:p>
        </w:tc>
        <w:tc>
          <w:tcPr>
            <w:tcW w:w="936" w:type="dxa"/>
            <w:tcBorders>
              <w:top w:val="single" w:sz="4" w:space="0" w:color="293F5B"/>
              <w:left w:val="nil"/>
              <w:bottom w:val="nil"/>
              <w:right w:val="nil"/>
            </w:tcBorders>
            <w:shd w:val="clear" w:color="000000" w:fill="E6F2FF"/>
            <w:vAlign w:val="center"/>
            <w:hideMark/>
          </w:tcPr>
          <w:p w14:paraId="5DE17E5B"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1206E8" w:rsidRPr="00880FAB" w14:paraId="7DC0C246" w14:textId="77777777" w:rsidTr="004C38A7">
        <w:trPr>
          <w:trHeight w:hRule="exact" w:val="225"/>
        </w:trPr>
        <w:tc>
          <w:tcPr>
            <w:tcW w:w="6393" w:type="dxa"/>
            <w:tcBorders>
              <w:top w:val="nil"/>
              <w:left w:val="nil"/>
              <w:bottom w:val="single" w:sz="4" w:space="0" w:color="293F5B"/>
              <w:right w:val="nil"/>
            </w:tcBorders>
            <w:shd w:val="clear" w:color="000000" w:fill="E6F2FF"/>
            <w:vAlign w:val="center"/>
            <w:hideMark/>
          </w:tcPr>
          <w:p w14:paraId="18479530" w14:textId="77777777" w:rsidR="004650F2" w:rsidRPr="00880FAB" w:rsidRDefault="004650F2" w:rsidP="004650F2">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Fiscal Risks</w:t>
            </w:r>
          </w:p>
        </w:tc>
        <w:tc>
          <w:tcPr>
            <w:tcW w:w="936" w:type="dxa"/>
            <w:tcBorders>
              <w:top w:val="single" w:sz="4" w:space="0" w:color="293F5B"/>
              <w:left w:val="nil"/>
              <w:bottom w:val="nil"/>
              <w:right w:val="nil"/>
            </w:tcBorders>
            <w:shd w:val="clear" w:color="000000" w:fill="E6F2FF"/>
            <w:vAlign w:val="center"/>
            <w:hideMark/>
          </w:tcPr>
          <w:p w14:paraId="0D33228A"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4650F2" w:rsidRPr="00880FAB" w14:paraId="74A18790" w14:textId="77777777" w:rsidTr="004C38A7">
        <w:trPr>
          <w:trHeight w:hRule="exact" w:val="225"/>
        </w:trPr>
        <w:tc>
          <w:tcPr>
            <w:tcW w:w="6393" w:type="dxa"/>
            <w:tcBorders>
              <w:top w:val="single" w:sz="4" w:space="0" w:color="293F5B"/>
              <w:left w:val="nil"/>
              <w:bottom w:val="single" w:sz="4" w:space="0" w:color="auto"/>
              <w:right w:val="nil"/>
            </w:tcBorders>
            <w:vAlign w:val="center"/>
            <w:hideMark/>
          </w:tcPr>
          <w:p w14:paraId="66E9F5D5" w14:textId="33EDF50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Australian </w:t>
            </w:r>
            <w:r w:rsidR="008905BB" w:rsidRPr="00880FAB">
              <w:rPr>
                <w:rFonts w:ascii="Arial" w:hAnsi="Arial" w:cs="Arial"/>
                <w:color w:val="000000"/>
                <w:sz w:val="16"/>
                <w:szCs w:val="16"/>
              </w:rPr>
              <w:t xml:space="preserve">Strategic </w:t>
            </w:r>
            <w:r w:rsidRPr="00880FAB">
              <w:rPr>
                <w:rFonts w:ascii="Arial" w:hAnsi="Arial" w:cs="Arial"/>
                <w:color w:val="000000"/>
                <w:sz w:val="16"/>
                <w:szCs w:val="16"/>
              </w:rPr>
              <w:t xml:space="preserve">Fuel Reserve </w:t>
            </w:r>
          </w:p>
        </w:tc>
        <w:tc>
          <w:tcPr>
            <w:tcW w:w="936" w:type="dxa"/>
            <w:tcBorders>
              <w:top w:val="single" w:sz="4" w:space="0" w:color="293F5B"/>
              <w:left w:val="nil"/>
              <w:bottom w:val="nil"/>
              <w:right w:val="nil"/>
            </w:tcBorders>
            <w:vAlign w:val="center"/>
            <w:hideMark/>
          </w:tcPr>
          <w:p w14:paraId="3888D6B4"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New</w:t>
            </w:r>
          </w:p>
        </w:tc>
      </w:tr>
      <w:tr w:rsidR="004650F2" w:rsidRPr="00880FAB" w14:paraId="24FA9F8B" w14:textId="77777777" w:rsidTr="004C38A7">
        <w:trPr>
          <w:trHeight w:hRule="exact" w:val="225"/>
        </w:trPr>
        <w:tc>
          <w:tcPr>
            <w:tcW w:w="6393" w:type="dxa"/>
            <w:tcBorders>
              <w:top w:val="single" w:sz="4" w:space="0" w:color="auto"/>
              <w:left w:val="nil"/>
              <w:bottom w:val="nil"/>
              <w:right w:val="nil"/>
            </w:tcBorders>
            <w:vAlign w:val="center"/>
            <w:hideMark/>
          </w:tcPr>
          <w:p w14:paraId="73DA86C9"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Snowy Hydro Limited</w:t>
            </w:r>
          </w:p>
        </w:tc>
        <w:tc>
          <w:tcPr>
            <w:tcW w:w="936" w:type="dxa"/>
            <w:tcBorders>
              <w:top w:val="single" w:sz="4" w:space="0" w:color="293F5B"/>
              <w:left w:val="nil"/>
              <w:bottom w:val="nil"/>
              <w:right w:val="nil"/>
            </w:tcBorders>
            <w:vAlign w:val="center"/>
            <w:hideMark/>
          </w:tcPr>
          <w:p w14:paraId="2171C761"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1206E8" w:rsidRPr="00880FAB" w14:paraId="51B97AA7" w14:textId="77777777" w:rsidTr="004C38A7">
        <w:trPr>
          <w:trHeight w:hRule="exact" w:val="225"/>
        </w:trPr>
        <w:tc>
          <w:tcPr>
            <w:tcW w:w="6393" w:type="dxa"/>
            <w:tcBorders>
              <w:top w:val="single" w:sz="4" w:space="0" w:color="293F5B"/>
              <w:left w:val="nil"/>
              <w:bottom w:val="single" w:sz="4" w:space="0" w:color="293F5B"/>
              <w:right w:val="nil"/>
            </w:tcBorders>
            <w:shd w:val="clear" w:color="000000" w:fill="E6F2FF"/>
            <w:vAlign w:val="center"/>
            <w:hideMark/>
          </w:tcPr>
          <w:p w14:paraId="3DC76007" w14:textId="77777777" w:rsidR="004650F2" w:rsidRPr="00880FAB" w:rsidRDefault="004650F2" w:rsidP="004650F2">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Significant but remote contingencies</w:t>
            </w:r>
          </w:p>
        </w:tc>
        <w:tc>
          <w:tcPr>
            <w:tcW w:w="936" w:type="dxa"/>
            <w:tcBorders>
              <w:top w:val="single" w:sz="4" w:space="0" w:color="293F5B"/>
              <w:left w:val="nil"/>
              <w:bottom w:val="nil"/>
              <w:right w:val="nil"/>
            </w:tcBorders>
            <w:shd w:val="clear" w:color="000000" w:fill="E6F2FF"/>
            <w:vAlign w:val="center"/>
            <w:hideMark/>
          </w:tcPr>
          <w:p w14:paraId="24BBBFCA"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4650F2" w:rsidRPr="00880FAB" w14:paraId="1068AA3D" w14:textId="77777777" w:rsidTr="004C38A7">
        <w:trPr>
          <w:trHeight w:hRule="exact" w:val="225"/>
        </w:trPr>
        <w:tc>
          <w:tcPr>
            <w:tcW w:w="6393" w:type="dxa"/>
            <w:tcBorders>
              <w:top w:val="nil"/>
              <w:left w:val="nil"/>
              <w:bottom w:val="single" w:sz="4" w:space="0" w:color="293F5B"/>
              <w:right w:val="nil"/>
            </w:tcBorders>
            <w:vAlign w:val="center"/>
            <w:hideMark/>
          </w:tcPr>
          <w:p w14:paraId="53A34371"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Snowy Hydro Limited – Board Members’ indemnity</w:t>
            </w:r>
          </w:p>
        </w:tc>
        <w:tc>
          <w:tcPr>
            <w:tcW w:w="936" w:type="dxa"/>
            <w:tcBorders>
              <w:top w:val="single" w:sz="4" w:space="0" w:color="293F5B"/>
              <w:left w:val="nil"/>
              <w:bottom w:val="nil"/>
              <w:right w:val="nil"/>
            </w:tcBorders>
            <w:vAlign w:val="center"/>
            <w:hideMark/>
          </w:tcPr>
          <w:p w14:paraId="395F19AC"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4650F2" w:rsidRPr="00880FAB" w14:paraId="652C4036" w14:textId="77777777" w:rsidTr="004C38A7">
        <w:trPr>
          <w:trHeight w:hRule="exact" w:val="225"/>
        </w:trPr>
        <w:tc>
          <w:tcPr>
            <w:tcW w:w="6393" w:type="dxa"/>
            <w:tcBorders>
              <w:top w:val="nil"/>
              <w:left w:val="nil"/>
              <w:bottom w:val="single" w:sz="4" w:space="0" w:color="293F5B"/>
              <w:right w:val="nil"/>
            </w:tcBorders>
            <w:vAlign w:val="center"/>
            <w:hideMark/>
          </w:tcPr>
          <w:p w14:paraId="1A5795F8"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Snowy Hydro Limited – Termination of the Equity Subscription Agreements</w:t>
            </w:r>
          </w:p>
        </w:tc>
        <w:tc>
          <w:tcPr>
            <w:tcW w:w="936" w:type="dxa"/>
            <w:tcBorders>
              <w:top w:val="single" w:sz="4" w:space="0" w:color="293F5B"/>
              <w:left w:val="nil"/>
              <w:bottom w:val="nil"/>
              <w:right w:val="nil"/>
            </w:tcBorders>
            <w:vAlign w:val="center"/>
            <w:hideMark/>
          </w:tcPr>
          <w:p w14:paraId="2D20FA3A"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4650F2" w:rsidRPr="00880FAB" w14:paraId="098016A5" w14:textId="77777777" w:rsidTr="004C38A7">
        <w:trPr>
          <w:trHeight w:hRule="exact" w:val="225"/>
        </w:trPr>
        <w:tc>
          <w:tcPr>
            <w:tcW w:w="6393" w:type="dxa"/>
            <w:tcBorders>
              <w:top w:val="nil"/>
              <w:left w:val="nil"/>
              <w:bottom w:val="single" w:sz="4" w:space="0" w:color="293F5B"/>
              <w:right w:val="nil"/>
            </w:tcBorders>
            <w:shd w:val="clear" w:color="000000" w:fill="E6F2FF"/>
            <w:vAlign w:val="center"/>
            <w:hideMark/>
          </w:tcPr>
          <w:p w14:paraId="6DA839D9" w14:textId="77777777" w:rsidR="004650F2" w:rsidRPr="00880FAB" w:rsidRDefault="004650F2" w:rsidP="004650F2">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unquantifiable</w:t>
            </w:r>
          </w:p>
        </w:tc>
        <w:tc>
          <w:tcPr>
            <w:tcW w:w="936" w:type="dxa"/>
            <w:tcBorders>
              <w:top w:val="single" w:sz="4" w:space="0" w:color="293F5B"/>
              <w:left w:val="nil"/>
              <w:bottom w:val="nil"/>
              <w:right w:val="nil"/>
            </w:tcBorders>
            <w:shd w:val="clear" w:color="000000" w:fill="E6F2FF"/>
            <w:vAlign w:val="center"/>
            <w:hideMark/>
          </w:tcPr>
          <w:p w14:paraId="69C018B0"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4650F2" w:rsidRPr="00880FAB" w14:paraId="6C3F903F" w14:textId="77777777" w:rsidTr="004C38A7">
        <w:trPr>
          <w:trHeight w:hRule="exact" w:val="225"/>
        </w:trPr>
        <w:tc>
          <w:tcPr>
            <w:tcW w:w="6393" w:type="dxa"/>
            <w:tcBorders>
              <w:top w:val="nil"/>
              <w:left w:val="nil"/>
              <w:bottom w:val="single" w:sz="4" w:space="0" w:color="293F5B"/>
              <w:right w:val="nil"/>
            </w:tcBorders>
            <w:vAlign w:val="center"/>
            <w:hideMark/>
          </w:tcPr>
          <w:p w14:paraId="11F17157"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Gorgon liquefied natural gas and carbon dioxide storage project – long</w:t>
            </w:r>
            <w:r w:rsidRPr="00880FAB">
              <w:rPr>
                <w:rFonts w:ascii="Arial" w:hAnsi="Arial" w:cs="Arial"/>
                <w:color w:val="000000"/>
                <w:sz w:val="16"/>
                <w:szCs w:val="16"/>
              </w:rPr>
              <w:noBreakHyphen/>
              <w:t>term liability</w:t>
            </w:r>
          </w:p>
        </w:tc>
        <w:tc>
          <w:tcPr>
            <w:tcW w:w="936" w:type="dxa"/>
            <w:tcBorders>
              <w:top w:val="single" w:sz="4" w:space="0" w:color="293F5B"/>
              <w:left w:val="nil"/>
              <w:bottom w:val="nil"/>
              <w:right w:val="nil"/>
            </w:tcBorders>
            <w:vAlign w:val="center"/>
            <w:hideMark/>
          </w:tcPr>
          <w:p w14:paraId="7695CF53"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4650F2" w:rsidRPr="00880FAB" w14:paraId="4A0A808B" w14:textId="77777777" w:rsidTr="004C38A7">
        <w:trPr>
          <w:trHeight w:hRule="exact" w:val="225"/>
        </w:trPr>
        <w:tc>
          <w:tcPr>
            <w:tcW w:w="6393" w:type="dxa"/>
            <w:tcBorders>
              <w:top w:val="nil"/>
              <w:left w:val="nil"/>
              <w:bottom w:val="single" w:sz="4" w:space="0" w:color="293F5B"/>
              <w:right w:val="nil"/>
            </w:tcBorders>
            <w:vAlign w:val="center"/>
            <w:hideMark/>
          </w:tcPr>
          <w:p w14:paraId="5D8DACB5"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Liability for costs incurred in a national liquid fuel emergency</w:t>
            </w:r>
          </w:p>
        </w:tc>
        <w:tc>
          <w:tcPr>
            <w:tcW w:w="936" w:type="dxa"/>
            <w:tcBorders>
              <w:top w:val="single" w:sz="4" w:space="0" w:color="293F5B"/>
              <w:left w:val="nil"/>
              <w:bottom w:val="nil"/>
              <w:right w:val="nil"/>
            </w:tcBorders>
            <w:vAlign w:val="center"/>
            <w:hideMark/>
          </w:tcPr>
          <w:p w14:paraId="1F278448"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4650F2" w:rsidRPr="00880FAB" w14:paraId="42005C1D" w14:textId="77777777" w:rsidTr="004C38A7">
        <w:trPr>
          <w:trHeight w:hRule="exact" w:val="225"/>
        </w:trPr>
        <w:tc>
          <w:tcPr>
            <w:tcW w:w="6393" w:type="dxa"/>
            <w:tcBorders>
              <w:top w:val="nil"/>
              <w:left w:val="nil"/>
              <w:bottom w:val="single" w:sz="4" w:space="0" w:color="293F5B"/>
              <w:right w:val="nil"/>
            </w:tcBorders>
            <w:vAlign w:val="center"/>
            <w:hideMark/>
          </w:tcPr>
          <w:p w14:paraId="0FF22BCA"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Marinus Link Project – Shareholders’ agreement</w:t>
            </w:r>
          </w:p>
        </w:tc>
        <w:tc>
          <w:tcPr>
            <w:tcW w:w="936" w:type="dxa"/>
            <w:tcBorders>
              <w:top w:val="single" w:sz="4" w:space="0" w:color="293F5B"/>
              <w:left w:val="nil"/>
              <w:bottom w:val="nil"/>
              <w:right w:val="nil"/>
            </w:tcBorders>
            <w:vAlign w:val="center"/>
            <w:hideMark/>
          </w:tcPr>
          <w:p w14:paraId="5886AF4F"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4650F2" w:rsidRPr="00880FAB" w14:paraId="31771FCE" w14:textId="77777777" w:rsidTr="004C38A7">
        <w:trPr>
          <w:trHeight w:hRule="exact" w:val="225"/>
        </w:trPr>
        <w:tc>
          <w:tcPr>
            <w:tcW w:w="6393" w:type="dxa"/>
            <w:tcBorders>
              <w:top w:val="nil"/>
              <w:left w:val="nil"/>
              <w:bottom w:val="single" w:sz="4" w:space="0" w:color="293F5B"/>
              <w:right w:val="nil"/>
            </w:tcBorders>
            <w:vAlign w:val="center"/>
            <w:hideMark/>
          </w:tcPr>
          <w:p w14:paraId="22DAAC63"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Murray Darling Basin Reform – risk assignment</w:t>
            </w:r>
          </w:p>
        </w:tc>
        <w:tc>
          <w:tcPr>
            <w:tcW w:w="936" w:type="dxa"/>
            <w:tcBorders>
              <w:top w:val="single" w:sz="4" w:space="0" w:color="293F5B"/>
              <w:left w:val="nil"/>
              <w:bottom w:val="nil"/>
              <w:right w:val="nil"/>
            </w:tcBorders>
            <w:vAlign w:val="center"/>
            <w:hideMark/>
          </w:tcPr>
          <w:p w14:paraId="3A14225D"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4650F2" w:rsidRPr="00880FAB" w14:paraId="1601F363" w14:textId="77777777" w:rsidTr="004C38A7">
        <w:trPr>
          <w:trHeight w:hRule="exact" w:val="225"/>
        </w:trPr>
        <w:tc>
          <w:tcPr>
            <w:tcW w:w="6393" w:type="dxa"/>
            <w:tcBorders>
              <w:top w:val="nil"/>
              <w:left w:val="nil"/>
              <w:bottom w:val="single" w:sz="4" w:space="0" w:color="293F5B"/>
              <w:right w:val="nil"/>
            </w:tcBorders>
            <w:vAlign w:val="center"/>
            <w:hideMark/>
          </w:tcPr>
          <w:p w14:paraId="420BE965"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Remediation of Jabiru Township</w:t>
            </w:r>
          </w:p>
        </w:tc>
        <w:tc>
          <w:tcPr>
            <w:tcW w:w="936" w:type="dxa"/>
            <w:tcBorders>
              <w:top w:val="single" w:sz="4" w:space="0" w:color="293F5B"/>
              <w:left w:val="nil"/>
              <w:bottom w:val="nil"/>
              <w:right w:val="nil"/>
            </w:tcBorders>
            <w:vAlign w:val="center"/>
            <w:hideMark/>
          </w:tcPr>
          <w:p w14:paraId="5E058D13"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4650F2" w:rsidRPr="00880FAB" w14:paraId="4A653AFE" w14:textId="77777777" w:rsidTr="004C38A7">
        <w:trPr>
          <w:trHeight w:hRule="exact" w:val="397"/>
        </w:trPr>
        <w:tc>
          <w:tcPr>
            <w:tcW w:w="6393" w:type="dxa"/>
            <w:tcBorders>
              <w:top w:val="nil"/>
              <w:left w:val="nil"/>
              <w:bottom w:val="single" w:sz="4" w:space="0" w:color="293F5B"/>
              <w:right w:val="nil"/>
            </w:tcBorders>
            <w:vAlign w:val="center"/>
            <w:hideMark/>
          </w:tcPr>
          <w:p w14:paraId="0B380D4B" w14:textId="77777777" w:rsidR="001D49C1"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United States Strategic Petroleum Reserve Lease Agreement – indemnity under </w:t>
            </w:r>
          </w:p>
          <w:p w14:paraId="63E2DC81" w14:textId="5BFC0486" w:rsidR="004650F2" w:rsidRPr="00880FAB" w:rsidRDefault="004650F2" w:rsidP="001D49C1">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certain conditions</w:t>
            </w:r>
          </w:p>
        </w:tc>
        <w:tc>
          <w:tcPr>
            <w:tcW w:w="936" w:type="dxa"/>
            <w:tcBorders>
              <w:top w:val="single" w:sz="4" w:space="0" w:color="293F5B"/>
              <w:left w:val="nil"/>
              <w:bottom w:val="nil"/>
              <w:right w:val="nil"/>
            </w:tcBorders>
            <w:vAlign w:val="center"/>
            <w:hideMark/>
          </w:tcPr>
          <w:p w14:paraId="11321BE8"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Removed</w:t>
            </w:r>
          </w:p>
        </w:tc>
      </w:tr>
      <w:tr w:rsidR="004650F2" w:rsidRPr="00880FAB" w14:paraId="4D87FD8E" w14:textId="77777777" w:rsidTr="004C38A7">
        <w:trPr>
          <w:trHeight w:hRule="exact" w:val="225"/>
        </w:trPr>
        <w:tc>
          <w:tcPr>
            <w:tcW w:w="6393" w:type="dxa"/>
            <w:tcBorders>
              <w:top w:val="nil"/>
              <w:left w:val="nil"/>
              <w:bottom w:val="single" w:sz="4" w:space="0" w:color="293F5B"/>
              <w:right w:val="nil"/>
            </w:tcBorders>
            <w:shd w:val="clear" w:color="000000" w:fill="E6F2FF"/>
            <w:vAlign w:val="center"/>
            <w:hideMark/>
          </w:tcPr>
          <w:p w14:paraId="28950674" w14:textId="77777777" w:rsidR="004650F2" w:rsidRPr="00880FAB" w:rsidRDefault="004650F2" w:rsidP="004650F2">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quantifiable</w:t>
            </w:r>
          </w:p>
        </w:tc>
        <w:tc>
          <w:tcPr>
            <w:tcW w:w="936" w:type="dxa"/>
            <w:tcBorders>
              <w:top w:val="single" w:sz="4" w:space="0" w:color="293F5B"/>
              <w:left w:val="nil"/>
              <w:bottom w:val="nil"/>
              <w:right w:val="nil"/>
            </w:tcBorders>
            <w:shd w:val="clear" w:color="000000" w:fill="E6F2FF"/>
            <w:vAlign w:val="center"/>
            <w:hideMark/>
          </w:tcPr>
          <w:p w14:paraId="7825645B"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4650F2" w:rsidRPr="00880FAB" w14:paraId="068B22FC" w14:textId="77777777" w:rsidTr="004C38A7">
        <w:trPr>
          <w:trHeight w:hRule="exact" w:val="225"/>
        </w:trPr>
        <w:tc>
          <w:tcPr>
            <w:tcW w:w="6393" w:type="dxa"/>
            <w:tcBorders>
              <w:top w:val="nil"/>
              <w:left w:val="nil"/>
              <w:bottom w:val="nil"/>
              <w:right w:val="nil"/>
            </w:tcBorders>
            <w:vAlign w:val="center"/>
            <w:hideMark/>
          </w:tcPr>
          <w:p w14:paraId="75170C38"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Capacity Investment Scheme</w:t>
            </w:r>
          </w:p>
        </w:tc>
        <w:tc>
          <w:tcPr>
            <w:tcW w:w="936" w:type="dxa"/>
            <w:tcBorders>
              <w:top w:val="single" w:sz="4" w:space="0" w:color="293F5B"/>
              <w:left w:val="nil"/>
              <w:bottom w:val="nil"/>
              <w:right w:val="nil"/>
            </w:tcBorders>
            <w:vAlign w:val="center"/>
            <w:hideMark/>
          </w:tcPr>
          <w:p w14:paraId="103CC62B"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1206E8" w:rsidRPr="00880FAB" w14:paraId="429D8E13" w14:textId="77777777" w:rsidTr="004C38A7">
        <w:trPr>
          <w:trHeight w:hRule="exact" w:val="225"/>
        </w:trPr>
        <w:tc>
          <w:tcPr>
            <w:tcW w:w="6393" w:type="dxa"/>
            <w:tcBorders>
              <w:top w:val="single" w:sz="4" w:space="0" w:color="293F5B"/>
              <w:left w:val="nil"/>
              <w:bottom w:val="single" w:sz="4" w:space="0" w:color="293F5B"/>
              <w:right w:val="nil"/>
            </w:tcBorders>
            <w:shd w:val="clear" w:color="000000" w:fill="E6F2FF"/>
            <w:vAlign w:val="center"/>
            <w:hideMark/>
          </w:tcPr>
          <w:p w14:paraId="22C9DC57" w14:textId="77777777" w:rsidR="004650F2" w:rsidRPr="00880FAB" w:rsidRDefault="004650F2" w:rsidP="004650F2">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xml:space="preserve">Contingent assets – quantifiable </w:t>
            </w:r>
          </w:p>
        </w:tc>
        <w:tc>
          <w:tcPr>
            <w:tcW w:w="936" w:type="dxa"/>
            <w:tcBorders>
              <w:top w:val="single" w:sz="4" w:space="0" w:color="293F5B"/>
              <w:left w:val="nil"/>
              <w:bottom w:val="nil"/>
              <w:right w:val="nil"/>
            </w:tcBorders>
            <w:shd w:val="clear" w:color="000000" w:fill="E6F2FF"/>
            <w:vAlign w:val="center"/>
            <w:hideMark/>
          </w:tcPr>
          <w:p w14:paraId="3516B153"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4650F2" w:rsidRPr="00880FAB" w14:paraId="1418566F" w14:textId="77777777" w:rsidTr="004C38A7">
        <w:trPr>
          <w:trHeight w:hRule="exact" w:val="225"/>
        </w:trPr>
        <w:tc>
          <w:tcPr>
            <w:tcW w:w="6393" w:type="dxa"/>
            <w:tcBorders>
              <w:top w:val="nil"/>
              <w:left w:val="nil"/>
              <w:bottom w:val="nil"/>
              <w:right w:val="nil"/>
            </w:tcBorders>
            <w:vAlign w:val="center"/>
            <w:hideMark/>
          </w:tcPr>
          <w:p w14:paraId="31604F56"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Capacity Investment Scheme </w:t>
            </w:r>
          </w:p>
        </w:tc>
        <w:tc>
          <w:tcPr>
            <w:tcW w:w="936" w:type="dxa"/>
            <w:tcBorders>
              <w:top w:val="single" w:sz="4" w:space="0" w:color="293F5B"/>
              <w:left w:val="nil"/>
              <w:bottom w:val="nil"/>
              <w:right w:val="nil"/>
            </w:tcBorders>
            <w:vAlign w:val="center"/>
            <w:hideMark/>
          </w:tcPr>
          <w:p w14:paraId="56D06750"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1206E8" w:rsidRPr="00880FAB" w14:paraId="5B35D4AB" w14:textId="77777777" w:rsidTr="004C38A7">
        <w:trPr>
          <w:trHeight w:hRule="exact" w:val="225"/>
        </w:trPr>
        <w:tc>
          <w:tcPr>
            <w:tcW w:w="6393" w:type="dxa"/>
            <w:tcBorders>
              <w:top w:val="single" w:sz="4" w:space="0" w:color="293F5B"/>
              <w:left w:val="nil"/>
              <w:bottom w:val="single" w:sz="4" w:space="0" w:color="293F5B"/>
              <w:right w:val="nil"/>
            </w:tcBorders>
            <w:shd w:val="clear" w:color="000000" w:fill="E6F2FF"/>
            <w:vAlign w:val="center"/>
            <w:hideMark/>
          </w:tcPr>
          <w:p w14:paraId="04B8A929"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Defence</w:t>
            </w:r>
          </w:p>
        </w:tc>
        <w:tc>
          <w:tcPr>
            <w:tcW w:w="936" w:type="dxa"/>
            <w:tcBorders>
              <w:top w:val="single" w:sz="4" w:space="0" w:color="293F5B"/>
              <w:left w:val="nil"/>
              <w:bottom w:val="nil"/>
              <w:right w:val="nil"/>
            </w:tcBorders>
            <w:shd w:val="clear" w:color="000000" w:fill="E6F2FF"/>
            <w:vAlign w:val="center"/>
            <w:hideMark/>
          </w:tcPr>
          <w:p w14:paraId="3B3E2C4A"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4650F2" w:rsidRPr="00880FAB" w14:paraId="64F5D220" w14:textId="77777777" w:rsidTr="004C38A7">
        <w:trPr>
          <w:trHeight w:hRule="exact" w:val="225"/>
        </w:trPr>
        <w:tc>
          <w:tcPr>
            <w:tcW w:w="6393" w:type="dxa"/>
            <w:tcBorders>
              <w:top w:val="nil"/>
              <w:left w:val="nil"/>
              <w:bottom w:val="single" w:sz="4" w:space="0" w:color="293F5B"/>
              <w:right w:val="nil"/>
            </w:tcBorders>
            <w:shd w:val="clear" w:color="000000" w:fill="E6F2FF"/>
            <w:vAlign w:val="center"/>
            <w:hideMark/>
          </w:tcPr>
          <w:p w14:paraId="3B2C9065" w14:textId="77777777" w:rsidR="004650F2" w:rsidRPr="00880FAB" w:rsidRDefault="004650F2" w:rsidP="004650F2">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Fiscal Risks</w:t>
            </w:r>
          </w:p>
        </w:tc>
        <w:tc>
          <w:tcPr>
            <w:tcW w:w="936" w:type="dxa"/>
            <w:tcBorders>
              <w:top w:val="single" w:sz="4" w:space="0" w:color="293F5B"/>
              <w:left w:val="nil"/>
              <w:bottom w:val="nil"/>
              <w:right w:val="nil"/>
            </w:tcBorders>
            <w:shd w:val="clear" w:color="000000" w:fill="E6F2FF"/>
            <w:vAlign w:val="center"/>
            <w:hideMark/>
          </w:tcPr>
          <w:p w14:paraId="37AC383A"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4650F2" w:rsidRPr="00880FAB" w14:paraId="778584BA" w14:textId="77777777" w:rsidTr="004C38A7">
        <w:trPr>
          <w:trHeight w:hRule="exact" w:val="225"/>
        </w:trPr>
        <w:tc>
          <w:tcPr>
            <w:tcW w:w="6393" w:type="dxa"/>
            <w:tcBorders>
              <w:top w:val="nil"/>
              <w:left w:val="nil"/>
              <w:bottom w:val="single" w:sz="4" w:space="0" w:color="293F5B"/>
              <w:right w:val="nil"/>
            </w:tcBorders>
            <w:vAlign w:val="center"/>
            <w:hideMark/>
          </w:tcPr>
          <w:p w14:paraId="458AF349"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Implementation of the nuclear</w:t>
            </w:r>
            <w:r w:rsidRPr="00880FAB">
              <w:rPr>
                <w:rFonts w:ascii="Arial" w:hAnsi="Arial" w:cs="Arial"/>
                <w:color w:val="000000"/>
                <w:sz w:val="16"/>
                <w:szCs w:val="16"/>
              </w:rPr>
              <w:noBreakHyphen/>
              <w:t>powered submarine program</w:t>
            </w:r>
          </w:p>
        </w:tc>
        <w:tc>
          <w:tcPr>
            <w:tcW w:w="936" w:type="dxa"/>
            <w:tcBorders>
              <w:top w:val="single" w:sz="4" w:space="0" w:color="293F5B"/>
              <w:left w:val="nil"/>
              <w:bottom w:val="nil"/>
              <w:right w:val="nil"/>
            </w:tcBorders>
            <w:vAlign w:val="center"/>
            <w:hideMark/>
          </w:tcPr>
          <w:p w14:paraId="7EA4134E"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4650F2" w:rsidRPr="00880FAB" w14:paraId="2D1B3E46" w14:textId="77777777" w:rsidTr="004C38A7">
        <w:trPr>
          <w:trHeight w:hRule="exact" w:val="225"/>
        </w:trPr>
        <w:tc>
          <w:tcPr>
            <w:tcW w:w="6393" w:type="dxa"/>
            <w:tcBorders>
              <w:top w:val="nil"/>
              <w:left w:val="nil"/>
              <w:bottom w:val="single" w:sz="4" w:space="0" w:color="293F5B"/>
              <w:right w:val="nil"/>
            </w:tcBorders>
            <w:vAlign w:val="center"/>
            <w:hideMark/>
          </w:tcPr>
          <w:p w14:paraId="5841DB44"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Major operations of the Australian Defence Force in 2026–27</w:t>
            </w:r>
          </w:p>
        </w:tc>
        <w:tc>
          <w:tcPr>
            <w:tcW w:w="936" w:type="dxa"/>
            <w:tcBorders>
              <w:top w:val="single" w:sz="4" w:space="0" w:color="293F5B"/>
              <w:left w:val="nil"/>
              <w:bottom w:val="nil"/>
              <w:right w:val="nil"/>
            </w:tcBorders>
            <w:vAlign w:val="center"/>
            <w:hideMark/>
          </w:tcPr>
          <w:p w14:paraId="718597BE"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4650F2" w:rsidRPr="00880FAB" w14:paraId="4B86391A" w14:textId="77777777" w:rsidTr="004C38A7">
        <w:trPr>
          <w:trHeight w:hRule="exact" w:val="225"/>
        </w:trPr>
        <w:tc>
          <w:tcPr>
            <w:tcW w:w="6393" w:type="dxa"/>
            <w:tcBorders>
              <w:top w:val="nil"/>
              <w:left w:val="nil"/>
              <w:bottom w:val="single" w:sz="4" w:space="0" w:color="293F5B"/>
              <w:right w:val="nil"/>
            </w:tcBorders>
            <w:shd w:val="clear" w:color="000000" w:fill="E6F2FF"/>
            <w:vAlign w:val="center"/>
            <w:hideMark/>
          </w:tcPr>
          <w:p w14:paraId="0930CCCA" w14:textId="77777777" w:rsidR="004650F2" w:rsidRPr="00880FAB" w:rsidRDefault="004650F2" w:rsidP="004650F2">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xml:space="preserve">Significant but remote contingencies </w:t>
            </w:r>
          </w:p>
        </w:tc>
        <w:tc>
          <w:tcPr>
            <w:tcW w:w="936" w:type="dxa"/>
            <w:tcBorders>
              <w:top w:val="single" w:sz="4" w:space="0" w:color="293F5B"/>
              <w:left w:val="nil"/>
              <w:bottom w:val="nil"/>
              <w:right w:val="nil"/>
            </w:tcBorders>
            <w:shd w:val="clear" w:color="000000" w:fill="E6F2FF"/>
            <w:vAlign w:val="center"/>
            <w:hideMark/>
          </w:tcPr>
          <w:p w14:paraId="302D0E31"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4650F2" w:rsidRPr="00880FAB" w14:paraId="741BFA8A" w14:textId="77777777" w:rsidTr="004C38A7">
        <w:trPr>
          <w:trHeight w:hRule="exact" w:val="225"/>
        </w:trPr>
        <w:tc>
          <w:tcPr>
            <w:tcW w:w="6393" w:type="dxa"/>
            <w:tcBorders>
              <w:top w:val="nil"/>
              <w:left w:val="nil"/>
              <w:bottom w:val="single" w:sz="4" w:space="0" w:color="293F5B"/>
              <w:right w:val="nil"/>
            </w:tcBorders>
            <w:vAlign w:val="center"/>
            <w:hideMark/>
          </w:tcPr>
          <w:p w14:paraId="77498956"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ADI Limited – Officers’ and Directors’ indemnities</w:t>
            </w:r>
          </w:p>
        </w:tc>
        <w:tc>
          <w:tcPr>
            <w:tcW w:w="936" w:type="dxa"/>
            <w:tcBorders>
              <w:top w:val="single" w:sz="4" w:space="0" w:color="293F5B"/>
              <w:left w:val="nil"/>
              <w:bottom w:val="nil"/>
              <w:right w:val="nil"/>
            </w:tcBorders>
            <w:vAlign w:val="center"/>
            <w:hideMark/>
          </w:tcPr>
          <w:p w14:paraId="5B26A1D9"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Removed</w:t>
            </w:r>
          </w:p>
        </w:tc>
      </w:tr>
      <w:tr w:rsidR="004650F2" w:rsidRPr="00880FAB" w14:paraId="4BF1B951" w14:textId="77777777" w:rsidTr="004C38A7">
        <w:trPr>
          <w:trHeight w:hRule="exact" w:val="225"/>
        </w:trPr>
        <w:tc>
          <w:tcPr>
            <w:tcW w:w="6393" w:type="dxa"/>
            <w:tcBorders>
              <w:top w:val="nil"/>
              <w:left w:val="nil"/>
              <w:bottom w:val="single" w:sz="4" w:space="0" w:color="293F5B"/>
              <w:right w:val="nil"/>
            </w:tcBorders>
            <w:vAlign w:val="center"/>
            <w:hideMark/>
          </w:tcPr>
          <w:p w14:paraId="706771DF"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Litigation</w:t>
            </w:r>
          </w:p>
        </w:tc>
        <w:tc>
          <w:tcPr>
            <w:tcW w:w="936" w:type="dxa"/>
            <w:tcBorders>
              <w:top w:val="single" w:sz="4" w:space="0" w:color="293F5B"/>
              <w:left w:val="nil"/>
              <w:bottom w:val="nil"/>
              <w:right w:val="nil"/>
            </w:tcBorders>
            <w:vAlign w:val="center"/>
            <w:hideMark/>
          </w:tcPr>
          <w:p w14:paraId="4B886E06"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4650F2" w:rsidRPr="00880FAB" w14:paraId="7B567A9E" w14:textId="77777777" w:rsidTr="004C38A7">
        <w:trPr>
          <w:trHeight w:hRule="exact" w:val="225"/>
        </w:trPr>
        <w:tc>
          <w:tcPr>
            <w:tcW w:w="6393" w:type="dxa"/>
            <w:tcBorders>
              <w:top w:val="nil"/>
              <w:left w:val="nil"/>
              <w:bottom w:val="single" w:sz="4" w:space="0" w:color="293F5B"/>
              <w:right w:val="nil"/>
            </w:tcBorders>
            <w:vAlign w:val="center"/>
            <w:hideMark/>
          </w:tcPr>
          <w:p w14:paraId="135F29CD"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Remote Contingencies </w:t>
            </w:r>
          </w:p>
        </w:tc>
        <w:tc>
          <w:tcPr>
            <w:tcW w:w="936" w:type="dxa"/>
            <w:tcBorders>
              <w:top w:val="single" w:sz="4" w:space="0" w:color="293F5B"/>
              <w:left w:val="nil"/>
              <w:bottom w:val="nil"/>
              <w:right w:val="nil"/>
            </w:tcBorders>
            <w:vAlign w:val="center"/>
            <w:hideMark/>
          </w:tcPr>
          <w:p w14:paraId="44D35AFD"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4650F2" w:rsidRPr="00880FAB" w14:paraId="2E7EC567" w14:textId="77777777" w:rsidTr="004C38A7">
        <w:trPr>
          <w:trHeight w:hRule="exact" w:val="225"/>
        </w:trPr>
        <w:tc>
          <w:tcPr>
            <w:tcW w:w="6393" w:type="dxa"/>
            <w:tcBorders>
              <w:top w:val="nil"/>
              <w:left w:val="nil"/>
              <w:bottom w:val="single" w:sz="4" w:space="0" w:color="293F5B"/>
              <w:right w:val="nil"/>
            </w:tcBorders>
            <w:shd w:val="clear" w:color="000000" w:fill="E6F2FF"/>
            <w:vAlign w:val="center"/>
            <w:hideMark/>
          </w:tcPr>
          <w:p w14:paraId="3FAAF004" w14:textId="77777777" w:rsidR="004650F2" w:rsidRPr="00880FAB" w:rsidRDefault="004650F2" w:rsidP="004650F2">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unquantifiable</w:t>
            </w:r>
          </w:p>
        </w:tc>
        <w:tc>
          <w:tcPr>
            <w:tcW w:w="936" w:type="dxa"/>
            <w:tcBorders>
              <w:top w:val="single" w:sz="4" w:space="0" w:color="293F5B"/>
              <w:left w:val="nil"/>
              <w:bottom w:val="nil"/>
              <w:right w:val="nil"/>
            </w:tcBorders>
            <w:shd w:val="clear" w:color="000000" w:fill="E6F2FF"/>
            <w:vAlign w:val="center"/>
            <w:hideMark/>
          </w:tcPr>
          <w:p w14:paraId="1BC6A398"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4650F2" w:rsidRPr="00880FAB" w14:paraId="6A962967" w14:textId="77777777" w:rsidTr="004C38A7">
        <w:trPr>
          <w:trHeight w:hRule="exact" w:val="225"/>
        </w:trPr>
        <w:tc>
          <w:tcPr>
            <w:tcW w:w="6393" w:type="dxa"/>
            <w:tcBorders>
              <w:top w:val="nil"/>
              <w:left w:val="nil"/>
              <w:bottom w:val="single" w:sz="4" w:space="0" w:color="293F5B"/>
              <w:right w:val="nil"/>
            </w:tcBorders>
            <w:vAlign w:val="center"/>
            <w:hideMark/>
          </w:tcPr>
          <w:p w14:paraId="5067C953"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Cockatoo Island Dockyard</w:t>
            </w:r>
          </w:p>
        </w:tc>
        <w:tc>
          <w:tcPr>
            <w:tcW w:w="936" w:type="dxa"/>
            <w:tcBorders>
              <w:top w:val="single" w:sz="4" w:space="0" w:color="293F5B"/>
              <w:left w:val="nil"/>
              <w:bottom w:val="nil"/>
              <w:right w:val="nil"/>
            </w:tcBorders>
            <w:vAlign w:val="center"/>
            <w:hideMark/>
          </w:tcPr>
          <w:p w14:paraId="38A344E0"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Removed</w:t>
            </w:r>
          </w:p>
        </w:tc>
      </w:tr>
      <w:tr w:rsidR="004650F2" w:rsidRPr="00880FAB" w14:paraId="425E6B40" w14:textId="77777777" w:rsidTr="004C38A7">
        <w:trPr>
          <w:trHeight w:hRule="exact" w:val="225"/>
        </w:trPr>
        <w:tc>
          <w:tcPr>
            <w:tcW w:w="6393" w:type="dxa"/>
            <w:tcBorders>
              <w:top w:val="nil"/>
              <w:left w:val="nil"/>
              <w:bottom w:val="single" w:sz="4" w:space="0" w:color="293F5B"/>
              <w:right w:val="nil"/>
            </w:tcBorders>
            <w:vAlign w:val="center"/>
            <w:hideMark/>
          </w:tcPr>
          <w:p w14:paraId="1DBF4111"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Land decontamination, site restoration and decommissioning of Defence assets</w:t>
            </w:r>
          </w:p>
        </w:tc>
        <w:tc>
          <w:tcPr>
            <w:tcW w:w="936" w:type="dxa"/>
            <w:tcBorders>
              <w:top w:val="single" w:sz="4" w:space="0" w:color="293F5B"/>
              <w:left w:val="nil"/>
              <w:bottom w:val="nil"/>
              <w:right w:val="nil"/>
            </w:tcBorders>
            <w:vAlign w:val="center"/>
            <w:hideMark/>
          </w:tcPr>
          <w:p w14:paraId="4D2FEB30"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4650F2" w:rsidRPr="00880FAB" w14:paraId="7C71D99F" w14:textId="77777777" w:rsidTr="004C38A7">
        <w:trPr>
          <w:trHeight w:hRule="exact" w:val="225"/>
        </w:trPr>
        <w:tc>
          <w:tcPr>
            <w:tcW w:w="6393" w:type="dxa"/>
            <w:tcBorders>
              <w:top w:val="nil"/>
              <w:left w:val="nil"/>
              <w:bottom w:val="single" w:sz="4" w:space="0" w:color="293F5B"/>
              <w:right w:val="nil"/>
            </w:tcBorders>
            <w:shd w:val="clear" w:color="000000" w:fill="E6F2FF"/>
            <w:vAlign w:val="center"/>
            <w:hideMark/>
          </w:tcPr>
          <w:p w14:paraId="3B4555C9"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Employment and Workplace Relations</w:t>
            </w:r>
          </w:p>
        </w:tc>
        <w:tc>
          <w:tcPr>
            <w:tcW w:w="936" w:type="dxa"/>
            <w:tcBorders>
              <w:top w:val="single" w:sz="4" w:space="0" w:color="293F5B"/>
              <w:left w:val="nil"/>
              <w:bottom w:val="nil"/>
              <w:right w:val="nil"/>
            </w:tcBorders>
            <w:shd w:val="clear" w:color="000000" w:fill="E6F2FF"/>
            <w:vAlign w:val="center"/>
            <w:hideMark/>
          </w:tcPr>
          <w:p w14:paraId="6DF8CA32"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4650F2" w:rsidRPr="00880FAB" w14:paraId="569F24F3" w14:textId="77777777" w:rsidTr="004C38A7">
        <w:trPr>
          <w:trHeight w:hRule="exact" w:val="225"/>
        </w:trPr>
        <w:tc>
          <w:tcPr>
            <w:tcW w:w="6393" w:type="dxa"/>
            <w:tcBorders>
              <w:top w:val="nil"/>
              <w:left w:val="nil"/>
              <w:bottom w:val="single" w:sz="4" w:space="0" w:color="293F5B"/>
              <w:right w:val="nil"/>
            </w:tcBorders>
            <w:shd w:val="clear" w:color="000000" w:fill="E6F2FF"/>
            <w:vAlign w:val="center"/>
            <w:hideMark/>
          </w:tcPr>
          <w:p w14:paraId="36B69389" w14:textId="77777777" w:rsidR="004650F2" w:rsidRPr="00880FAB" w:rsidRDefault="004650F2" w:rsidP="004650F2">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Fiscal Risks</w:t>
            </w:r>
          </w:p>
        </w:tc>
        <w:tc>
          <w:tcPr>
            <w:tcW w:w="936" w:type="dxa"/>
            <w:tcBorders>
              <w:top w:val="single" w:sz="4" w:space="0" w:color="293F5B"/>
              <w:left w:val="nil"/>
              <w:bottom w:val="nil"/>
              <w:right w:val="nil"/>
            </w:tcBorders>
            <w:shd w:val="clear" w:color="000000" w:fill="E6F2FF"/>
            <w:vAlign w:val="center"/>
            <w:hideMark/>
          </w:tcPr>
          <w:p w14:paraId="1546C278"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4650F2" w:rsidRPr="00880FAB" w14:paraId="5BCFDDCC" w14:textId="77777777" w:rsidTr="004C38A7">
        <w:trPr>
          <w:trHeight w:hRule="exact" w:val="225"/>
        </w:trPr>
        <w:tc>
          <w:tcPr>
            <w:tcW w:w="6393" w:type="dxa"/>
            <w:tcBorders>
              <w:top w:val="nil"/>
              <w:left w:val="nil"/>
              <w:bottom w:val="nil"/>
              <w:right w:val="nil"/>
            </w:tcBorders>
            <w:vAlign w:val="center"/>
            <w:hideMark/>
          </w:tcPr>
          <w:p w14:paraId="32595053"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Recovery of inappropriately claimed VET FEE</w:t>
            </w:r>
            <w:r w:rsidRPr="00880FAB">
              <w:rPr>
                <w:rFonts w:ascii="Arial" w:hAnsi="Arial" w:cs="Arial"/>
                <w:color w:val="000000"/>
                <w:sz w:val="16"/>
                <w:szCs w:val="16"/>
              </w:rPr>
              <w:noBreakHyphen/>
              <w:t>HELP payments from VET providers</w:t>
            </w:r>
          </w:p>
        </w:tc>
        <w:tc>
          <w:tcPr>
            <w:tcW w:w="936" w:type="dxa"/>
            <w:tcBorders>
              <w:top w:val="single" w:sz="4" w:space="0" w:color="293F5B"/>
              <w:left w:val="nil"/>
              <w:bottom w:val="nil"/>
              <w:right w:val="nil"/>
            </w:tcBorders>
            <w:vAlign w:val="center"/>
            <w:hideMark/>
          </w:tcPr>
          <w:p w14:paraId="276B5606"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1206E8" w:rsidRPr="00880FAB" w14:paraId="2FA16282" w14:textId="77777777" w:rsidTr="004C38A7">
        <w:trPr>
          <w:trHeight w:hRule="exact" w:val="225"/>
        </w:trPr>
        <w:tc>
          <w:tcPr>
            <w:tcW w:w="6393" w:type="dxa"/>
            <w:tcBorders>
              <w:top w:val="single" w:sz="4" w:space="0" w:color="293F5B"/>
              <w:left w:val="nil"/>
              <w:bottom w:val="single" w:sz="4" w:space="0" w:color="293F5B"/>
              <w:right w:val="nil"/>
            </w:tcBorders>
            <w:shd w:val="clear" w:color="000000" w:fill="E6F2FF"/>
            <w:vAlign w:val="center"/>
            <w:hideMark/>
          </w:tcPr>
          <w:p w14:paraId="507CCF19" w14:textId="77777777" w:rsidR="004650F2" w:rsidRPr="00880FAB" w:rsidRDefault="004650F2" w:rsidP="004650F2">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unquantifiable</w:t>
            </w:r>
          </w:p>
        </w:tc>
        <w:tc>
          <w:tcPr>
            <w:tcW w:w="936" w:type="dxa"/>
            <w:tcBorders>
              <w:top w:val="single" w:sz="4" w:space="0" w:color="293F5B"/>
              <w:left w:val="nil"/>
              <w:bottom w:val="nil"/>
              <w:right w:val="nil"/>
            </w:tcBorders>
            <w:shd w:val="clear" w:color="000000" w:fill="E6F2FF"/>
            <w:vAlign w:val="center"/>
            <w:hideMark/>
          </w:tcPr>
          <w:p w14:paraId="5F21D2D0"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4650F2" w:rsidRPr="00880FAB" w14:paraId="59452451" w14:textId="77777777" w:rsidTr="004C38A7">
        <w:trPr>
          <w:trHeight w:hRule="exact" w:val="225"/>
        </w:trPr>
        <w:tc>
          <w:tcPr>
            <w:tcW w:w="6393" w:type="dxa"/>
            <w:tcBorders>
              <w:top w:val="nil"/>
              <w:left w:val="nil"/>
              <w:bottom w:val="nil"/>
              <w:right w:val="nil"/>
            </w:tcBorders>
            <w:vAlign w:val="center"/>
            <w:hideMark/>
          </w:tcPr>
          <w:p w14:paraId="5D4CF31C"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Compensation for unlawful decisions under the Targeted Compliance Framework</w:t>
            </w:r>
          </w:p>
        </w:tc>
        <w:tc>
          <w:tcPr>
            <w:tcW w:w="936" w:type="dxa"/>
            <w:tcBorders>
              <w:top w:val="single" w:sz="4" w:space="0" w:color="293F5B"/>
              <w:left w:val="nil"/>
              <w:bottom w:val="nil"/>
              <w:right w:val="nil"/>
            </w:tcBorders>
            <w:vAlign w:val="center"/>
            <w:hideMark/>
          </w:tcPr>
          <w:p w14:paraId="6C1769DD"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1206E8" w:rsidRPr="00880FAB" w14:paraId="3F8C4A95" w14:textId="77777777" w:rsidTr="004C38A7">
        <w:trPr>
          <w:trHeight w:hRule="exact" w:val="225"/>
        </w:trPr>
        <w:tc>
          <w:tcPr>
            <w:tcW w:w="6393" w:type="dxa"/>
            <w:tcBorders>
              <w:top w:val="single" w:sz="4" w:space="0" w:color="293F5B"/>
              <w:left w:val="nil"/>
              <w:bottom w:val="single" w:sz="4" w:space="0" w:color="293F5B"/>
              <w:right w:val="nil"/>
            </w:tcBorders>
            <w:shd w:val="clear" w:color="000000" w:fill="E6F2FF"/>
            <w:vAlign w:val="center"/>
            <w:hideMark/>
          </w:tcPr>
          <w:p w14:paraId="4C8F19F5" w14:textId="77777777" w:rsidR="004650F2" w:rsidRPr="00880FAB" w:rsidRDefault="004650F2" w:rsidP="004650F2">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quantifiable</w:t>
            </w:r>
          </w:p>
        </w:tc>
        <w:tc>
          <w:tcPr>
            <w:tcW w:w="936" w:type="dxa"/>
            <w:tcBorders>
              <w:top w:val="single" w:sz="4" w:space="0" w:color="293F5B"/>
              <w:left w:val="nil"/>
              <w:bottom w:val="nil"/>
              <w:right w:val="nil"/>
            </w:tcBorders>
            <w:shd w:val="clear" w:color="000000" w:fill="E6F2FF"/>
            <w:vAlign w:val="center"/>
            <w:hideMark/>
          </w:tcPr>
          <w:p w14:paraId="28E3A060" w14:textId="77777777" w:rsidR="004650F2" w:rsidRPr="00880FAB" w:rsidRDefault="004650F2" w:rsidP="004650F2">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4650F2" w:rsidRPr="00880FAB" w14:paraId="1D0B321B" w14:textId="77777777" w:rsidTr="004C38A7">
        <w:trPr>
          <w:trHeight w:hRule="exact" w:val="225"/>
        </w:trPr>
        <w:tc>
          <w:tcPr>
            <w:tcW w:w="6393" w:type="dxa"/>
            <w:tcBorders>
              <w:top w:val="nil"/>
              <w:left w:val="nil"/>
              <w:bottom w:val="single" w:sz="4" w:space="0" w:color="293F5B"/>
              <w:right w:val="nil"/>
            </w:tcBorders>
            <w:vAlign w:val="center"/>
            <w:hideMark/>
          </w:tcPr>
          <w:p w14:paraId="04160974" w14:textId="77777777" w:rsidR="004650F2" w:rsidRPr="00880FAB"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Parent Pathways service </w:t>
            </w:r>
          </w:p>
        </w:tc>
        <w:tc>
          <w:tcPr>
            <w:tcW w:w="936" w:type="dxa"/>
            <w:tcBorders>
              <w:top w:val="single" w:sz="4" w:space="0" w:color="293F5B"/>
              <w:left w:val="nil"/>
              <w:bottom w:val="single" w:sz="4" w:space="0" w:color="293F5B"/>
              <w:right w:val="nil"/>
            </w:tcBorders>
            <w:vAlign w:val="center"/>
            <w:hideMark/>
          </w:tcPr>
          <w:p w14:paraId="5C755A04"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4650F2" w:rsidRPr="00880FAB" w14:paraId="115220BE" w14:textId="77777777" w:rsidTr="004C38A7">
        <w:trPr>
          <w:trHeight w:hRule="exact" w:val="225"/>
        </w:trPr>
        <w:tc>
          <w:tcPr>
            <w:tcW w:w="6393" w:type="dxa"/>
            <w:tcBorders>
              <w:top w:val="nil"/>
              <w:left w:val="nil"/>
              <w:bottom w:val="single" w:sz="4" w:space="0" w:color="293F5B"/>
              <w:right w:val="nil"/>
            </w:tcBorders>
            <w:vAlign w:val="center"/>
            <w:hideMark/>
          </w:tcPr>
          <w:p w14:paraId="299CB5A2" w14:textId="77777777" w:rsidR="004650F2" w:rsidRDefault="004650F2" w:rsidP="004650F2">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Workforce Australia – Employment Fund</w:t>
            </w:r>
          </w:p>
          <w:p w14:paraId="61B064C0" w14:textId="77777777" w:rsidR="00ED3241" w:rsidRPr="00ED3241" w:rsidRDefault="00ED3241" w:rsidP="00ED3241">
            <w:pPr>
              <w:rPr>
                <w:rFonts w:ascii="Arial" w:hAnsi="Arial" w:cs="Arial"/>
                <w:sz w:val="16"/>
                <w:szCs w:val="16"/>
              </w:rPr>
            </w:pPr>
          </w:p>
          <w:p w14:paraId="518E09CD" w14:textId="77777777" w:rsidR="00ED3241" w:rsidRPr="00ED3241" w:rsidRDefault="00ED3241" w:rsidP="00ED3241">
            <w:pPr>
              <w:rPr>
                <w:rFonts w:ascii="Arial" w:hAnsi="Arial" w:cs="Arial"/>
                <w:sz w:val="16"/>
                <w:szCs w:val="16"/>
              </w:rPr>
            </w:pPr>
          </w:p>
        </w:tc>
        <w:tc>
          <w:tcPr>
            <w:tcW w:w="936" w:type="dxa"/>
            <w:tcBorders>
              <w:top w:val="single" w:sz="4" w:space="0" w:color="293F5B"/>
              <w:left w:val="nil"/>
              <w:bottom w:val="single" w:sz="4" w:space="0" w:color="293F5B"/>
              <w:right w:val="nil"/>
            </w:tcBorders>
            <w:vAlign w:val="center"/>
            <w:hideMark/>
          </w:tcPr>
          <w:p w14:paraId="511AEF10" w14:textId="77777777" w:rsidR="004650F2" w:rsidRPr="00880FAB" w:rsidRDefault="004650F2" w:rsidP="004650F2">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bl>
    <w:p w14:paraId="49546413" w14:textId="77777777" w:rsidR="0030724C" w:rsidRPr="00D12C6F" w:rsidRDefault="00C47F05" w:rsidP="000C3629">
      <w:pPr>
        <w:pStyle w:val="TableHeadingcontinued"/>
      </w:pPr>
      <w:bookmarkStart w:id="18" w:name="_Toc184039474"/>
      <w:bookmarkStart w:id="19" w:name="_Toc99141856"/>
      <w:r w:rsidRPr="00D12C6F">
        <w:rPr>
          <w:rFonts w:eastAsia="Arial"/>
        </w:rPr>
        <w:lastRenderedPageBreak/>
        <w:t>Table 9.2: Summary of fiscal risks, contingent liabilities and contingent assets in the Statement of Risks</w:t>
      </w:r>
      <w:r>
        <w:rPr>
          <w:rFonts w:eastAsia="Arial"/>
        </w:rPr>
        <w:t xml:space="preserve"> (continued)</w:t>
      </w:r>
    </w:p>
    <w:tbl>
      <w:tblPr>
        <w:tblW w:w="5054" w:type="pct"/>
        <w:tblLayout w:type="fixed"/>
        <w:tblCellMar>
          <w:left w:w="0" w:type="dxa"/>
          <w:right w:w="28" w:type="dxa"/>
        </w:tblCellMar>
        <w:tblLook w:val="04A0" w:firstRow="1" w:lastRow="0" w:firstColumn="1" w:lastColumn="0" w:noHBand="0" w:noVBand="1"/>
      </w:tblPr>
      <w:tblGrid>
        <w:gridCol w:w="6859"/>
        <w:gridCol w:w="935"/>
      </w:tblGrid>
      <w:tr w:rsidR="0030724C" w:rsidRPr="00880FAB" w14:paraId="17E33FBD" w14:textId="77777777" w:rsidTr="00872C98">
        <w:trPr>
          <w:trHeight w:hRule="exact" w:val="255"/>
        </w:trPr>
        <w:tc>
          <w:tcPr>
            <w:tcW w:w="4400" w:type="pct"/>
            <w:tcBorders>
              <w:top w:val="single" w:sz="4" w:space="0" w:color="293F5B"/>
              <w:left w:val="nil"/>
              <w:bottom w:val="single" w:sz="4" w:space="0" w:color="293F5B"/>
              <w:right w:val="nil"/>
            </w:tcBorders>
            <w:shd w:val="clear" w:color="000000" w:fill="E6F2FF"/>
            <w:vAlign w:val="center"/>
            <w:hideMark/>
          </w:tcPr>
          <w:p w14:paraId="45901A26" w14:textId="77777777" w:rsidR="0030724C" w:rsidRPr="00880FAB" w:rsidRDefault="0030724C" w:rsidP="0030724C">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Finance</w:t>
            </w:r>
          </w:p>
        </w:tc>
        <w:tc>
          <w:tcPr>
            <w:tcW w:w="600" w:type="pct"/>
            <w:tcBorders>
              <w:top w:val="single" w:sz="4" w:space="0" w:color="293F5B"/>
              <w:left w:val="nil"/>
              <w:bottom w:val="nil"/>
              <w:right w:val="nil"/>
            </w:tcBorders>
            <w:shd w:val="clear" w:color="000000" w:fill="E6F2FF"/>
            <w:vAlign w:val="center"/>
            <w:hideMark/>
          </w:tcPr>
          <w:p w14:paraId="4447F733" w14:textId="77777777" w:rsidR="0030724C" w:rsidRPr="00880FAB" w:rsidRDefault="0030724C" w:rsidP="0030724C">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872C98" w:rsidRPr="00880FAB" w14:paraId="141AB08B" w14:textId="77777777" w:rsidTr="00872C98">
        <w:trPr>
          <w:trHeight w:hRule="exact" w:val="255"/>
        </w:trPr>
        <w:tc>
          <w:tcPr>
            <w:tcW w:w="4400" w:type="pct"/>
            <w:tcBorders>
              <w:top w:val="single" w:sz="4" w:space="0" w:color="293F5B"/>
              <w:left w:val="nil"/>
              <w:bottom w:val="single" w:sz="4" w:space="0" w:color="293F5B"/>
              <w:right w:val="nil"/>
            </w:tcBorders>
            <w:shd w:val="clear" w:color="000000" w:fill="E6F2FF"/>
            <w:vAlign w:val="center"/>
          </w:tcPr>
          <w:p w14:paraId="17F4D10C" w14:textId="40F49319" w:rsidR="00872C98" w:rsidRPr="00880FAB" w:rsidRDefault="00872C98" w:rsidP="00872C98">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Fiscal Risks</w:t>
            </w:r>
          </w:p>
        </w:tc>
        <w:tc>
          <w:tcPr>
            <w:tcW w:w="600" w:type="pct"/>
            <w:tcBorders>
              <w:top w:val="single" w:sz="4" w:space="0" w:color="293F5B"/>
              <w:left w:val="nil"/>
              <w:bottom w:val="nil"/>
              <w:right w:val="nil"/>
            </w:tcBorders>
            <w:shd w:val="clear" w:color="000000" w:fill="E6F2FF"/>
            <w:vAlign w:val="center"/>
          </w:tcPr>
          <w:p w14:paraId="26047574" w14:textId="77777777" w:rsidR="00872C98" w:rsidRPr="00880FAB" w:rsidRDefault="00872C98" w:rsidP="0030724C">
            <w:pPr>
              <w:spacing w:before="0" w:after="0" w:line="240" w:lineRule="auto"/>
              <w:rPr>
                <w:rFonts w:ascii="Arial" w:hAnsi="Arial" w:cs="Arial"/>
                <w:b/>
                <w:bCs/>
                <w:color w:val="000000"/>
                <w:sz w:val="16"/>
                <w:szCs w:val="16"/>
              </w:rPr>
            </w:pPr>
          </w:p>
        </w:tc>
      </w:tr>
      <w:tr w:rsidR="00872C98" w:rsidRPr="00880FAB" w14:paraId="2B03309C" w14:textId="77777777" w:rsidTr="00872C98">
        <w:trPr>
          <w:trHeight w:hRule="exact" w:val="255"/>
        </w:trPr>
        <w:tc>
          <w:tcPr>
            <w:tcW w:w="4400" w:type="pct"/>
            <w:tcBorders>
              <w:top w:val="single" w:sz="4" w:space="0" w:color="293F5B"/>
              <w:left w:val="nil"/>
              <w:bottom w:val="single" w:sz="4" w:space="0" w:color="293F5B"/>
              <w:right w:val="nil"/>
            </w:tcBorders>
            <w:vAlign w:val="center"/>
          </w:tcPr>
          <w:p w14:paraId="51BECC89" w14:textId="78660BE8" w:rsidR="00872C98" w:rsidRPr="00880FAB" w:rsidRDefault="00872C98" w:rsidP="00872C98">
            <w:pPr>
              <w:spacing w:before="0" w:after="0" w:line="240" w:lineRule="auto"/>
              <w:ind w:firstLineChars="200" w:firstLine="320"/>
              <w:rPr>
                <w:rFonts w:ascii="Arial" w:hAnsi="Arial" w:cs="Arial"/>
                <w:b/>
                <w:bCs/>
                <w:color w:val="000000"/>
                <w:sz w:val="16"/>
                <w:szCs w:val="16"/>
              </w:rPr>
            </w:pPr>
            <w:r w:rsidRPr="00880FAB">
              <w:rPr>
                <w:rFonts w:ascii="Arial" w:hAnsi="Arial" w:cs="Arial"/>
                <w:color w:val="000000"/>
                <w:sz w:val="16"/>
                <w:szCs w:val="16"/>
              </w:rPr>
              <w:t xml:space="preserve">Defence </w:t>
            </w:r>
            <w:r w:rsidR="008A5F4A" w:rsidRPr="00880FAB">
              <w:rPr>
                <w:rFonts w:ascii="Arial" w:hAnsi="Arial" w:cs="Arial"/>
                <w:color w:val="000000"/>
                <w:sz w:val="16"/>
                <w:szCs w:val="16"/>
              </w:rPr>
              <w:t>E</w:t>
            </w:r>
            <w:r w:rsidRPr="00880FAB">
              <w:rPr>
                <w:rFonts w:ascii="Arial" w:hAnsi="Arial" w:cs="Arial"/>
                <w:color w:val="000000"/>
                <w:sz w:val="16"/>
                <w:szCs w:val="16"/>
              </w:rPr>
              <w:t>state</w:t>
            </w:r>
          </w:p>
        </w:tc>
        <w:tc>
          <w:tcPr>
            <w:tcW w:w="600" w:type="pct"/>
            <w:tcBorders>
              <w:top w:val="single" w:sz="4" w:space="0" w:color="293F5B"/>
              <w:left w:val="nil"/>
              <w:bottom w:val="nil"/>
              <w:right w:val="nil"/>
            </w:tcBorders>
            <w:vAlign w:val="center"/>
          </w:tcPr>
          <w:p w14:paraId="1FB983D4" w14:textId="42D29232" w:rsidR="00872C98" w:rsidRPr="00880FAB" w:rsidRDefault="00872C98" w:rsidP="00872C98">
            <w:pPr>
              <w:spacing w:before="0" w:after="0" w:line="240" w:lineRule="auto"/>
              <w:rPr>
                <w:rFonts w:ascii="Arial" w:hAnsi="Arial" w:cs="Arial"/>
                <w:b/>
                <w:bCs/>
                <w:color w:val="000000"/>
                <w:sz w:val="16"/>
                <w:szCs w:val="16"/>
              </w:rPr>
            </w:pPr>
            <w:r w:rsidRPr="00880FAB">
              <w:rPr>
                <w:rFonts w:ascii="Arial" w:hAnsi="Arial" w:cs="Arial"/>
                <w:color w:val="000000"/>
                <w:sz w:val="16"/>
                <w:szCs w:val="16"/>
              </w:rPr>
              <w:t>New</w:t>
            </w:r>
          </w:p>
        </w:tc>
      </w:tr>
      <w:tr w:rsidR="00872C98" w:rsidRPr="00880FAB" w14:paraId="1B3F6BAC" w14:textId="77777777" w:rsidTr="00872C98">
        <w:trPr>
          <w:trHeight w:hRule="exact" w:val="225"/>
        </w:trPr>
        <w:tc>
          <w:tcPr>
            <w:tcW w:w="4400" w:type="pct"/>
            <w:tcBorders>
              <w:top w:val="nil"/>
              <w:left w:val="nil"/>
              <w:bottom w:val="single" w:sz="4" w:space="0" w:color="293F5B"/>
              <w:right w:val="nil"/>
            </w:tcBorders>
            <w:shd w:val="clear" w:color="000000" w:fill="E6F2FF"/>
            <w:vAlign w:val="center"/>
            <w:hideMark/>
          </w:tcPr>
          <w:p w14:paraId="0410F1D5" w14:textId="77777777" w:rsidR="00872C98" w:rsidRPr="00880FAB" w:rsidRDefault="00872C98" w:rsidP="00872C98">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Significant but remote contingencies</w:t>
            </w:r>
          </w:p>
        </w:tc>
        <w:tc>
          <w:tcPr>
            <w:tcW w:w="600" w:type="pct"/>
            <w:tcBorders>
              <w:top w:val="single" w:sz="4" w:space="0" w:color="293F5B"/>
              <w:left w:val="nil"/>
              <w:bottom w:val="nil"/>
              <w:right w:val="nil"/>
            </w:tcBorders>
            <w:shd w:val="clear" w:color="000000" w:fill="E6F2FF"/>
            <w:vAlign w:val="center"/>
            <w:hideMark/>
          </w:tcPr>
          <w:p w14:paraId="191A2663" w14:textId="77777777" w:rsidR="00872C98" w:rsidRPr="00880FAB" w:rsidRDefault="00872C98" w:rsidP="00872C98">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872C98" w:rsidRPr="00880FAB" w14:paraId="3359CFA1" w14:textId="77777777" w:rsidTr="00872C98">
        <w:trPr>
          <w:trHeight w:hRule="exact" w:val="225"/>
        </w:trPr>
        <w:tc>
          <w:tcPr>
            <w:tcW w:w="4400" w:type="pct"/>
            <w:tcBorders>
              <w:top w:val="nil"/>
              <w:left w:val="nil"/>
              <w:bottom w:val="single" w:sz="4" w:space="0" w:color="293F5B"/>
              <w:right w:val="nil"/>
            </w:tcBorders>
            <w:vAlign w:val="center"/>
            <w:hideMark/>
          </w:tcPr>
          <w:p w14:paraId="6B1278CD" w14:textId="77777777"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Australian Naval Infrastructure Pty Ltd – Termination of the Equity Funding Agreement</w:t>
            </w:r>
          </w:p>
        </w:tc>
        <w:tc>
          <w:tcPr>
            <w:tcW w:w="600" w:type="pct"/>
            <w:tcBorders>
              <w:top w:val="single" w:sz="4" w:space="0" w:color="293F5B"/>
              <w:left w:val="nil"/>
              <w:bottom w:val="single" w:sz="4" w:space="0" w:color="293F5B"/>
              <w:right w:val="nil"/>
            </w:tcBorders>
            <w:vAlign w:val="center"/>
            <w:hideMark/>
          </w:tcPr>
          <w:p w14:paraId="3EB15013" w14:textId="77777777"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872C98" w:rsidRPr="00880FAB" w14:paraId="18F25C31" w14:textId="77777777" w:rsidTr="00872C98">
        <w:trPr>
          <w:trHeight w:hRule="exact" w:val="225"/>
        </w:trPr>
        <w:tc>
          <w:tcPr>
            <w:tcW w:w="4400" w:type="pct"/>
            <w:tcBorders>
              <w:top w:val="nil"/>
              <w:left w:val="nil"/>
              <w:bottom w:val="single" w:sz="4" w:space="0" w:color="293F5B"/>
              <w:right w:val="nil"/>
            </w:tcBorders>
            <w:shd w:val="clear" w:color="000000" w:fill="E6F2FF"/>
            <w:vAlign w:val="center"/>
            <w:hideMark/>
          </w:tcPr>
          <w:p w14:paraId="177F2E74" w14:textId="78B51FB6" w:rsidR="00872C98" w:rsidRPr="00880FAB" w:rsidRDefault="00872C98" w:rsidP="00872C98">
            <w:pPr>
              <w:spacing w:before="0" w:after="0" w:line="240" w:lineRule="auto"/>
              <w:ind w:firstLineChars="200" w:firstLine="321"/>
              <w:rPr>
                <w:rFonts w:ascii="Arial" w:hAnsi="Arial" w:cs="Arial"/>
                <w:color w:val="000000"/>
                <w:sz w:val="16"/>
                <w:szCs w:val="16"/>
              </w:rPr>
            </w:pPr>
            <w:r w:rsidRPr="00880FAB">
              <w:rPr>
                <w:rFonts w:ascii="Arial" w:hAnsi="Arial" w:cs="Arial"/>
                <w:b/>
                <w:bCs/>
                <w:color w:val="000000"/>
                <w:sz w:val="16"/>
                <w:szCs w:val="16"/>
              </w:rPr>
              <w:t>Contingent liabilities – unquantifiable</w:t>
            </w:r>
          </w:p>
        </w:tc>
        <w:tc>
          <w:tcPr>
            <w:tcW w:w="600" w:type="pct"/>
            <w:tcBorders>
              <w:top w:val="nil"/>
              <w:left w:val="nil"/>
              <w:bottom w:val="nil"/>
              <w:right w:val="nil"/>
            </w:tcBorders>
            <w:shd w:val="clear" w:color="000000" w:fill="E6F2FF"/>
            <w:vAlign w:val="center"/>
            <w:hideMark/>
          </w:tcPr>
          <w:p w14:paraId="0525DF40" w14:textId="11C105EB"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b/>
                <w:bCs/>
                <w:color w:val="000000"/>
                <w:sz w:val="16"/>
                <w:szCs w:val="16"/>
              </w:rPr>
              <w:t> </w:t>
            </w:r>
          </w:p>
        </w:tc>
      </w:tr>
      <w:tr w:rsidR="00872C98" w:rsidRPr="00880FAB" w14:paraId="6478875D" w14:textId="77777777" w:rsidTr="00872C98">
        <w:trPr>
          <w:trHeight w:hRule="exact" w:val="225"/>
        </w:trPr>
        <w:tc>
          <w:tcPr>
            <w:tcW w:w="4400" w:type="pct"/>
            <w:tcBorders>
              <w:top w:val="nil"/>
              <w:left w:val="nil"/>
              <w:bottom w:val="single" w:sz="4" w:space="0" w:color="293F5B"/>
              <w:right w:val="nil"/>
            </w:tcBorders>
            <w:vAlign w:val="center"/>
            <w:hideMark/>
          </w:tcPr>
          <w:p w14:paraId="24C77149" w14:textId="4327F5AB" w:rsidR="00872C98" w:rsidRPr="00880FAB" w:rsidRDefault="00872C98" w:rsidP="00757B6A">
            <w:pPr>
              <w:spacing w:before="0" w:after="0" w:line="240" w:lineRule="auto"/>
              <w:ind w:firstLineChars="200" w:firstLine="320"/>
              <w:rPr>
                <w:rFonts w:ascii="Arial" w:hAnsi="Arial" w:cs="Arial"/>
                <w:b/>
                <w:bCs/>
                <w:color w:val="000000"/>
                <w:sz w:val="16"/>
                <w:szCs w:val="16"/>
              </w:rPr>
            </w:pPr>
            <w:r w:rsidRPr="00880FAB">
              <w:rPr>
                <w:rFonts w:ascii="Arial" w:hAnsi="Arial" w:cs="Arial"/>
                <w:color w:val="000000"/>
                <w:sz w:val="16"/>
                <w:szCs w:val="16"/>
              </w:rPr>
              <w:t>ASC Pty Ltd – Directors’ and Executives’ indemnities</w:t>
            </w:r>
          </w:p>
        </w:tc>
        <w:tc>
          <w:tcPr>
            <w:tcW w:w="600" w:type="pct"/>
            <w:tcBorders>
              <w:top w:val="single" w:sz="4" w:space="0" w:color="293F5B"/>
              <w:left w:val="nil"/>
              <w:bottom w:val="nil"/>
              <w:right w:val="nil"/>
            </w:tcBorders>
            <w:vAlign w:val="center"/>
            <w:hideMark/>
          </w:tcPr>
          <w:p w14:paraId="1251BAD0" w14:textId="35C6457E" w:rsidR="00872C98" w:rsidRPr="00880FAB" w:rsidRDefault="00872C98" w:rsidP="00872C98">
            <w:pPr>
              <w:spacing w:before="0" w:after="0" w:line="240" w:lineRule="auto"/>
              <w:rPr>
                <w:rFonts w:ascii="Arial" w:hAnsi="Arial" w:cs="Arial"/>
                <w:b/>
                <w:bCs/>
                <w:color w:val="000000"/>
                <w:sz w:val="16"/>
                <w:szCs w:val="16"/>
              </w:rPr>
            </w:pPr>
            <w:r w:rsidRPr="00880FAB">
              <w:rPr>
                <w:rFonts w:ascii="Arial" w:hAnsi="Arial" w:cs="Arial"/>
                <w:color w:val="000000"/>
                <w:sz w:val="16"/>
                <w:szCs w:val="16"/>
              </w:rPr>
              <w:t>Unchanged</w:t>
            </w:r>
          </w:p>
        </w:tc>
      </w:tr>
      <w:tr w:rsidR="00872C98" w:rsidRPr="00880FAB" w14:paraId="5EEA9D4B" w14:textId="77777777" w:rsidTr="00872C98">
        <w:trPr>
          <w:trHeight w:hRule="exact" w:val="225"/>
        </w:trPr>
        <w:tc>
          <w:tcPr>
            <w:tcW w:w="4400" w:type="pct"/>
            <w:tcBorders>
              <w:top w:val="nil"/>
              <w:left w:val="nil"/>
              <w:bottom w:val="single" w:sz="4" w:space="0" w:color="293F5B"/>
              <w:right w:val="nil"/>
            </w:tcBorders>
            <w:vAlign w:val="center"/>
            <w:hideMark/>
          </w:tcPr>
          <w:p w14:paraId="7EEDF7C3" w14:textId="40AB6D77"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ASC Pty Ltd – Guarantee of Indemnity from ASC in favour of ASC Shipbuilding Pty Limited</w:t>
            </w:r>
          </w:p>
        </w:tc>
        <w:tc>
          <w:tcPr>
            <w:tcW w:w="600" w:type="pct"/>
            <w:tcBorders>
              <w:top w:val="single" w:sz="4" w:space="0" w:color="293F5B"/>
              <w:left w:val="nil"/>
              <w:bottom w:val="nil"/>
              <w:right w:val="nil"/>
            </w:tcBorders>
            <w:vAlign w:val="center"/>
            <w:hideMark/>
          </w:tcPr>
          <w:p w14:paraId="0A46F326" w14:textId="2C186E06"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Removed</w:t>
            </w:r>
          </w:p>
        </w:tc>
      </w:tr>
      <w:tr w:rsidR="00872C98" w:rsidRPr="00880FAB" w14:paraId="53143074" w14:textId="77777777" w:rsidTr="00872C98">
        <w:trPr>
          <w:trHeight w:hRule="exact" w:val="225"/>
        </w:trPr>
        <w:tc>
          <w:tcPr>
            <w:tcW w:w="4400" w:type="pct"/>
            <w:tcBorders>
              <w:top w:val="nil"/>
              <w:left w:val="nil"/>
              <w:bottom w:val="single" w:sz="4" w:space="0" w:color="293F5B"/>
              <w:right w:val="nil"/>
            </w:tcBorders>
            <w:vAlign w:val="center"/>
            <w:hideMark/>
          </w:tcPr>
          <w:p w14:paraId="69A131B1" w14:textId="3105511D"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Australian Government general insurance fund – </w:t>
            </w:r>
            <w:proofErr w:type="spellStart"/>
            <w:r w:rsidRPr="00880FAB">
              <w:rPr>
                <w:rFonts w:ascii="Arial" w:hAnsi="Arial" w:cs="Arial"/>
                <w:color w:val="000000"/>
                <w:sz w:val="16"/>
                <w:szCs w:val="16"/>
              </w:rPr>
              <w:t>Comcover</w:t>
            </w:r>
            <w:proofErr w:type="spellEnd"/>
          </w:p>
        </w:tc>
        <w:tc>
          <w:tcPr>
            <w:tcW w:w="600" w:type="pct"/>
            <w:tcBorders>
              <w:top w:val="single" w:sz="4" w:space="0" w:color="293F5B"/>
              <w:left w:val="nil"/>
              <w:bottom w:val="nil"/>
              <w:right w:val="nil"/>
            </w:tcBorders>
            <w:vAlign w:val="center"/>
            <w:hideMark/>
          </w:tcPr>
          <w:p w14:paraId="67FC3F45" w14:textId="56473CFA"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872C98" w:rsidRPr="00880FAB" w14:paraId="55EA3C62" w14:textId="77777777" w:rsidTr="00872C98">
        <w:trPr>
          <w:trHeight w:hRule="exact" w:val="225"/>
        </w:trPr>
        <w:tc>
          <w:tcPr>
            <w:tcW w:w="4400" w:type="pct"/>
            <w:tcBorders>
              <w:top w:val="nil"/>
              <w:left w:val="nil"/>
              <w:bottom w:val="single" w:sz="4" w:space="0" w:color="293F5B"/>
              <w:right w:val="nil"/>
            </w:tcBorders>
            <w:vAlign w:val="center"/>
            <w:hideMark/>
          </w:tcPr>
          <w:p w14:paraId="4893ABAE" w14:textId="10672FF6"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Commonwealth Superannuation Corporation – immunity and indemnity</w:t>
            </w:r>
          </w:p>
        </w:tc>
        <w:tc>
          <w:tcPr>
            <w:tcW w:w="600" w:type="pct"/>
            <w:tcBorders>
              <w:top w:val="single" w:sz="4" w:space="0" w:color="293F5B"/>
              <w:left w:val="nil"/>
              <w:bottom w:val="nil"/>
              <w:right w:val="nil"/>
            </w:tcBorders>
            <w:vAlign w:val="center"/>
            <w:hideMark/>
          </w:tcPr>
          <w:p w14:paraId="642E0E5F" w14:textId="7A1406CE"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872C98" w:rsidRPr="00880FAB" w14:paraId="7E5F74BF" w14:textId="77777777" w:rsidTr="00872C98">
        <w:trPr>
          <w:trHeight w:hRule="exact" w:val="225"/>
        </w:trPr>
        <w:tc>
          <w:tcPr>
            <w:tcW w:w="4400" w:type="pct"/>
            <w:tcBorders>
              <w:top w:val="nil"/>
              <w:left w:val="nil"/>
              <w:bottom w:val="single" w:sz="4" w:space="0" w:color="293F5B"/>
              <w:right w:val="nil"/>
            </w:tcBorders>
            <w:vAlign w:val="center"/>
            <w:hideMark/>
          </w:tcPr>
          <w:p w14:paraId="161B6EB2" w14:textId="1A028197"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Finance owned estate</w:t>
            </w:r>
          </w:p>
        </w:tc>
        <w:tc>
          <w:tcPr>
            <w:tcW w:w="600" w:type="pct"/>
            <w:tcBorders>
              <w:top w:val="single" w:sz="4" w:space="0" w:color="293F5B"/>
              <w:left w:val="nil"/>
              <w:bottom w:val="nil"/>
              <w:right w:val="nil"/>
            </w:tcBorders>
            <w:vAlign w:val="center"/>
            <w:hideMark/>
          </w:tcPr>
          <w:p w14:paraId="35725624" w14:textId="38D7E458"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872C98" w:rsidRPr="00880FAB" w14:paraId="79D7FDF5" w14:textId="77777777" w:rsidTr="00872C98">
        <w:trPr>
          <w:trHeight w:hRule="exact" w:val="225"/>
        </w:trPr>
        <w:tc>
          <w:tcPr>
            <w:tcW w:w="4400" w:type="pct"/>
            <w:tcBorders>
              <w:top w:val="nil"/>
              <w:left w:val="nil"/>
              <w:bottom w:val="single" w:sz="4" w:space="0" w:color="293F5B"/>
              <w:right w:val="nil"/>
            </w:tcBorders>
            <w:vAlign w:val="center"/>
            <w:hideMark/>
          </w:tcPr>
          <w:p w14:paraId="2F0EC324" w14:textId="73820C36"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Future Fund Management Agency and Future Fund Board of Guardians – indemnity</w:t>
            </w:r>
          </w:p>
        </w:tc>
        <w:tc>
          <w:tcPr>
            <w:tcW w:w="600" w:type="pct"/>
            <w:tcBorders>
              <w:top w:val="single" w:sz="4" w:space="0" w:color="293F5B"/>
              <w:left w:val="nil"/>
              <w:bottom w:val="nil"/>
              <w:right w:val="nil"/>
            </w:tcBorders>
            <w:vAlign w:val="center"/>
            <w:hideMark/>
          </w:tcPr>
          <w:p w14:paraId="64610A60" w14:textId="3942E78A"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872C98" w:rsidRPr="00880FAB" w14:paraId="618A11AC" w14:textId="77777777" w:rsidTr="00872C98">
        <w:trPr>
          <w:trHeight w:hRule="exact" w:val="225"/>
        </w:trPr>
        <w:tc>
          <w:tcPr>
            <w:tcW w:w="4400" w:type="pct"/>
            <w:tcBorders>
              <w:top w:val="nil"/>
              <w:left w:val="nil"/>
              <w:bottom w:val="single" w:sz="4" w:space="0" w:color="293F5B"/>
              <w:right w:val="nil"/>
            </w:tcBorders>
            <w:vAlign w:val="center"/>
            <w:hideMark/>
          </w:tcPr>
          <w:p w14:paraId="6E368E39" w14:textId="22B07550" w:rsidR="00872C98" w:rsidRPr="00880FAB" w:rsidRDefault="00872C98" w:rsidP="00872C98">
            <w:pPr>
              <w:spacing w:before="0" w:after="0" w:line="240" w:lineRule="auto"/>
              <w:ind w:firstLineChars="200" w:firstLine="320"/>
              <w:rPr>
                <w:rFonts w:ascii="Arial" w:hAnsi="Arial" w:cs="Arial"/>
                <w:color w:val="000000"/>
                <w:sz w:val="16"/>
                <w:szCs w:val="16"/>
              </w:rPr>
            </w:pPr>
            <w:proofErr w:type="spellStart"/>
            <w:r w:rsidRPr="00880FAB">
              <w:rPr>
                <w:rFonts w:ascii="Arial" w:hAnsi="Arial" w:cs="Arial"/>
                <w:color w:val="000000"/>
                <w:sz w:val="16"/>
                <w:szCs w:val="16"/>
              </w:rPr>
              <w:t>Googong</w:t>
            </w:r>
            <w:proofErr w:type="spellEnd"/>
            <w:r w:rsidRPr="00880FAB">
              <w:rPr>
                <w:rFonts w:ascii="Arial" w:hAnsi="Arial" w:cs="Arial"/>
                <w:color w:val="000000"/>
                <w:sz w:val="16"/>
                <w:szCs w:val="16"/>
              </w:rPr>
              <w:t xml:space="preserve"> Dam</w:t>
            </w:r>
          </w:p>
        </w:tc>
        <w:tc>
          <w:tcPr>
            <w:tcW w:w="600" w:type="pct"/>
            <w:tcBorders>
              <w:top w:val="single" w:sz="4" w:space="0" w:color="293F5B"/>
              <w:left w:val="nil"/>
              <w:bottom w:val="nil"/>
              <w:right w:val="nil"/>
            </w:tcBorders>
            <w:vAlign w:val="center"/>
            <w:hideMark/>
          </w:tcPr>
          <w:p w14:paraId="3DFB020A" w14:textId="6EAFC411"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872C98" w:rsidRPr="00880FAB" w14:paraId="06A9A01A" w14:textId="77777777" w:rsidTr="00872C98">
        <w:trPr>
          <w:trHeight w:hRule="exact" w:val="225"/>
        </w:trPr>
        <w:tc>
          <w:tcPr>
            <w:tcW w:w="4400" w:type="pct"/>
            <w:tcBorders>
              <w:top w:val="nil"/>
              <w:left w:val="nil"/>
              <w:bottom w:val="single" w:sz="4" w:space="0" w:color="293F5B"/>
              <w:right w:val="nil"/>
            </w:tcBorders>
            <w:vAlign w:val="center"/>
            <w:hideMark/>
          </w:tcPr>
          <w:p w14:paraId="08D4DDBD" w14:textId="215BB32B"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Indemnities for the Reserve Bank of Australia and private sector banks</w:t>
            </w:r>
          </w:p>
        </w:tc>
        <w:tc>
          <w:tcPr>
            <w:tcW w:w="600" w:type="pct"/>
            <w:tcBorders>
              <w:top w:val="single" w:sz="4" w:space="0" w:color="293F5B"/>
              <w:left w:val="nil"/>
              <w:bottom w:val="nil"/>
              <w:right w:val="nil"/>
            </w:tcBorders>
            <w:vAlign w:val="center"/>
            <w:hideMark/>
          </w:tcPr>
          <w:p w14:paraId="694B3E80" w14:textId="3DC87D4B"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872C98" w:rsidRPr="00880FAB" w14:paraId="620C3B5A" w14:textId="77777777" w:rsidTr="00872C98">
        <w:trPr>
          <w:trHeight w:hRule="exact" w:val="225"/>
        </w:trPr>
        <w:tc>
          <w:tcPr>
            <w:tcW w:w="4400" w:type="pct"/>
            <w:tcBorders>
              <w:top w:val="nil"/>
              <w:left w:val="nil"/>
              <w:bottom w:val="single" w:sz="4" w:space="0" w:color="293F5B"/>
              <w:right w:val="nil"/>
            </w:tcBorders>
            <w:vAlign w:val="center"/>
            <w:hideMark/>
          </w:tcPr>
          <w:p w14:paraId="4D6C9A81" w14:textId="77777777"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Indemnities relating to other former asset sales, privatisations and information technology </w:t>
            </w:r>
          </w:p>
          <w:p w14:paraId="346FB2A1" w14:textId="5A701E87"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outsourcing projects</w:t>
            </w:r>
          </w:p>
        </w:tc>
        <w:tc>
          <w:tcPr>
            <w:tcW w:w="600" w:type="pct"/>
            <w:tcBorders>
              <w:top w:val="single" w:sz="4" w:space="0" w:color="293F5B"/>
              <w:left w:val="nil"/>
              <w:bottom w:val="nil"/>
              <w:right w:val="nil"/>
            </w:tcBorders>
            <w:vAlign w:val="center"/>
            <w:hideMark/>
          </w:tcPr>
          <w:p w14:paraId="3C249245" w14:textId="0C551F60"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872C98" w:rsidRPr="00880FAB" w14:paraId="4F718359" w14:textId="77777777" w:rsidTr="00872C98">
        <w:trPr>
          <w:trHeight w:hRule="exact" w:val="454"/>
        </w:trPr>
        <w:tc>
          <w:tcPr>
            <w:tcW w:w="4400" w:type="pct"/>
            <w:tcBorders>
              <w:top w:val="nil"/>
              <w:left w:val="nil"/>
              <w:bottom w:val="single" w:sz="4" w:space="0" w:color="293F5B"/>
              <w:right w:val="nil"/>
            </w:tcBorders>
            <w:vAlign w:val="center"/>
            <w:hideMark/>
          </w:tcPr>
          <w:p w14:paraId="0A4DE72E" w14:textId="234F07F4" w:rsidR="00872C98" w:rsidRPr="00880FAB" w:rsidRDefault="00872C98" w:rsidP="00872C98">
            <w:pPr>
              <w:spacing w:before="0" w:after="0" w:line="240" w:lineRule="auto"/>
              <w:ind w:firstLineChars="200" w:firstLine="320"/>
              <w:rPr>
                <w:rFonts w:ascii="Arial" w:hAnsi="Arial" w:cs="Arial"/>
                <w:color w:val="000000"/>
                <w:sz w:val="16"/>
                <w:szCs w:val="16"/>
              </w:rPr>
            </w:pPr>
            <w:proofErr w:type="spellStart"/>
            <w:r w:rsidRPr="00880FAB">
              <w:rPr>
                <w:rFonts w:ascii="Arial" w:hAnsi="Arial" w:cs="Arial"/>
                <w:color w:val="000000"/>
                <w:sz w:val="16"/>
                <w:szCs w:val="16"/>
              </w:rPr>
              <w:t>Kenbi</w:t>
            </w:r>
            <w:proofErr w:type="spellEnd"/>
            <w:r w:rsidRPr="00880FAB">
              <w:rPr>
                <w:rFonts w:ascii="Arial" w:hAnsi="Arial" w:cs="Arial"/>
                <w:color w:val="000000"/>
                <w:sz w:val="16"/>
                <w:szCs w:val="16"/>
              </w:rPr>
              <w:t xml:space="preserve"> Land Claim No. 37, Cox Peninsula, Northern Territory</w:t>
            </w:r>
          </w:p>
        </w:tc>
        <w:tc>
          <w:tcPr>
            <w:tcW w:w="600" w:type="pct"/>
            <w:tcBorders>
              <w:top w:val="single" w:sz="4" w:space="0" w:color="293F5B"/>
              <w:left w:val="nil"/>
              <w:bottom w:val="nil"/>
              <w:right w:val="nil"/>
            </w:tcBorders>
            <w:vAlign w:val="center"/>
            <w:hideMark/>
          </w:tcPr>
          <w:p w14:paraId="69AA905F" w14:textId="1782B559"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872C98" w:rsidRPr="00880FAB" w14:paraId="0BE5C9D5" w14:textId="77777777" w:rsidTr="00872C98">
        <w:trPr>
          <w:trHeight w:hRule="exact" w:val="225"/>
        </w:trPr>
        <w:tc>
          <w:tcPr>
            <w:tcW w:w="4400" w:type="pct"/>
            <w:tcBorders>
              <w:top w:val="nil"/>
              <w:left w:val="nil"/>
              <w:bottom w:val="single" w:sz="4" w:space="0" w:color="293F5B"/>
              <w:right w:val="nil"/>
            </w:tcBorders>
            <w:shd w:val="clear" w:color="000000" w:fill="E6F2FF"/>
            <w:vAlign w:val="center"/>
            <w:hideMark/>
          </w:tcPr>
          <w:p w14:paraId="50C8CA51" w14:textId="52352D7D" w:rsidR="00872C98" w:rsidRPr="00880FAB" w:rsidRDefault="00872C98" w:rsidP="007E3039">
            <w:pPr>
              <w:spacing w:before="0" w:after="0" w:line="240" w:lineRule="auto"/>
              <w:rPr>
                <w:rFonts w:ascii="Arial" w:hAnsi="Arial" w:cs="Arial"/>
                <w:color w:val="000000"/>
                <w:sz w:val="16"/>
                <w:szCs w:val="16"/>
              </w:rPr>
            </w:pPr>
            <w:r w:rsidRPr="00880FAB">
              <w:rPr>
                <w:rFonts w:ascii="Arial" w:hAnsi="Arial" w:cs="Arial"/>
                <w:b/>
                <w:bCs/>
                <w:color w:val="000000"/>
                <w:sz w:val="16"/>
                <w:szCs w:val="16"/>
              </w:rPr>
              <w:t>Foreign Affairs and Trade</w:t>
            </w:r>
          </w:p>
        </w:tc>
        <w:tc>
          <w:tcPr>
            <w:tcW w:w="600" w:type="pct"/>
            <w:tcBorders>
              <w:top w:val="single" w:sz="4" w:space="0" w:color="293F5B"/>
              <w:left w:val="nil"/>
              <w:bottom w:val="nil"/>
              <w:right w:val="nil"/>
            </w:tcBorders>
            <w:shd w:val="clear" w:color="000000" w:fill="E6F2FF"/>
            <w:vAlign w:val="center"/>
            <w:hideMark/>
          </w:tcPr>
          <w:p w14:paraId="42066F3A" w14:textId="09BA7B7D"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b/>
                <w:bCs/>
                <w:color w:val="000000"/>
                <w:sz w:val="16"/>
                <w:szCs w:val="16"/>
              </w:rPr>
              <w:t>Status</w:t>
            </w:r>
          </w:p>
        </w:tc>
      </w:tr>
      <w:tr w:rsidR="00872C98" w:rsidRPr="00880FAB" w14:paraId="062FA2D0" w14:textId="77777777" w:rsidTr="00872C98">
        <w:trPr>
          <w:trHeight w:hRule="exact" w:val="225"/>
        </w:trPr>
        <w:tc>
          <w:tcPr>
            <w:tcW w:w="4400" w:type="pct"/>
            <w:tcBorders>
              <w:top w:val="nil"/>
              <w:left w:val="nil"/>
              <w:bottom w:val="single" w:sz="4" w:space="0" w:color="293F5B"/>
              <w:right w:val="nil"/>
            </w:tcBorders>
            <w:shd w:val="clear" w:color="000000" w:fill="E6F2FF"/>
            <w:vAlign w:val="center"/>
            <w:hideMark/>
          </w:tcPr>
          <w:p w14:paraId="097CA7FB" w14:textId="3857BA69" w:rsidR="00872C98" w:rsidRPr="00880FAB" w:rsidRDefault="00872C98" w:rsidP="007E3039">
            <w:pPr>
              <w:spacing w:before="0" w:after="0" w:line="240" w:lineRule="auto"/>
              <w:ind w:firstLineChars="200" w:firstLine="321"/>
              <w:rPr>
                <w:rFonts w:ascii="Arial" w:hAnsi="Arial" w:cs="Arial"/>
                <w:b/>
                <w:bCs/>
                <w:color w:val="000000"/>
                <w:sz w:val="16"/>
                <w:szCs w:val="16"/>
              </w:rPr>
            </w:pPr>
            <w:r w:rsidRPr="00880FAB">
              <w:rPr>
                <w:rFonts w:ascii="Arial" w:hAnsi="Arial" w:cs="Arial"/>
                <w:b/>
                <w:bCs/>
                <w:color w:val="000000"/>
                <w:sz w:val="16"/>
                <w:szCs w:val="16"/>
              </w:rPr>
              <w:t>Fiscal Risks</w:t>
            </w:r>
          </w:p>
        </w:tc>
        <w:tc>
          <w:tcPr>
            <w:tcW w:w="600" w:type="pct"/>
            <w:tcBorders>
              <w:top w:val="single" w:sz="4" w:space="0" w:color="293F5B"/>
              <w:left w:val="nil"/>
              <w:bottom w:val="nil"/>
              <w:right w:val="nil"/>
            </w:tcBorders>
            <w:shd w:val="clear" w:color="000000" w:fill="E6F2FF"/>
            <w:vAlign w:val="center"/>
            <w:hideMark/>
          </w:tcPr>
          <w:p w14:paraId="0E44F31F" w14:textId="76E9229E" w:rsidR="00872C98" w:rsidRPr="00880FAB" w:rsidRDefault="00872C98" w:rsidP="00872C98">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872C98" w:rsidRPr="00880FAB" w14:paraId="35E6DAC1" w14:textId="77777777" w:rsidTr="00872C98">
        <w:trPr>
          <w:trHeight w:hRule="exact" w:val="225"/>
        </w:trPr>
        <w:tc>
          <w:tcPr>
            <w:tcW w:w="4400" w:type="pct"/>
            <w:tcBorders>
              <w:top w:val="nil"/>
              <w:left w:val="nil"/>
              <w:bottom w:val="nil"/>
              <w:right w:val="nil"/>
            </w:tcBorders>
            <w:vAlign w:val="center"/>
            <w:hideMark/>
          </w:tcPr>
          <w:p w14:paraId="6C85C207" w14:textId="3FC68DA9" w:rsidR="00872C98" w:rsidRPr="00880FAB" w:rsidRDefault="00872C98" w:rsidP="00757B6A">
            <w:pPr>
              <w:spacing w:before="0" w:after="0" w:line="240" w:lineRule="auto"/>
              <w:ind w:firstLineChars="200" w:firstLine="320"/>
              <w:rPr>
                <w:rFonts w:ascii="Arial" w:hAnsi="Arial" w:cs="Arial"/>
                <w:b/>
                <w:bCs/>
                <w:color w:val="000000"/>
                <w:sz w:val="16"/>
                <w:szCs w:val="16"/>
              </w:rPr>
            </w:pPr>
            <w:r w:rsidRPr="00880FAB">
              <w:rPr>
                <w:rFonts w:ascii="Arial" w:hAnsi="Arial" w:cs="Arial"/>
                <w:color w:val="000000"/>
                <w:sz w:val="16"/>
                <w:szCs w:val="16"/>
              </w:rPr>
              <w:t>Export Finance Australia – National Interest Account</w:t>
            </w:r>
          </w:p>
        </w:tc>
        <w:tc>
          <w:tcPr>
            <w:tcW w:w="600" w:type="pct"/>
            <w:tcBorders>
              <w:top w:val="single" w:sz="4" w:space="0" w:color="293F5B"/>
              <w:left w:val="nil"/>
              <w:bottom w:val="nil"/>
              <w:right w:val="nil"/>
            </w:tcBorders>
            <w:vAlign w:val="center"/>
            <w:hideMark/>
          </w:tcPr>
          <w:p w14:paraId="627176C9" w14:textId="7FF5EE13" w:rsidR="00872C98" w:rsidRPr="00880FAB" w:rsidRDefault="00872C98" w:rsidP="00872C98">
            <w:pPr>
              <w:spacing w:before="0" w:after="0" w:line="240" w:lineRule="auto"/>
              <w:rPr>
                <w:rFonts w:ascii="Arial" w:hAnsi="Arial" w:cs="Arial"/>
                <w:b/>
                <w:bCs/>
                <w:color w:val="000000"/>
                <w:sz w:val="16"/>
                <w:szCs w:val="16"/>
              </w:rPr>
            </w:pPr>
            <w:r w:rsidRPr="00880FAB">
              <w:rPr>
                <w:rFonts w:ascii="Arial" w:hAnsi="Arial" w:cs="Arial"/>
                <w:color w:val="000000"/>
                <w:sz w:val="16"/>
                <w:szCs w:val="16"/>
              </w:rPr>
              <w:t>Modified</w:t>
            </w:r>
          </w:p>
        </w:tc>
      </w:tr>
      <w:tr w:rsidR="00872C98" w:rsidRPr="00880FAB" w14:paraId="4E5F9884" w14:textId="77777777" w:rsidTr="00872C98">
        <w:trPr>
          <w:trHeight w:hRule="exact" w:val="225"/>
        </w:trPr>
        <w:tc>
          <w:tcPr>
            <w:tcW w:w="4400" w:type="pct"/>
            <w:tcBorders>
              <w:top w:val="single" w:sz="4" w:space="0" w:color="293F5B"/>
              <w:left w:val="nil"/>
              <w:bottom w:val="single" w:sz="4" w:space="0" w:color="293F5B"/>
              <w:right w:val="nil"/>
            </w:tcBorders>
            <w:shd w:val="clear" w:color="000000" w:fill="E6F2FF"/>
            <w:vAlign w:val="center"/>
            <w:hideMark/>
          </w:tcPr>
          <w:p w14:paraId="746300DE" w14:textId="660462E6" w:rsidR="00872C98" w:rsidRPr="00880FAB" w:rsidRDefault="00872C98" w:rsidP="00872C98">
            <w:pPr>
              <w:spacing w:before="0" w:after="0" w:line="240" w:lineRule="auto"/>
              <w:ind w:firstLineChars="200" w:firstLine="321"/>
              <w:rPr>
                <w:rFonts w:ascii="Arial" w:hAnsi="Arial" w:cs="Arial"/>
                <w:color w:val="000000"/>
                <w:sz w:val="16"/>
                <w:szCs w:val="16"/>
              </w:rPr>
            </w:pPr>
            <w:r w:rsidRPr="00880FAB">
              <w:rPr>
                <w:rFonts w:ascii="Arial" w:hAnsi="Arial" w:cs="Arial"/>
                <w:b/>
                <w:bCs/>
                <w:color w:val="000000"/>
                <w:sz w:val="16"/>
                <w:szCs w:val="16"/>
              </w:rPr>
              <w:t>Contingent liabilities – quantifiable</w:t>
            </w:r>
          </w:p>
        </w:tc>
        <w:tc>
          <w:tcPr>
            <w:tcW w:w="600" w:type="pct"/>
            <w:tcBorders>
              <w:top w:val="single" w:sz="4" w:space="0" w:color="293F5B"/>
              <w:left w:val="nil"/>
              <w:bottom w:val="nil"/>
              <w:right w:val="nil"/>
            </w:tcBorders>
            <w:shd w:val="clear" w:color="000000" w:fill="E6F2FF"/>
            <w:vAlign w:val="center"/>
            <w:hideMark/>
          </w:tcPr>
          <w:p w14:paraId="15252DED" w14:textId="7930C46A"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b/>
                <w:bCs/>
                <w:color w:val="000000"/>
                <w:sz w:val="16"/>
                <w:szCs w:val="16"/>
              </w:rPr>
              <w:t> </w:t>
            </w:r>
          </w:p>
        </w:tc>
      </w:tr>
      <w:tr w:rsidR="00872C98" w:rsidRPr="00880FAB" w14:paraId="7320066A" w14:textId="77777777" w:rsidTr="00872C98">
        <w:trPr>
          <w:trHeight w:hRule="exact" w:val="225"/>
        </w:trPr>
        <w:tc>
          <w:tcPr>
            <w:tcW w:w="4400" w:type="pct"/>
            <w:tcBorders>
              <w:top w:val="nil"/>
              <w:left w:val="nil"/>
              <w:bottom w:val="single" w:sz="4" w:space="0" w:color="293F5B"/>
              <w:right w:val="nil"/>
            </w:tcBorders>
            <w:vAlign w:val="center"/>
            <w:hideMark/>
          </w:tcPr>
          <w:p w14:paraId="1CAB4A14" w14:textId="2227762E" w:rsidR="00872C98" w:rsidRPr="00880FAB" w:rsidRDefault="00872C98" w:rsidP="00757B6A">
            <w:pPr>
              <w:spacing w:before="0" w:after="0" w:line="240" w:lineRule="auto"/>
              <w:ind w:firstLineChars="200" w:firstLine="320"/>
              <w:rPr>
                <w:rFonts w:ascii="Arial" w:hAnsi="Arial" w:cs="Arial"/>
                <w:b/>
                <w:bCs/>
                <w:color w:val="000000"/>
                <w:sz w:val="16"/>
                <w:szCs w:val="16"/>
              </w:rPr>
            </w:pPr>
            <w:r w:rsidRPr="00880FAB">
              <w:rPr>
                <w:rFonts w:ascii="Arial" w:hAnsi="Arial" w:cs="Arial"/>
                <w:color w:val="000000"/>
                <w:sz w:val="16"/>
                <w:szCs w:val="16"/>
              </w:rPr>
              <w:t>Export Finance Australia</w:t>
            </w:r>
          </w:p>
        </w:tc>
        <w:tc>
          <w:tcPr>
            <w:tcW w:w="600" w:type="pct"/>
            <w:tcBorders>
              <w:top w:val="single" w:sz="4" w:space="0" w:color="293F5B"/>
              <w:left w:val="nil"/>
              <w:bottom w:val="nil"/>
              <w:right w:val="nil"/>
            </w:tcBorders>
            <w:vAlign w:val="center"/>
            <w:hideMark/>
          </w:tcPr>
          <w:p w14:paraId="72459989" w14:textId="58A4EC8C" w:rsidR="00872C98" w:rsidRPr="00880FAB" w:rsidRDefault="00872C98" w:rsidP="00872C98">
            <w:pPr>
              <w:spacing w:before="0" w:after="0" w:line="240" w:lineRule="auto"/>
              <w:rPr>
                <w:rFonts w:ascii="Arial" w:hAnsi="Arial" w:cs="Arial"/>
                <w:b/>
                <w:bCs/>
                <w:color w:val="000000"/>
                <w:sz w:val="16"/>
                <w:szCs w:val="16"/>
              </w:rPr>
            </w:pPr>
            <w:r w:rsidRPr="00880FAB">
              <w:rPr>
                <w:rFonts w:ascii="Arial" w:hAnsi="Arial" w:cs="Arial"/>
                <w:color w:val="000000"/>
                <w:sz w:val="16"/>
                <w:szCs w:val="16"/>
              </w:rPr>
              <w:t>Unchanged</w:t>
            </w:r>
          </w:p>
        </w:tc>
      </w:tr>
      <w:tr w:rsidR="00872C98" w:rsidRPr="00880FAB" w14:paraId="3580BB15" w14:textId="77777777" w:rsidTr="00872C98">
        <w:trPr>
          <w:trHeight w:hRule="exact" w:val="225"/>
        </w:trPr>
        <w:tc>
          <w:tcPr>
            <w:tcW w:w="4400" w:type="pct"/>
            <w:tcBorders>
              <w:top w:val="nil"/>
              <w:left w:val="nil"/>
              <w:bottom w:val="single" w:sz="4" w:space="0" w:color="293F5B"/>
              <w:right w:val="nil"/>
            </w:tcBorders>
            <w:vAlign w:val="center"/>
            <w:hideMark/>
          </w:tcPr>
          <w:p w14:paraId="2EA31535" w14:textId="6B1BDAC6"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Papua New Guinea National Rugby League Franchise</w:t>
            </w:r>
          </w:p>
        </w:tc>
        <w:tc>
          <w:tcPr>
            <w:tcW w:w="600" w:type="pct"/>
            <w:tcBorders>
              <w:top w:val="single" w:sz="4" w:space="0" w:color="293F5B"/>
              <w:left w:val="nil"/>
              <w:bottom w:val="nil"/>
              <w:right w:val="nil"/>
            </w:tcBorders>
            <w:vAlign w:val="center"/>
            <w:hideMark/>
          </w:tcPr>
          <w:p w14:paraId="4171601B" w14:textId="1E212DB8"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872C98" w:rsidRPr="00880FAB" w14:paraId="5AE49B40" w14:textId="77777777" w:rsidTr="00872C98">
        <w:trPr>
          <w:trHeight w:hRule="exact" w:val="225"/>
        </w:trPr>
        <w:tc>
          <w:tcPr>
            <w:tcW w:w="4400" w:type="pct"/>
            <w:tcBorders>
              <w:top w:val="nil"/>
              <w:left w:val="nil"/>
              <w:bottom w:val="single" w:sz="4" w:space="0" w:color="293F5B"/>
              <w:right w:val="nil"/>
            </w:tcBorders>
            <w:shd w:val="clear" w:color="000000" w:fill="E6F2FF"/>
            <w:vAlign w:val="center"/>
            <w:hideMark/>
          </w:tcPr>
          <w:p w14:paraId="2695F537" w14:textId="2E2CE9E6" w:rsidR="00872C98" w:rsidRPr="00880FAB" w:rsidRDefault="00872C98" w:rsidP="007E3039">
            <w:pPr>
              <w:spacing w:before="0" w:after="0" w:line="240" w:lineRule="auto"/>
              <w:rPr>
                <w:rFonts w:ascii="Arial" w:hAnsi="Arial" w:cs="Arial"/>
                <w:color w:val="000000"/>
                <w:sz w:val="16"/>
                <w:szCs w:val="16"/>
              </w:rPr>
            </w:pPr>
            <w:r w:rsidRPr="00880FAB">
              <w:rPr>
                <w:rFonts w:ascii="Arial" w:hAnsi="Arial" w:cs="Arial"/>
                <w:b/>
                <w:bCs/>
                <w:color w:val="000000"/>
                <w:sz w:val="16"/>
                <w:szCs w:val="16"/>
              </w:rPr>
              <w:t>Health, Disability and Ageing</w:t>
            </w:r>
          </w:p>
        </w:tc>
        <w:tc>
          <w:tcPr>
            <w:tcW w:w="600" w:type="pct"/>
            <w:tcBorders>
              <w:top w:val="single" w:sz="4" w:space="0" w:color="293F5B"/>
              <w:left w:val="nil"/>
              <w:bottom w:val="nil"/>
              <w:right w:val="nil"/>
            </w:tcBorders>
            <w:shd w:val="clear" w:color="000000" w:fill="E6F2FF"/>
            <w:vAlign w:val="center"/>
            <w:hideMark/>
          </w:tcPr>
          <w:p w14:paraId="61ECF7A0" w14:textId="41161850"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b/>
                <w:bCs/>
                <w:color w:val="000000"/>
                <w:sz w:val="16"/>
                <w:szCs w:val="16"/>
              </w:rPr>
              <w:t>Status</w:t>
            </w:r>
          </w:p>
        </w:tc>
      </w:tr>
      <w:tr w:rsidR="00872C98" w:rsidRPr="00880FAB" w14:paraId="32CD5FAE" w14:textId="77777777" w:rsidTr="00872C98">
        <w:trPr>
          <w:trHeight w:hRule="exact" w:val="225"/>
        </w:trPr>
        <w:tc>
          <w:tcPr>
            <w:tcW w:w="4400" w:type="pct"/>
            <w:tcBorders>
              <w:top w:val="nil"/>
              <w:left w:val="nil"/>
              <w:bottom w:val="single" w:sz="4" w:space="0" w:color="293F5B"/>
              <w:right w:val="nil"/>
            </w:tcBorders>
            <w:shd w:val="clear" w:color="000000" w:fill="E6F2FF"/>
            <w:vAlign w:val="center"/>
            <w:hideMark/>
          </w:tcPr>
          <w:p w14:paraId="0F24D632" w14:textId="74A28A3E" w:rsidR="00872C98" w:rsidRPr="00880FAB" w:rsidRDefault="00872C98" w:rsidP="007E3039">
            <w:pPr>
              <w:spacing w:before="0" w:after="0" w:line="240" w:lineRule="auto"/>
              <w:ind w:firstLineChars="200" w:firstLine="321"/>
              <w:rPr>
                <w:rFonts w:ascii="Arial" w:hAnsi="Arial" w:cs="Arial"/>
                <w:b/>
                <w:bCs/>
                <w:color w:val="000000"/>
                <w:sz w:val="16"/>
                <w:szCs w:val="16"/>
              </w:rPr>
            </w:pPr>
            <w:r w:rsidRPr="00880FAB">
              <w:rPr>
                <w:rFonts w:ascii="Arial" w:hAnsi="Arial" w:cs="Arial"/>
                <w:b/>
                <w:bCs/>
                <w:color w:val="000000"/>
                <w:sz w:val="16"/>
                <w:szCs w:val="16"/>
              </w:rPr>
              <w:t>Fiscal Risks</w:t>
            </w:r>
          </w:p>
        </w:tc>
        <w:tc>
          <w:tcPr>
            <w:tcW w:w="600" w:type="pct"/>
            <w:tcBorders>
              <w:top w:val="single" w:sz="4" w:space="0" w:color="293F5B"/>
              <w:left w:val="nil"/>
              <w:bottom w:val="nil"/>
              <w:right w:val="nil"/>
            </w:tcBorders>
            <w:shd w:val="clear" w:color="000000" w:fill="E6F2FF"/>
            <w:vAlign w:val="center"/>
            <w:hideMark/>
          </w:tcPr>
          <w:p w14:paraId="1339FDE1" w14:textId="49E936E3" w:rsidR="00872C98" w:rsidRPr="00880FAB" w:rsidRDefault="00872C98" w:rsidP="00872C98">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872C98" w:rsidRPr="00880FAB" w14:paraId="33EBC7B3" w14:textId="77777777" w:rsidTr="00872C98">
        <w:trPr>
          <w:trHeight w:hRule="exact" w:val="225"/>
        </w:trPr>
        <w:tc>
          <w:tcPr>
            <w:tcW w:w="4400" w:type="pct"/>
            <w:tcBorders>
              <w:top w:val="nil"/>
              <w:left w:val="nil"/>
              <w:bottom w:val="single" w:sz="4" w:space="0" w:color="293F5B"/>
              <w:right w:val="nil"/>
            </w:tcBorders>
            <w:vAlign w:val="center"/>
            <w:hideMark/>
          </w:tcPr>
          <w:p w14:paraId="0BDC5FDE" w14:textId="6FBBE61E" w:rsidR="00872C98" w:rsidRPr="00880FAB" w:rsidRDefault="00872C98" w:rsidP="00757B6A">
            <w:pPr>
              <w:spacing w:before="0" w:after="0" w:line="240" w:lineRule="auto"/>
              <w:ind w:firstLineChars="200" w:firstLine="320"/>
              <w:rPr>
                <w:rFonts w:ascii="Arial" w:hAnsi="Arial" w:cs="Arial"/>
                <w:b/>
                <w:bCs/>
                <w:color w:val="000000"/>
                <w:sz w:val="16"/>
                <w:szCs w:val="16"/>
              </w:rPr>
            </w:pPr>
            <w:r w:rsidRPr="00880FAB">
              <w:rPr>
                <w:rFonts w:ascii="Arial" w:hAnsi="Arial" w:cs="Arial"/>
                <w:color w:val="000000"/>
                <w:sz w:val="16"/>
                <w:szCs w:val="16"/>
              </w:rPr>
              <w:t>Aged Care</w:t>
            </w:r>
          </w:p>
        </w:tc>
        <w:tc>
          <w:tcPr>
            <w:tcW w:w="600" w:type="pct"/>
            <w:tcBorders>
              <w:top w:val="single" w:sz="4" w:space="0" w:color="293F5B"/>
              <w:left w:val="nil"/>
              <w:bottom w:val="nil"/>
              <w:right w:val="nil"/>
            </w:tcBorders>
            <w:vAlign w:val="center"/>
            <w:hideMark/>
          </w:tcPr>
          <w:p w14:paraId="20569055" w14:textId="135CB5A5" w:rsidR="00872C98" w:rsidRPr="00880FAB" w:rsidRDefault="00872C98" w:rsidP="00872C98">
            <w:pPr>
              <w:spacing w:before="0" w:after="0" w:line="240" w:lineRule="auto"/>
              <w:rPr>
                <w:rFonts w:ascii="Arial" w:hAnsi="Arial" w:cs="Arial"/>
                <w:b/>
                <w:bCs/>
                <w:color w:val="000000"/>
                <w:sz w:val="16"/>
                <w:szCs w:val="16"/>
              </w:rPr>
            </w:pPr>
            <w:r w:rsidRPr="00880FAB">
              <w:rPr>
                <w:rFonts w:ascii="Arial" w:hAnsi="Arial" w:cs="Arial"/>
                <w:color w:val="000000"/>
                <w:sz w:val="16"/>
                <w:szCs w:val="16"/>
              </w:rPr>
              <w:t>Removed</w:t>
            </w:r>
          </w:p>
        </w:tc>
      </w:tr>
      <w:tr w:rsidR="00872C98" w:rsidRPr="00880FAB" w14:paraId="1A46C953" w14:textId="77777777" w:rsidTr="00872C98">
        <w:trPr>
          <w:trHeight w:hRule="exact" w:val="225"/>
        </w:trPr>
        <w:tc>
          <w:tcPr>
            <w:tcW w:w="4400" w:type="pct"/>
            <w:tcBorders>
              <w:top w:val="nil"/>
              <w:left w:val="nil"/>
              <w:bottom w:val="single" w:sz="4" w:space="0" w:color="293F5B"/>
              <w:right w:val="nil"/>
            </w:tcBorders>
            <w:vAlign w:val="center"/>
            <w:hideMark/>
          </w:tcPr>
          <w:p w14:paraId="7758E80E" w14:textId="3896164A"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National Disability Insurance Scheme</w:t>
            </w:r>
          </w:p>
        </w:tc>
        <w:tc>
          <w:tcPr>
            <w:tcW w:w="600" w:type="pct"/>
            <w:tcBorders>
              <w:top w:val="single" w:sz="4" w:space="0" w:color="293F5B"/>
              <w:left w:val="nil"/>
              <w:bottom w:val="nil"/>
              <w:right w:val="nil"/>
            </w:tcBorders>
            <w:vAlign w:val="center"/>
            <w:hideMark/>
          </w:tcPr>
          <w:p w14:paraId="28CB4C9C" w14:textId="279B54DA"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872C98" w:rsidRPr="00880FAB" w14:paraId="5EA7A078" w14:textId="77777777" w:rsidTr="00872C98">
        <w:trPr>
          <w:trHeight w:hRule="exact" w:val="225"/>
        </w:trPr>
        <w:tc>
          <w:tcPr>
            <w:tcW w:w="4400" w:type="pct"/>
            <w:tcBorders>
              <w:top w:val="nil"/>
              <w:left w:val="nil"/>
              <w:bottom w:val="single" w:sz="4" w:space="0" w:color="293F5B"/>
              <w:right w:val="nil"/>
            </w:tcBorders>
            <w:shd w:val="clear" w:color="000000" w:fill="E6F2FF"/>
            <w:vAlign w:val="center"/>
            <w:hideMark/>
          </w:tcPr>
          <w:p w14:paraId="28A64806" w14:textId="2E4E6FF1" w:rsidR="00872C98" w:rsidRPr="00880FAB" w:rsidRDefault="00872C98" w:rsidP="00872C98">
            <w:pPr>
              <w:spacing w:before="0" w:after="0" w:line="240" w:lineRule="auto"/>
              <w:ind w:firstLineChars="200" w:firstLine="321"/>
              <w:rPr>
                <w:rFonts w:ascii="Arial" w:hAnsi="Arial" w:cs="Arial"/>
                <w:color w:val="000000"/>
                <w:sz w:val="16"/>
                <w:szCs w:val="16"/>
              </w:rPr>
            </w:pPr>
            <w:r w:rsidRPr="00880FAB">
              <w:rPr>
                <w:rFonts w:ascii="Arial" w:hAnsi="Arial" w:cs="Arial"/>
                <w:b/>
                <w:bCs/>
                <w:color w:val="000000"/>
                <w:sz w:val="16"/>
                <w:szCs w:val="16"/>
              </w:rPr>
              <w:t>Contingent liabilities – unquantifiable</w:t>
            </w:r>
          </w:p>
        </w:tc>
        <w:tc>
          <w:tcPr>
            <w:tcW w:w="600" w:type="pct"/>
            <w:tcBorders>
              <w:top w:val="single" w:sz="4" w:space="0" w:color="293F5B"/>
              <w:left w:val="nil"/>
              <w:bottom w:val="nil"/>
              <w:right w:val="nil"/>
            </w:tcBorders>
            <w:shd w:val="clear" w:color="000000" w:fill="E6F2FF"/>
            <w:vAlign w:val="center"/>
            <w:hideMark/>
          </w:tcPr>
          <w:p w14:paraId="0E25E3FA" w14:textId="550670C6"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b/>
                <w:bCs/>
                <w:color w:val="000000"/>
                <w:sz w:val="16"/>
                <w:szCs w:val="16"/>
              </w:rPr>
              <w:t> </w:t>
            </w:r>
          </w:p>
        </w:tc>
      </w:tr>
      <w:tr w:rsidR="00872C98" w:rsidRPr="00880FAB" w14:paraId="02D34FDC" w14:textId="77777777" w:rsidTr="00872C98">
        <w:trPr>
          <w:trHeight w:hRule="exact" w:val="225"/>
        </w:trPr>
        <w:tc>
          <w:tcPr>
            <w:tcW w:w="4400" w:type="pct"/>
            <w:tcBorders>
              <w:top w:val="nil"/>
              <w:left w:val="nil"/>
              <w:bottom w:val="single" w:sz="4" w:space="0" w:color="293F5B"/>
              <w:right w:val="nil"/>
            </w:tcBorders>
            <w:vAlign w:val="center"/>
            <w:hideMark/>
          </w:tcPr>
          <w:p w14:paraId="5FC413B4" w14:textId="5FBBEE56" w:rsidR="00872C98" w:rsidRPr="00880FAB" w:rsidRDefault="00872C98" w:rsidP="00757B6A">
            <w:pPr>
              <w:spacing w:before="0" w:after="0" w:line="240" w:lineRule="auto"/>
              <w:ind w:firstLineChars="200" w:firstLine="320"/>
              <w:rPr>
                <w:rFonts w:ascii="Arial" w:hAnsi="Arial" w:cs="Arial"/>
                <w:b/>
                <w:bCs/>
                <w:color w:val="000000"/>
                <w:sz w:val="16"/>
                <w:szCs w:val="16"/>
              </w:rPr>
            </w:pPr>
            <w:r w:rsidRPr="00880FAB">
              <w:rPr>
                <w:rFonts w:ascii="Arial" w:hAnsi="Arial" w:cs="Arial"/>
                <w:color w:val="000000"/>
                <w:sz w:val="16"/>
                <w:szCs w:val="16"/>
              </w:rPr>
              <w:t>Accommodation Payment Guarantee Scheme</w:t>
            </w:r>
          </w:p>
        </w:tc>
        <w:tc>
          <w:tcPr>
            <w:tcW w:w="600" w:type="pct"/>
            <w:tcBorders>
              <w:top w:val="single" w:sz="4" w:space="0" w:color="293F5B"/>
              <w:left w:val="nil"/>
              <w:bottom w:val="nil"/>
              <w:right w:val="nil"/>
            </w:tcBorders>
            <w:vAlign w:val="center"/>
            <w:hideMark/>
          </w:tcPr>
          <w:p w14:paraId="0034C0C1" w14:textId="41CF71E3" w:rsidR="00872C98" w:rsidRPr="00880FAB" w:rsidRDefault="00872C98" w:rsidP="00872C98">
            <w:pPr>
              <w:spacing w:before="0" w:after="0" w:line="240" w:lineRule="auto"/>
              <w:rPr>
                <w:rFonts w:ascii="Arial" w:hAnsi="Arial" w:cs="Arial"/>
                <w:b/>
                <w:bCs/>
                <w:color w:val="000000"/>
                <w:sz w:val="16"/>
                <w:szCs w:val="16"/>
              </w:rPr>
            </w:pPr>
            <w:r w:rsidRPr="00880FAB">
              <w:rPr>
                <w:rFonts w:ascii="Arial" w:hAnsi="Arial" w:cs="Arial"/>
                <w:color w:val="000000"/>
                <w:sz w:val="16"/>
                <w:szCs w:val="16"/>
              </w:rPr>
              <w:t>Unchanged</w:t>
            </w:r>
          </w:p>
        </w:tc>
      </w:tr>
      <w:tr w:rsidR="00872C98" w:rsidRPr="00880FAB" w14:paraId="31FEBB46" w14:textId="77777777" w:rsidTr="00872C98">
        <w:trPr>
          <w:trHeight w:hRule="exact" w:val="225"/>
        </w:trPr>
        <w:tc>
          <w:tcPr>
            <w:tcW w:w="4400" w:type="pct"/>
            <w:tcBorders>
              <w:top w:val="nil"/>
              <w:left w:val="nil"/>
              <w:bottom w:val="single" w:sz="4" w:space="0" w:color="293F5B"/>
              <w:right w:val="nil"/>
            </w:tcBorders>
            <w:vAlign w:val="center"/>
            <w:hideMark/>
          </w:tcPr>
          <w:p w14:paraId="7FAB50AF" w14:textId="0F82B67B"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Australian Red Cross Society – indemnities</w:t>
            </w:r>
          </w:p>
        </w:tc>
        <w:tc>
          <w:tcPr>
            <w:tcW w:w="600" w:type="pct"/>
            <w:tcBorders>
              <w:top w:val="single" w:sz="4" w:space="0" w:color="293F5B"/>
              <w:left w:val="nil"/>
              <w:bottom w:val="nil"/>
              <w:right w:val="nil"/>
            </w:tcBorders>
            <w:vAlign w:val="center"/>
            <w:hideMark/>
          </w:tcPr>
          <w:p w14:paraId="6A4346C4" w14:textId="0B64C278"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872C98" w:rsidRPr="00880FAB" w14:paraId="6F34AD8F" w14:textId="77777777" w:rsidTr="00872C98">
        <w:trPr>
          <w:trHeight w:hRule="exact" w:val="225"/>
        </w:trPr>
        <w:tc>
          <w:tcPr>
            <w:tcW w:w="4400" w:type="pct"/>
            <w:tcBorders>
              <w:top w:val="nil"/>
              <w:left w:val="nil"/>
              <w:bottom w:val="single" w:sz="4" w:space="0" w:color="293F5B"/>
              <w:right w:val="nil"/>
            </w:tcBorders>
            <w:vAlign w:val="center"/>
            <w:hideMark/>
          </w:tcPr>
          <w:p w14:paraId="14633FC1" w14:textId="15C7B1C0"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Blood and blood products liability cover</w:t>
            </w:r>
          </w:p>
        </w:tc>
        <w:tc>
          <w:tcPr>
            <w:tcW w:w="600" w:type="pct"/>
            <w:tcBorders>
              <w:top w:val="single" w:sz="4" w:space="0" w:color="293F5B"/>
              <w:left w:val="nil"/>
              <w:bottom w:val="nil"/>
              <w:right w:val="nil"/>
            </w:tcBorders>
            <w:vAlign w:val="center"/>
            <w:hideMark/>
          </w:tcPr>
          <w:p w14:paraId="3E9181FD" w14:textId="38066B92"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872C98" w:rsidRPr="00880FAB" w14:paraId="5206D1E5" w14:textId="77777777" w:rsidTr="00872C98">
        <w:trPr>
          <w:trHeight w:hRule="exact" w:val="225"/>
        </w:trPr>
        <w:tc>
          <w:tcPr>
            <w:tcW w:w="4400" w:type="pct"/>
            <w:tcBorders>
              <w:top w:val="nil"/>
              <w:left w:val="nil"/>
              <w:bottom w:val="single" w:sz="4" w:space="0" w:color="293F5B"/>
              <w:right w:val="nil"/>
            </w:tcBorders>
            <w:vAlign w:val="center"/>
            <w:hideMark/>
          </w:tcPr>
          <w:p w14:paraId="52F3414E" w14:textId="2BAAF2D8"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CSL Ltd</w:t>
            </w:r>
          </w:p>
        </w:tc>
        <w:tc>
          <w:tcPr>
            <w:tcW w:w="600" w:type="pct"/>
            <w:tcBorders>
              <w:top w:val="single" w:sz="4" w:space="0" w:color="293F5B"/>
              <w:left w:val="nil"/>
              <w:bottom w:val="nil"/>
              <w:right w:val="nil"/>
            </w:tcBorders>
            <w:vAlign w:val="center"/>
            <w:hideMark/>
          </w:tcPr>
          <w:p w14:paraId="591D3F00" w14:textId="3C7E84F5"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872C98" w:rsidRPr="00880FAB" w14:paraId="0BCFECC8" w14:textId="77777777" w:rsidTr="00872C98">
        <w:trPr>
          <w:trHeight w:hRule="exact" w:val="225"/>
        </w:trPr>
        <w:tc>
          <w:tcPr>
            <w:tcW w:w="4400" w:type="pct"/>
            <w:tcBorders>
              <w:top w:val="nil"/>
              <w:left w:val="nil"/>
              <w:bottom w:val="single" w:sz="4" w:space="0" w:color="293F5B"/>
              <w:right w:val="nil"/>
            </w:tcBorders>
            <w:vAlign w:val="center"/>
            <w:hideMark/>
          </w:tcPr>
          <w:p w14:paraId="6AAF116F" w14:textId="3B215B17"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Indemnities relating to vaccines</w:t>
            </w:r>
          </w:p>
        </w:tc>
        <w:tc>
          <w:tcPr>
            <w:tcW w:w="600" w:type="pct"/>
            <w:tcBorders>
              <w:top w:val="single" w:sz="4" w:space="0" w:color="293F5B"/>
              <w:left w:val="nil"/>
              <w:bottom w:val="nil"/>
              <w:right w:val="nil"/>
            </w:tcBorders>
            <w:vAlign w:val="center"/>
            <w:hideMark/>
          </w:tcPr>
          <w:p w14:paraId="593CC7F5" w14:textId="4A998203"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872C98" w:rsidRPr="00880FAB" w14:paraId="316414A5" w14:textId="77777777" w:rsidTr="00872C98">
        <w:trPr>
          <w:trHeight w:hRule="exact" w:val="225"/>
        </w:trPr>
        <w:tc>
          <w:tcPr>
            <w:tcW w:w="4400" w:type="pct"/>
            <w:tcBorders>
              <w:top w:val="nil"/>
              <w:left w:val="nil"/>
              <w:bottom w:val="single" w:sz="4" w:space="0" w:color="293F5B"/>
              <w:right w:val="nil"/>
            </w:tcBorders>
            <w:vAlign w:val="center"/>
            <w:hideMark/>
          </w:tcPr>
          <w:p w14:paraId="42BB61EA" w14:textId="4EFEDC6C"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Medical Indemnity Exceptional Claims Schemes</w:t>
            </w:r>
          </w:p>
        </w:tc>
        <w:tc>
          <w:tcPr>
            <w:tcW w:w="600" w:type="pct"/>
            <w:tcBorders>
              <w:top w:val="single" w:sz="4" w:space="0" w:color="293F5B"/>
              <w:left w:val="nil"/>
              <w:bottom w:val="nil"/>
              <w:right w:val="nil"/>
            </w:tcBorders>
            <w:vAlign w:val="center"/>
            <w:hideMark/>
          </w:tcPr>
          <w:p w14:paraId="29A81CC2" w14:textId="19EE03BF"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872C98" w:rsidRPr="00880FAB" w14:paraId="3548A33F" w14:textId="77777777" w:rsidTr="00872C98">
        <w:trPr>
          <w:trHeight w:hRule="exact" w:val="225"/>
        </w:trPr>
        <w:tc>
          <w:tcPr>
            <w:tcW w:w="4400" w:type="pct"/>
            <w:tcBorders>
              <w:top w:val="nil"/>
              <w:left w:val="nil"/>
              <w:bottom w:val="single" w:sz="4" w:space="0" w:color="293F5B"/>
              <w:right w:val="nil"/>
            </w:tcBorders>
            <w:vAlign w:val="center"/>
            <w:hideMark/>
          </w:tcPr>
          <w:p w14:paraId="6778D36F" w14:textId="6BE45B6C"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Medical Rural Bonded Scholarship Waivers</w:t>
            </w:r>
          </w:p>
        </w:tc>
        <w:tc>
          <w:tcPr>
            <w:tcW w:w="600" w:type="pct"/>
            <w:tcBorders>
              <w:top w:val="nil"/>
              <w:left w:val="nil"/>
              <w:bottom w:val="nil"/>
              <w:right w:val="nil"/>
            </w:tcBorders>
            <w:vAlign w:val="center"/>
            <w:hideMark/>
          </w:tcPr>
          <w:p w14:paraId="21542CD5" w14:textId="787D4ADA"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872C98" w:rsidRPr="00880FAB" w14:paraId="71777096" w14:textId="77777777" w:rsidTr="00872C98">
        <w:trPr>
          <w:trHeight w:hRule="exact" w:val="225"/>
        </w:trPr>
        <w:tc>
          <w:tcPr>
            <w:tcW w:w="4400" w:type="pct"/>
            <w:tcBorders>
              <w:top w:val="nil"/>
              <w:left w:val="nil"/>
              <w:bottom w:val="single" w:sz="4" w:space="0" w:color="293F5B"/>
              <w:right w:val="nil"/>
            </w:tcBorders>
            <w:vAlign w:val="center"/>
            <w:hideMark/>
          </w:tcPr>
          <w:p w14:paraId="3EAB86BF" w14:textId="0EA99B53"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mRNA manufacturing facility – indemnities</w:t>
            </w:r>
          </w:p>
        </w:tc>
        <w:tc>
          <w:tcPr>
            <w:tcW w:w="600" w:type="pct"/>
            <w:tcBorders>
              <w:top w:val="single" w:sz="4" w:space="0" w:color="293F5B"/>
              <w:left w:val="nil"/>
              <w:bottom w:val="nil"/>
              <w:right w:val="nil"/>
            </w:tcBorders>
            <w:vAlign w:val="center"/>
            <w:hideMark/>
          </w:tcPr>
          <w:p w14:paraId="555D2594" w14:textId="0EBED467"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872C98" w:rsidRPr="00880FAB" w14:paraId="2E9A08CE" w14:textId="77777777" w:rsidTr="00872C98">
        <w:trPr>
          <w:trHeight w:hRule="exact" w:val="225"/>
        </w:trPr>
        <w:tc>
          <w:tcPr>
            <w:tcW w:w="4400" w:type="pct"/>
            <w:tcBorders>
              <w:top w:val="nil"/>
              <w:left w:val="nil"/>
              <w:bottom w:val="single" w:sz="4" w:space="0" w:color="293F5B"/>
              <w:right w:val="nil"/>
            </w:tcBorders>
            <w:shd w:val="clear" w:color="000000" w:fill="E6F2FF"/>
            <w:vAlign w:val="center"/>
            <w:hideMark/>
          </w:tcPr>
          <w:p w14:paraId="0E2711D2" w14:textId="46EB0CE9" w:rsidR="00872C98" w:rsidRPr="00880FAB" w:rsidRDefault="00872C98" w:rsidP="00872C98">
            <w:pPr>
              <w:spacing w:before="0" w:after="0" w:line="240" w:lineRule="auto"/>
              <w:ind w:firstLineChars="200" w:firstLine="321"/>
              <w:rPr>
                <w:rFonts w:ascii="Arial" w:hAnsi="Arial" w:cs="Arial"/>
                <w:color w:val="000000"/>
                <w:sz w:val="16"/>
                <w:szCs w:val="16"/>
              </w:rPr>
            </w:pPr>
            <w:r w:rsidRPr="00880FAB">
              <w:rPr>
                <w:rFonts w:ascii="Arial" w:hAnsi="Arial" w:cs="Arial"/>
                <w:b/>
                <w:bCs/>
                <w:color w:val="000000"/>
                <w:sz w:val="16"/>
                <w:szCs w:val="16"/>
              </w:rPr>
              <w:t>Contingent assets – unquantifiable</w:t>
            </w:r>
          </w:p>
        </w:tc>
        <w:tc>
          <w:tcPr>
            <w:tcW w:w="600" w:type="pct"/>
            <w:tcBorders>
              <w:top w:val="single" w:sz="4" w:space="0" w:color="293F5B"/>
              <w:left w:val="nil"/>
              <w:bottom w:val="nil"/>
              <w:right w:val="nil"/>
            </w:tcBorders>
            <w:shd w:val="clear" w:color="000000" w:fill="E6F2FF"/>
            <w:vAlign w:val="center"/>
            <w:hideMark/>
          </w:tcPr>
          <w:p w14:paraId="0BE36B5A" w14:textId="3DB1FE71"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b/>
                <w:bCs/>
                <w:color w:val="000000"/>
                <w:sz w:val="16"/>
                <w:szCs w:val="16"/>
              </w:rPr>
              <w:t> </w:t>
            </w:r>
          </w:p>
        </w:tc>
      </w:tr>
      <w:tr w:rsidR="00872C98" w:rsidRPr="00880FAB" w14:paraId="13F7463A" w14:textId="77777777" w:rsidTr="00872C98">
        <w:trPr>
          <w:trHeight w:hRule="exact" w:val="225"/>
        </w:trPr>
        <w:tc>
          <w:tcPr>
            <w:tcW w:w="4400" w:type="pct"/>
            <w:tcBorders>
              <w:top w:val="nil"/>
              <w:left w:val="nil"/>
              <w:bottom w:val="nil"/>
              <w:right w:val="nil"/>
            </w:tcBorders>
            <w:vAlign w:val="center"/>
            <w:hideMark/>
          </w:tcPr>
          <w:p w14:paraId="665087A6" w14:textId="3C9DCB00" w:rsidR="00872C98" w:rsidRPr="00880FAB" w:rsidRDefault="00872C98" w:rsidP="00757B6A">
            <w:pPr>
              <w:spacing w:before="0" w:after="0" w:line="240" w:lineRule="auto"/>
              <w:ind w:firstLineChars="200" w:firstLine="320"/>
              <w:rPr>
                <w:rFonts w:ascii="Arial" w:hAnsi="Arial" w:cs="Arial"/>
                <w:b/>
                <w:bCs/>
                <w:color w:val="000000"/>
                <w:sz w:val="16"/>
                <w:szCs w:val="16"/>
              </w:rPr>
            </w:pPr>
            <w:r w:rsidRPr="00880FAB">
              <w:rPr>
                <w:rFonts w:ascii="Arial" w:hAnsi="Arial" w:cs="Arial"/>
                <w:color w:val="000000"/>
                <w:sz w:val="16"/>
                <w:szCs w:val="16"/>
              </w:rPr>
              <w:t>Legal action seeking compensation</w:t>
            </w:r>
          </w:p>
        </w:tc>
        <w:tc>
          <w:tcPr>
            <w:tcW w:w="600" w:type="pct"/>
            <w:tcBorders>
              <w:top w:val="single" w:sz="4" w:space="0" w:color="293F5B"/>
              <w:left w:val="nil"/>
              <w:bottom w:val="nil"/>
              <w:right w:val="nil"/>
            </w:tcBorders>
            <w:vAlign w:val="center"/>
            <w:hideMark/>
          </w:tcPr>
          <w:p w14:paraId="3A70C9B7" w14:textId="616CD1D0" w:rsidR="00872C98" w:rsidRPr="00880FAB" w:rsidRDefault="00872C98" w:rsidP="00872C98">
            <w:pPr>
              <w:spacing w:before="0" w:after="0" w:line="240" w:lineRule="auto"/>
              <w:rPr>
                <w:rFonts w:ascii="Arial" w:hAnsi="Arial" w:cs="Arial"/>
                <w:b/>
                <w:bCs/>
                <w:color w:val="000000"/>
                <w:sz w:val="16"/>
                <w:szCs w:val="16"/>
              </w:rPr>
            </w:pPr>
            <w:r w:rsidRPr="00880FAB">
              <w:rPr>
                <w:rFonts w:ascii="Arial" w:hAnsi="Arial" w:cs="Arial"/>
                <w:color w:val="000000"/>
                <w:sz w:val="16"/>
                <w:szCs w:val="16"/>
              </w:rPr>
              <w:t>Unchanged</w:t>
            </w:r>
          </w:p>
        </w:tc>
      </w:tr>
      <w:tr w:rsidR="00872C98" w:rsidRPr="00880FAB" w14:paraId="792A7669" w14:textId="77777777" w:rsidTr="00872C98">
        <w:trPr>
          <w:trHeight w:hRule="exact" w:val="225"/>
        </w:trPr>
        <w:tc>
          <w:tcPr>
            <w:tcW w:w="4400" w:type="pct"/>
            <w:tcBorders>
              <w:top w:val="single" w:sz="4" w:space="0" w:color="293F5B"/>
              <w:left w:val="nil"/>
              <w:bottom w:val="single" w:sz="4" w:space="0" w:color="293F5B"/>
              <w:right w:val="nil"/>
            </w:tcBorders>
            <w:shd w:val="clear" w:color="000000" w:fill="E6F2FF"/>
            <w:vAlign w:val="center"/>
            <w:hideMark/>
          </w:tcPr>
          <w:p w14:paraId="104DE342" w14:textId="485B56A8" w:rsidR="00872C98" w:rsidRPr="00880FAB" w:rsidRDefault="00872C98" w:rsidP="007E3039">
            <w:pPr>
              <w:spacing w:before="0" w:after="0" w:line="240" w:lineRule="auto"/>
              <w:rPr>
                <w:rFonts w:ascii="Arial" w:hAnsi="Arial" w:cs="Arial"/>
                <w:color w:val="000000"/>
                <w:sz w:val="16"/>
                <w:szCs w:val="16"/>
              </w:rPr>
            </w:pPr>
            <w:r w:rsidRPr="00880FAB">
              <w:rPr>
                <w:rFonts w:ascii="Arial" w:hAnsi="Arial" w:cs="Arial"/>
                <w:b/>
                <w:bCs/>
                <w:color w:val="000000"/>
                <w:sz w:val="16"/>
                <w:szCs w:val="16"/>
              </w:rPr>
              <w:t>Home Affairs</w:t>
            </w:r>
          </w:p>
        </w:tc>
        <w:tc>
          <w:tcPr>
            <w:tcW w:w="600" w:type="pct"/>
            <w:tcBorders>
              <w:top w:val="single" w:sz="4" w:space="0" w:color="293F5B"/>
              <w:left w:val="nil"/>
              <w:bottom w:val="nil"/>
              <w:right w:val="nil"/>
            </w:tcBorders>
            <w:shd w:val="clear" w:color="000000" w:fill="E6F2FF"/>
            <w:vAlign w:val="center"/>
            <w:hideMark/>
          </w:tcPr>
          <w:p w14:paraId="171419B2" w14:textId="052DEFA7"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b/>
                <w:bCs/>
                <w:color w:val="000000"/>
                <w:sz w:val="16"/>
                <w:szCs w:val="16"/>
              </w:rPr>
              <w:t>Status</w:t>
            </w:r>
          </w:p>
        </w:tc>
      </w:tr>
      <w:tr w:rsidR="00872C98" w:rsidRPr="00880FAB" w14:paraId="5445D8B2" w14:textId="77777777" w:rsidTr="00872C98">
        <w:trPr>
          <w:trHeight w:hRule="exact" w:val="225"/>
        </w:trPr>
        <w:tc>
          <w:tcPr>
            <w:tcW w:w="4400" w:type="pct"/>
            <w:tcBorders>
              <w:top w:val="nil"/>
              <w:left w:val="nil"/>
              <w:bottom w:val="single" w:sz="4" w:space="0" w:color="293F5B"/>
              <w:right w:val="nil"/>
            </w:tcBorders>
            <w:shd w:val="clear" w:color="000000" w:fill="E6F2FF"/>
            <w:vAlign w:val="center"/>
            <w:hideMark/>
          </w:tcPr>
          <w:p w14:paraId="6D0D958D" w14:textId="5DAA0D51" w:rsidR="00872C98" w:rsidRPr="00880FAB" w:rsidRDefault="00872C98" w:rsidP="007E3039">
            <w:pPr>
              <w:spacing w:before="0" w:after="0" w:line="240" w:lineRule="auto"/>
              <w:ind w:firstLineChars="200" w:firstLine="321"/>
              <w:rPr>
                <w:rFonts w:ascii="Arial" w:hAnsi="Arial" w:cs="Arial"/>
                <w:b/>
                <w:bCs/>
                <w:color w:val="000000"/>
                <w:sz w:val="16"/>
                <w:szCs w:val="16"/>
              </w:rPr>
            </w:pPr>
            <w:r w:rsidRPr="00880FAB">
              <w:rPr>
                <w:rFonts w:ascii="Arial" w:hAnsi="Arial" w:cs="Arial"/>
                <w:b/>
                <w:bCs/>
                <w:color w:val="000000"/>
                <w:sz w:val="16"/>
                <w:szCs w:val="16"/>
              </w:rPr>
              <w:t>Fiscal Risks</w:t>
            </w:r>
          </w:p>
        </w:tc>
        <w:tc>
          <w:tcPr>
            <w:tcW w:w="600" w:type="pct"/>
            <w:tcBorders>
              <w:top w:val="single" w:sz="4" w:space="0" w:color="293F5B"/>
              <w:left w:val="nil"/>
              <w:bottom w:val="nil"/>
              <w:right w:val="nil"/>
            </w:tcBorders>
            <w:shd w:val="clear" w:color="000000" w:fill="E6F2FF"/>
            <w:vAlign w:val="center"/>
            <w:hideMark/>
          </w:tcPr>
          <w:p w14:paraId="3D2F225B" w14:textId="75C4331C" w:rsidR="00872C98" w:rsidRPr="00880FAB" w:rsidRDefault="00872C98" w:rsidP="00872C98">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872C98" w:rsidRPr="00880FAB" w14:paraId="4227A2F5" w14:textId="77777777" w:rsidTr="00872C98">
        <w:trPr>
          <w:trHeight w:hRule="exact" w:val="225"/>
        </w:trPr>
        <w:tc>
          <w:tcPr>
            <w:tcW w:w="4400" w:type="pct"/>
            <w:tcBorders>
              <w:top w:val="nil"/>
              <w:left w:val="nil"/>
              <w:bottom w:val="single" w:sz="4" w:space="0" w:color="293F5B"/>
              <w:right w:val="nil"/>
            </w:tcBorders>
            <w:vAlign w:val="center"/>
            <w:hideMark/>
          </w:tcPr>
          <w:p w14:paraId="16970420" w14:textId="57F891F8" w:rsidR="00872C98" w:rsidRPr="00880FAB" w:rsidRDefault="00872C98" w:rsidP="00757B6A">
            <w:pPr>
              <w:spacing w:before="0" w:after="0" w:line="240" w:lineRule="auto"/>
              <w:ind w:firstLineChars="200" w:firstLine="320"/>
              <w:rPr>
                <w:rFonts w:ascii="Arial" w:hAnsi="Arial" w:cs="Arial"/>
                <w:b/>
                <w:bCs/>
                <w:color w:val="000000"/>
                <w:sz w:val="16"/>
                <w:szCs w:val="16"/>
              </w:rPr>
            </w:pPr>
            <w:r w:rsidRPr="00880FAB">
              <w:rPr>
                <w:rFonts w:ascii="Arial" w:hAnsi="Arial" w:cs="Arial"/>
                <w:color w:val="000000"/>
                <w:sz w:val="16"/>
                <w:szCs w:val="16"/>
              </w:rPr>
              <w:t>Regional processing arrangements</w:t>
            </w:r>
          </w:p>
        </w:tc>
        <w:tc>
          <w:tcPr>
            <w:tcW w:w="600" w:type="pct"/>
            <w:tcBorders>
              <w:top w:val="single" w:sz="4" w:space="0" w:color="293F5B"/>
              <w:left w:val="nil"/>
              <w:bottom w:val="nil"/>
              <w:right w:val="nil"/>
            </w:tcBorders>
            <w:vAlign w:val="center"/>
            <w:hideMark/>
          </w:tcPr>
          <w:p w14:paraId="3A8602D6" w14:textId="30F59C1B" w:rsidR="00872C98" w:rsidRPr="00880FAB" w:rsidRDefault="00872C98" w:rsidP="00872C98">
            <w:pPr>
              <w:spacing w:before="0" w:after="0" w:line="240" w:lineRule="auto"/>
              <w:rPr>
                <w:rFonts w:ascii="Arial" w:hAnsi="Arial" w:cs="Arial"/>
                <w:b/>
                <w:bCs/>
                <w:color w:val="000000"/>
                <w:sz w:val="16"/>
                <w:szCs w:val="16"/>
              </w:rPr>
            </w:pPr>
            <w:r w:rsidRPr="00880FAB">
              <w:rPr>
                <w:rFonts w:ascii="Arial" w:hAnsi="Arial" w:cs="Arial"/>
                <w:color w:val="000000"/>
                <w:sz w:val="16"/>
                <w:szCs w:val="16"/>
              </w:rPr>
              <w:t>Unchanged</w:t>
            </w:r>
          </w:p>
        </w:tc>
      </w:tr>
      <w:tr w:rsidR="00872C98" w:rsidRPr="00880FAB" w14:paraId="1CAFE86A" w14:textId="77777777" w:rsidTr="00872C98">
        <w:trPr>
          <w:trHeight w:hRule="exact" w:val="225"/>
        </w:trPr>
        <w:tc>
          <w:tcPr>
            <w:tcW w:w="4400" w:type="pct"/>
            <w:tcBorders>
              <w:top w:val="nil"/>
              <w:left w:val="nil"/>
              <w:bottom w:val="single" w:sz="4" w:space="0" w:color="293F5B"/>
              <w:right w:val="nil"/>
            </w:tcBorders>
            <w:vAlign w:val="center"/>
            <w:hideMark/>
          </w:tcPr>
          <w:p w14:paraId="05A37B55" w14:textId="1B8F5BE0" w:rsidR="00872C98" w:rsidRPr="00880FAB" w:rsidRDefault="00872C98" w:rsidP="00872C9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Third country reception arrangements</w:t>
            </w:r>
          </w:p>
        </w:tc>
        <w:tc>
          <w:tcPr>
            <w:tcW w:w="600" w:type="pct"/>
            <w:tcBorders>
              <w:top w:val="single" w:sz="4" w:space="0" w:color="293F5B"/>
              <w:left w:val="nil"/>
              <w:bottom w:val="nil"/>
              <w:right w:val="nil"/>
            </w:tcBorders>
            <w:vAlign w:val="center"/>
            <w:hideMark/>
          </w:tcPr>
          <w:p w14:paraId="6BBF15B0" w14:textId="3A2D48B6"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color w:val="000000"/>
                <w:sz w:val="16"/>
                <w:szCs w:val="16"/>
              </w:rPr>
              <w:t>New</w:t>
            </w:r>
          </w:p>
        </w:tc>
      </w:tr>
      <w:tr w:rsidR="00872C98" w:rsidRPr="00880FAB" w14:paraId="35146848" w14:textId="77777777" w:rsidTr="00872C98">
        <w:trPr>
          <w:trHeight w:hRule="exact" w:val="225"/>
        </w:trPr>
        <w:tc>
          <w:tcPr>
            <w:tcW w:w="4400" w:type="pct"/>
            <w:tcBorders>
              <w:top w:val="nil"/>
              <w:left w:val="nil"/>
              <w:bottom w:val="single" w:sz="4" w:space="0" w:color="293F5B"/>
              <w:right w:val="nil"/>
            </w:tcBorders>
            <w:shd w:val="clear" w:color="000000" w:fill="E6F2FF"/>
            <w:vAlign w:val="center"/>
            <w:hideMark/>
          </w:tcPr>
          <w:p w14:paraId="2373FE81" w14:textId="3DCCF970" w:rsidR="00872C98" w:rsidRPr="00880FAB" w:rsidRDefault="00872C98" w:rsidP="00872C98">
            <w:pPr>
              <w:spacing w:before="0" w:after="0" w:line="240" w:lineRule="auto"/>
              <w:ind w:firstLineChars="200" w:firstLine="321"/>
              <w:rPr>
                <w:rFonts w:ascii="Arial" w:hAnsi="Arial" w:cs="Arial"/>
                <w:color w:val="000000"/>
                <w:sz w:val="16"/>
                <w:szCs w:val="16"/>
              </w:rPr>
            </w:pPr>
            <w:r w:rsidRPr="00880FAB">
              <w:rPr>
                <w:rFonts w:ascii="Arial" w:hAnsi="Arial" w:cs="Arial"/>
                <w:b/>
                <w:bCs/>
                <w:color w:val="000000"/>
                <w:sz w:val="16"/>
                <w:szCs w:val="16"/>
              </w:rPr>
              <w:t>Significant but remote contingencies</w:t>
            </w:r>
          </w:p>
        </w:tc>
        <w:tc>
          <w:tcPr>
            <w:tcW w:w="600" w:type="pct"/>
            <w:tcBorders>
              <w:top w:val="single" w:sz="4" w:space="0" w:color="293F5B"/>
              <w:left w:val="nil"/>
              <w:bottom w:val="single" w:sz="4" w:space="0" w:color="293F5B"/>
              <w:right w:val="nil"/>
            </w:tcBorders>
            <w:shd w:val="clear" w:color="000000" w:fill="E6F2FF"/>
            <w:vAlign w:val="center"/>
            <w:hideMark/>
          </w:tcPr>
          <w:p w14:paraId="33F76618" w14:textId="7DC64FEA" w:rsidR="00872C98" w:rsidRPr="00880FAB" w:rsidRDefault="00872C98" w:rsidP="00872C98">
            <w:pPr>
              <w:spacing w:before="0" w:after="0" w:line="240" w:lineRule="auto"/>
              <w:rPr>
                <w:rFonts w:ascii="Arial" w:hAnsi="Arial" w:cs="Arial"/>
                <w:color w:val="000000"/>
                <w:sz w:val="16"/>
                <w:szCs w:val="16"/>
              </w:rPr>
            </w:pPr>
            <w:r w:rsidRPr="00880FAB">
              <w:rPr>
                <w:rFonts w:ascii="Arial" w:hAnsi="Arial" w:cs="Arial"/>
                <w:b/>
                <w:bCs/>
                <w:color w:val="000000"/>
                <w:sz w:val="16"/>
                <w:szCs w:val="16"/>
              </w:rPr>
              <w:t> </w:t>
            </w:r>
          </w:p>
        </w:tc>
      </w:tr>
      <w:tr w:rsidR="00872C98" w:rsidRPr="00880FAB" w14:paraId="614AF4C5" w14:textId="77777777" w:rsidTr="00872C98">
        <w:trPr>
          <w:trHeight w:hRule="exact" w:val="225"/>
        </w:trPr>
        <w:tc>
          <w:tcPr>
            <w:tcW w:w="4400" w:type="pct"/>
            <w:tcBorders>
              <w:top w:val="single" w:sz="4" w:space="0" w:color="293F5B"/>
              <w:left w:val="nil"/>
              <w:bottom w:val="single" w:sz="4" w:space="0" w:color="293F5B"/>
              <w:right w:val="nil"/>
            </w:tcBorders>
            <w:vAlign w:val="center"/>
            <w:hideMark/>
          </w:tcPr>
          <w:p w14:paraId="6AF16985" w14:textId="086FE216" w:rsidR="00872C98" w:rsidRPr="00880FAB" w:rsidRDefault="00872C98" w:rsidP="00757B6A">
            <w:pPr>
              <w:spacing w:before="0" w:after="0" w:line="240" w:lineRule="auto"/>
              <w:ind w:firstLineChars="200" w:firstLine="320"/>
              <w:rPr>
                <w:rFonts w:ascii="Arial" w:hAnsi="Arial" w:cs="Arial"/>
                <w:b/>
                <w:bCs/>
                <w:color w:val="000000"/>
                <w:sz w:val="16"/>
                <w:szCs w:val="16"/>
              </w:rPr>
            </w:pPr>
            <w:r w:rsidRPr="00880FAB">
              <w:rPr>
                <w:rFonts w:ascii="Arial" w:hAnsi="Arial" w:cs="Arial"/>
                <w:color w:val="000000"/>
                <w:sz w:val="16"/>
                <w:szCs w:val="16"/>
              </w:rPr>
              <w:t>Indemnities relating to the Air Security Officer Capability</w:t>
            </w:r>
          </w:p>
        </w:tc>
        <w:tc>
          <w:tcPr>
            <w:tcW w:w="600" w:type="pct"/>
            <w:tcBorders>
              <w:top w:val="single" w:sz="4" w:space="0" w:color="293F5B"/>
              <w:left w:val="nil"/>
              <w:bottom w:val="single" w:sz="4" w:space="0" w:color="293F5B"/>
              <w:right w:val="nil"/>
            </w:tcBorders>
            <w:vAlign w:val="center"/>
            <w:hideMark/>
          </w:tcPr>
          <w:p w14:paraId="4A6A0B93" w14:textId="689C0210" w:rsidR="00872C98" w:rsidRPr="00880FAB" w:rsidRDefault="00872C98" w:rsidP="00872C98">
            <w:pPr>
              <w:spacing w:before="0" w:after="0" w:line="240" w:lineRule="auto"/>
              <w:rPr>
                <w:rFonts w:ascii="Arial" w:hAnsi="Arial" w:cs="Arial"/>
                <w:b/>
                <w:bCs/>
                <w:color w:val="000000"/>
                <w:sz w:val="16"/>
                <w:szCs w:val="16"/>
              </w:rPr>
            </w:pPr>
            <w:r w:rsidRPr="00880FAB">
              <w:rPr>
                <w:rFonts w:ascii="Arial" w:hAnsi="Arial" w:cs="Arial"/>
                <w:color w:val="000000"/>
                <w:sz w:val="16"/>
                <w:szCs w:val="16"/>
              </w:rPr>
              <w:t>Unchanged</w:t>
            </w:r>
          </w:p>
        </w:tc>
      </w:tr>
    </w:tbl>
    <w:p w14:paraId="0DE19A78" w14:textId="4AEF3596" w:rsidR="004C38A7" w:rsidRDefault="004C38A7" w:rsidP="002F42E2">
      <w:pPr>
        <w:pStyle w:val="SingleParagraph"/>
      </w:pPr>
    </w:p>
    <w:p w14:paraId="55E7A870" w14:textId="77777777" w:rsidR="004C38A7" w:rsidRDefault="004C38A7">
      <w:pPr>
        <w:spacing w:before="0" w:after="160" w:line="259" w:lineRule="auto"/>
        <w:rPr>
          <w:rFonts w:ascii="Arial Bold" w:hAnsi="Arial Bold"/>
          <w:b/>
          <w:sz w:val="20"/>
        </w:rPr>
      </w:pPr>
      <w:r>
        <w:br w:type="page"/>
      </w:r>
    </w:p>
    <w:p w14:paraId="5601C333" w14:textId="77777777" w:rsidR="00264899" w:rsidRPr="00D12C6F" w:rsidRDefault="00D5065E" w:rsidP="00081CA0">
      <w:pPr>
        <w:pStyle w:val="TableHeadingcontinued"/>
      </w:pPr>
      <w:r w:rsidRPr="00D12C6F">
        <w:rPr>
          <w:rFonts w:eastAsia="Arial"/>
        </w:rPr>
        <w:lastRenderedPageBreak/>
        <w:t>Table 9.2: Summary of fiscal risks, contingent liabilities and contingent assets in the Statement of Risks</w:t>
      </w:r>
      <w:r>
        <w:rPr>
          <w:rFonts w:eastAsia="Arial"/>
        </w:rPr>
        <w:t xml:space="preserve"> (continued)</w:t>
      </w:r>
    </w:p>
    <w:tbl>
      <w:tblPr>
        <w:tblW w:w="7813" w:type="dxa"/>
        <w:tblCellMar>
          <w:left w:w="0" w:type="dxa"/>
          <w:right w:w="28" w:type="dxa"/>
        </w:tblCellMar>
        <w:tblLook w:val="04A0" w:firstRow="1" w:lastRow="0" w:firstColumn="1" w:lastColumn="0" w:noHBand="0" w:noVBand="1"/>
      </w:tblPr>
      <w:tblGrid>
        <w:gridCol w:w="6932"/>
        <w:gridCol w:w="881"/>
      </w:tblGrid>
      <w:tr w:rsidR="001206E8" w:rsidRPr="00880FAB" w14:paraId="62B36CE1" w14:textId="77777777" w:rsidTr="00DB1046">
        <w:trPr>
          <w:trHeight w:val="247"/>
        </w:trPr>
        <w:tc>
          <w:tcPr>
            <w:tcW w:w="0" w:type="auto"/>
            <w:tcBorders>
              <w:top w:val="single" w:sz="4" w:space="0" w:color="293F5B"/>
              <w:left w:val="nil"/>
              <w:bottom w:val="single" w:sz="4" w:space="0" w:color="293F5B"/>
              <w:right w:val="nil"/>
            </w:tcBorders>
            <w:shd w:val="clear" w:color="000000" w:fill="E6F2FF"/>
            <w:vAlign w:val="center"/>
            <w:hideMark/>
          </w:tcPr>
          <w:p w14:paraId="1CAA548B"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Home Affairs (continued)</w:t>
            </w:r>
          </w:p>
        </w:tc>
        <w:tc>
          <w:tcPr>
            <w:tcW w:w="0" w:type="auto"/>
            <w:tcBorders>
              <w:top w:val="single" w:sz="4" w:space="0" w:color="293F5B"/>
              <w:left w:val="nil"/>
              <w:bottom w:val="nil"/>
              <w:right w:val="nil"/>
            </w:tcBorders>
            <w:shd w:val="clear" w:color="000000" w:fill="E6F2FF"/>
            <w:vAlign w:val="center"/>
            <w:hideMark/>
          </w:tcPr>
          <w:p w14:paraId="4D7A2A3E"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1206E8" w:rsidRPr="00880FAB" w14:paraId="453D250F" w14:textId="77777777" w:rsidTr="00DB1046">
        <w:trPr>
          <w:trHeight w:hRule="exact" w:val="247"/>
        </w:trPr>
        <w:tc>
          <w:tcPr>
            <w:tcW w:w="0" w:type="auto"/>
            <w:tcBorders>
              <w:top w:val="nil"/>
              <w:left w:val="nil"/>
              <w:bottom w:val="single" w:sz="4" w:space="0" w:color="293F5B"/>
              <w:right w:val="nil"/>
            </w:tcBorders>
            <w:shd w:val="clear" w:color="000000" w:fill="E6F2FF"/>
            <w:vAlign w:val="center"/>
            <w:hideMark/>
          </w:tcPr>
          <w:p w14:paraId="1864E435" w14:textId="77777777" w:rsidR="00264899" w:rsidRPr="00880FAB" w:rsidRDefault="00264899" w:rsidP="00264899">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unquantifiable</w:t>
            </w:r>
          </w:p>
        </w:tc>
        <w:tc>
          <w:tcPr>
            <w:tcW w:w="0" w:type="auto"/>
            <w:tcBorders>
              <w:top w:val="single" w:sz="4" w:space="0" w:color="293F5B"/>
              <w:left w:val="nil"/>
              <w:bottom w:val="nil"/>
              <w:right w:val="nil"/>
            </w:tcBorders>
            <w:shd w:val="clear" w:color="000000" w:fill="E6F2FF"/>
            <w:vAlign w:val="center"/>
            <w:hideMark/>
          </w:tcPr>
          <w:p w14:paraId="71939161"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264899" w:rsidRPr="00880FAB" w14:paraId="1F284EA9" w14:textId="77777777" w:rsidTr="00DB1046">
        <w:trPr>
          <w:trHeight w:hRule="exact" w:val="247"/>
        </w:trPr>
        <w:tc>
          <w:tcPr>
            <w:tcW w:w="0" w:type="auto"/>
            <w:tcBorders>
              <w:top w:val="nil"/>
              <w:left w:val="nil"/>
              <w:bottom w:val="single" w:sz="4" w:space="0" w:color="293F5B"/>
              <w:right w:val="nil"/>
            </w:tcBorders>
            <w:vAlign w:val="center"/>
            <w:hideMark/>
          </w:tcPr>
          <w:p w14:paraId="55C37CCD"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Australian victims of terrorism overseas payment</w:t>
            </w:r>
          </w:p>
        </w:tc>
        <w:tc>
          <w:tcPr>
            <w:tcW w:w="0" w:type="auto"/>
            <w:tcBorders>
              <w:top w:val="single" w:sz="4" w:space="0" w:color="293F5B"/>
              <w:left w:val="nil"/>
              <w:bottom w:val="nil"/>
              <w:right w:val="nil"/>
            </w:tcBorders>
            <w:vAlign w:val="center"/>
            <w:hideMark/>
          </w:tcPr>
          <w:p w14:paraId="4797A1D5"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264899" w:rsidRPr="00880FAB" w14:paraId="3D56485B" w14:textId="77777777" w:rsidTr="00DB1046">
        <w:trPr>
          <w:trHeight w:hRule="exact" w:val="247"/>
        </w:trPr>
        <w:tc>
          <w:tcPr>
            <w:tcW w:w="0" w:type="auto"/>
            <w:tcBorders>
              <w:top w:val="nil"/>
              <w:left w:val="nil"/>
              <w:bottom w:val="single" w:sz="4" w:space="0" w:color="293F5B"/>
              <w:right w:val="nil"/>
            </w:tcBorders>
            <w:vAlign w:val="center"/>
            <w:hideMark/>
          </w:tcPr>
          <w:p w14:paraId="685E5A8C"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Claims against the Department of Home Affairs</w:t>
            </w:r>
          </w:p>
        </w:tc>
        <w:tc>
          <w:tcPr>
            <w:tcW w:w="0" w:type="auto"/>
            <w:tcBorders>
              <w:top w:val="single" w:sz="4" w:space="0" w:color="293F5B"/>
              <w:left w:val="nil"/>
              <w:bottom w:val="nil"/>
              <w:right w:val="nil"/>
            </w:tcBorders>
            <w:vAlign w:val="center"/>
            <w:hideMark/>
          </w:tcPr>
          <w:p w14:paraId="06C48CB2"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New</w:t>
            </w:r>
          </w:p>
        </w:tc>
      </w:tr>
      <w:tr w:rsidR="00264899" w:rsidRPr="00880FAB" w14:paraId="431B995B" w14:textId="77777777" w:rsidTr="004C38A7">
        <w:trPr>
          <w:trHeight w:hRule="exact" w:val="397"/>
        </w:trPr>
        <w:tc>
          <w:tcPr>
            <w:tcW w:w="0" w:type="auto"/>
            <w:tcBorders>
              <w:top w:val="nil"/>
              <w:left w:val="nil"/>
              <w:bottom w:val="single" w:sz="4" w:space="0" w:color="293F5B"/>
              <w:right w:val="nil"/>
            </w:tcBorders>
            <w:vAlign w:val="center"/>
            <w:hideMark/>
          </w:tcPr>
          <w:p w14:paraId="75924461" w14:textId="77777777" w:rsidR="003606AB"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Commonwealth Community Safety Order Scheme – Federation Funding Agreement – </w:t>
            </w:r>
          </w:p>
          <w:p w14:paraId="32228DAC" w14:textId="7714D73D"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indemnity</w:t>
            </w:r>
          </w:p>
        </w:tc>
        <w:tc>
          <w:tcPr>
            <w:tcW w:w="0" w:type="auto"/>
            <w:tcBorders>
              <w:top w:val="single" w:sz="4" w:space="0" w:color="293F5B"/>
              <w:left w:val="nil"/>
              <w:bottom w:val="nil"/>
              <w:right w:val="nil"/>
            </w:tcBorders>
            <w:vAlign w:val="center"/>
            <w:hideMark/>
          </w:tcPr>
          <w:p w14:paraId="72A1C551"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264899" w:rsidRPr="00880FAB" w14:paraId="754CEAD3" w14:textId="77777777" w:rsidTr="00DB1046">
        <w:trPr>
          <w:trHeight w:hRule="exact" w:val="247"/>
        </w:trPr>
        <w:tc>
          <w:tcPr>
            <w:tcW w:w="0" w:type="auto"/>
            <w:tcBorders>
              <w:top w:val="nil"/>
              <w:left w:val="nil"/>
              <w:bottom w:val="single" w:sz="4" w:space="0" w:color="293F5B"/>
              <w:right w:val="nil"/>
            </w:tcBorders>
            <w:vAlign w:val="center"/>
            <w:hideMark/>
          </w:tcPr>
          <w:p w14:paraId="14D70550"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Disaster Recovery</w:t>
            </w:r>
          </w:p>
        </w:tc>
        <w:tc>
          <w:tcPr>
            <w:tcW w:w="0" w:type="auto"/>
            <w:tcBorders>
              <w:top w:val="single" w:sz="4" w:space="0" w:color="293F5B"/>
              <w:left w:val="nil"/>
              <w:bottom w:val="single" w:sz="4" w:space="0" w:color="293F5B"/>
              <w:right w:val="nil"/>
            </w:tcBorders>
            <w:vAlign w:val="center"/>
            <w:hideMark/>
          </w:tcPr>
          <w:p w14:paraId="17F38BF5"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1206E8" w:rsidRPr="00880FAB" w14:paraId="26D486A7" w14:textId="77777777" w:rsidTr="00DB1046">
        <w:trPr>
          <w:trHeight w:hRule="exact" w:val="247"/>
        </w:trPr>
        <w:tc>
          <w:tcPr>
            <w:tcW w:w="0" w:type="auto"/>
            <w:tcBorders>
              <w:top w:val="nil"/>
              <w:left w:val="nil"/>
              <w:bottom w:val="single" w:sz="4" w:space="0" w:color="293F5B"/>
              <w:right w:val="nil"/>
            </w:tcBorders>
            <w:shd w:val="clear" w:color="000000" w:fill="E6F2FF"/>
            <w:vAlign w:val="center"/>
            <w:hideMark/>
          </w:tcPr>
          <w:p w14:paraId="22D9A308" w14:textId="7A9C8928" w:rsidR="00264899" w:rsidRPr="00880FAB" w:rsidRDefault="00264899" w:rsidP="00264899">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unquantifiable</w:t>
            </w:r>
          </w:p>
        </w:tc>
        <w:tc>
          <w:tcPr>
            <w:tcW w:w="0" w:type="auto"/>
            <w:tcBorders>
              <w:top w:val="nil"/>
              <w:left w:val="nil"/>
              <w:bottom w:val="nil"/>
              <w:right w:val="nil"/>
            </w:tcBorders>
            <w:shd w:val="clear" w:color="000000" w:fill="E6F2FF"/>
            <w:vAlign w:val="center"/>
            <w:hideMark/>
          </w:tcPr>
          <w:p w14:paraId="12501F7C"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264899" w:rsidRPr="00880FAB" w14:paraId="1666480A" w14:textId="77777777" w:rsidTr="00DB1046">
        <w:trPr>
          <w:trHeight w:hRule="exact" w:val="428"/>
        </w:trPr>
        <w:tc>
          <w:tcPr>
            <w:tcW w:w="0" w:type="auto"/>
            <w:tcBorders>
              <w:top w:val="nil"/>
              <w:left w:val="nil"/>
              <w:bottom w:val="single" w:sz="4" w:space="0" w:color="293F5B"/>
              <w:right w:val="nil"/>
            </w:tcBorders>
            <w:vAlign w:val="center"/>
            <w:hideMark/>
          </w:tcPr>
          <w:p w14:paraId="102CD14B" w14:textId="77777777" w:rsidR="003606AB" w:rsidRPr="00880FAB" w:rsidRDefault="00264899" w:rsidP="003606AB">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Facilities, garrison, transferee arrivals and reception, and health services in the </w:t>
            </w:r>
          </w:p>
          <w:p w14:paraId="423E8DC2" w14:textId="5A29C9BA" w:rsidR="00264899" w:rsidRPr="00880FAB" w:rsidRDefault="00264899" w:rsidP="003606AB">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Republic</w:t>
            </w:r>
            <w:r w:rsidR="003606AB" w:rsidRPr="00880FAB">
              <w:rPr>
                <w:rFonts w:ascii="Arial" w:hAnsi="Arial" w:cs="Arial"/>
                <w:color w:val="000000"/>
                <w:sz w:val="16"/>
                <w:szCs w:val="16"/>
              </w:rPr>
              <w:t> </w:t>
            </w:r>
            <w:r w:rsidRPr="00880FAB">
              <w:rPr>
                <w:rFonts w:ascii="Arial" w:hAnsi="Arial" w:cs="Arial"/>
                <w:color w:val="000000"/>
                <w:sz w:val="16"/>
                <w:szCs w:val="16"/>
              </w:rPr>
              <w:t>of</w:t>
            </w:r>
            <w:r w:rsidR="003606AB" w:rsidRPr="00880FAB">
              <w:rPr>
                <w:rFonts w:ascii="Arial" w:hAnsi="Arial" w:cs="Arial"/>
                <w:color w:val="000000"/>
                <w:sz w:val="16"/>
                <w:szCs w:val="16"/>
              </w:rPr>
              <w:t> </w:t>
            </w:r>
            <w:r w:rsidRPr="00880FAB">
              <w:rPr>
                <w:rFonts w:ascii="Arial" w:hAnsi="Arial" w:cs="Arial"/>
                <w:color w:val="000000"/>
                <w:sz w:val="16"/>
                <w:szCs w:val="16"/>
              </w:rPr>
              <w:t>Nauru</w:t>
            </w:r>
          </w:p>
        </w:tc>
        <w:tc>
          <w:tcPr>
            <w:tcW w:w="0" w:type="auto"/>
            <w:tcBorders>
              <w:top w:val="single" w:sz="4" w:space="0" w:color="293F5B"/>
              <w:left w:val="nil"/>
              <w:bottom w:val="nil"/>
              <w:right w:val="nil"/>
            </w:tcBorders>
            <w:vAlign w:val="center"/>
            <w:hideMark/>
          </w:tcPr>
          <w:p w14:paraId="74D12430"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264899" w:rsidRPr="00880FAB" w14:paraId="1A912856" w14:textId="77777777" w:rsidTr="00DB1046">
        <w:trPr>
          <w:trHeight w:hRule="exact" w:val="247"/>
        </w:trPr>
        <w:tc>
          <w:tcPr>
            <w:tcW w:w="0" w:type="auto"/>
            <w:tcBorders>
              <w:top w:val="nil"/>
              <w:left w:val="nil"/>
              <w:bottom w:val="single" w:sz="4" w:space="0" w:color="293F5B"/>
              <w:right w:val="nil"/>
            </w:tcBorders>
            <w:vAlign w:val="center"/>
            <w:hideMark/>
          </w:tcPr>
          <w:p w14:paraId="6CE6722F"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Immigration detention services by state and territory governments</w:t>
            </w:r>
          </w:p>
        </w:tc>
        <w:tc>
          <w:tcPr>
            <w:tcW w:w="0" w:type="auto"/>
            <w:tcBorders>
              <w:top w:val="single" w:sz="4" w:space="0" w:color="293F5B"/>
              <w:left w:val="nil"/>
              <w:bottom w:val="nil"/>
              <w:right w:val="nil"/>
            </w:tcBorders>
            <w:vAlign w:val="center"/>
            <w:hideMark/>
          </w:tcPr>
          <w:p w14:paraId="5FB76B02"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264899" w:rsidRPr="00880FAB" w14:paraId="042FFD85" w14:textId="77777777" w:rsidTr="00DB1046">
        <w:trPr>
          <w:trHeight w:hRule="exact" w:val="247"/>
        </w:trPr>
        <w:tc>
          <w:tcPr>
            <w:tcW w:w="0" w:type="auto"/>
            <w:tcBorders>
              <w:top w:val="nil"/>
              <w:left w:val="nil"/>
              <w:bottom w:val="single" w:sz="4" w:space="0" w:color="293F5B"/>
              <w:right w:val="nil"/>
            </w:tcBorders>
            <w:vAlign w:val="center"/>
            <w:hideMark/>
          </w:tcPr>
          <w:p w14:paraId="4DC52157"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Immigration detention services contract (Secure Journeys)</w:t>
            </w:r>
          </w:p>
        </w:tc>
        <w:tc>
          <w:tcPr>
            <w:tcW w:w="0" w:type="auto"/>
            <w:tcBorders>
              <w:top w:val="single" w:sz="4" w:space="0" w:color="293F5B"/>
              <w:left w:val="nil"/>
              <w:bottom w:val="nil"/>
              <w:right w:val="nil"/>
            </w:tcBorders>
            <w:vAlign w:val="center"/>
            <w:hideMark/>
          </w:tcPr>
          <w:p w14:paraId="1E9CE5FE"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1206E8" w:rsidRPr="00880FAB" w14:paraId="1E73AB14" w14:textId="77777777" w:rsidTr="00DB1046">
        <w:trPr>
          <w:trHeight w:hRule="exact" w:val="280"/>
        </w:trPr>
        <w:tc>
          <w:tcPr>
            <w:tcW w:w="0" w:type="auto"/>
            <w:tcBorders>
              <w:top w:val="nil"/>
              <w:left w:val="nil"/>
              <w:bottom w:val="single" w:sz="4" w:space="0" w:color="293F5B"/>
              <w:right w:val="nil"/>
            </w:tcBorders>
            <w:shd w:val="clear" w:color="000000" w:fill="E6F2FF"/>
            <w:vAlign w:val="center"/>
            <w:hideMark/>
          </w:tcPr>
          <w:p w14:paraId="401D8C4B" w14:textId="77777777" w:rsidR="00264899" w:rsidRPr="00880FAB" w:rsidRDefault="00264899" w:rsidP="00264899">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assets – unquantifiable</w:t>
            </w:r>
          </w:p>
        </w:tc>
        <w:tc>
          <w:tcPr>
            <w:tcW w:w="0" w:type="auto"/>
            <w:tcBorders>
              <w:top w:val="single" w:sz="4" w:space="0" w:color="293F5B"/>
              <w:left w:val="nil"/>
              <w:bottom w:val="nil"/>
              <w:right w:val="nil"/>
            </w:tcBorders>
            <w:shd w:val="clear" w:color="000000" w:fill="E6F2FF"/>
            <w:vAlign w:val="center"/>
            <w:hideMark/>
          </w:tcPr>
          <w:p w14:paraId="489BDCD5"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264899" w:rsidRPr="00880FAB" w14:paraId="7399C110" w14:textId="77777777" w:rsidTr="004C38A7">
        <w:trPr>
          <w:trHeight w:hRule="exact" w:val="397"/>
        </w:trPr>
        <w:tc>
          <w:tcPr>
            <w:tcW w:w="0" w:type="auto"/>
            <w:tcBorders>
              <w:top w:val="nil"/>
              <w:left w:val="nil"/>
              <w:bottom w:val="single" w:sz="4" w:space="0" w:color="293F5B"/>
              <w:right w:val="nil"/>
            </w:tcBorders>
            <w:vAlign w:val="center"/>
            <w:hideMark/>
          </w:tcPr>
          <w:p w14:paraId="4476A4AB" w14:textId="77777777" w:rsidR="00DB1046" w:rsidRPr="00880FAB" w:rsidRDefault="00264899" w:rsidP="00264899">
            <w:pPr>
              <w:spacing w:before="0" w:after="0" w:line="240" w:lineRule="auto"/>
              <w:ind w:firstLineChars="200" w:firstLine="320"/>
              <w:rPr>
                <w:rFonts w:ascii="Arial" w:hAnsi="Arial" w:cs="Arial"/>
                <w:i/>
                <w:iCs/>
                <w:color w:val="000000"/>
                <w:sz w:val="16"/>
                <w:szCs w:val="16"/>
              </w:rPr>
            </w:pPr>
            <w:r w:rsidRPr="00880FAB">
              <w:rPr>
                <w:rFonts w:ascii="Arial" w:hAnsi="Arial" w:cs="Arial"/>
                <w:color w:val="000000"/>
                <w:sz w:val="16"/>
                <w:szCs w:val="16"/>
              </w:rPr>
              <w:t>Civil penalty relating to the </w:t>
            </w:r>
            <w:r w:rsidRPr="00880FAB">
              <w:rPr>
                <w:rFonts w:ascii="Arial" w:hAnsi="Arial" w:cs="Arial"/>
                <w:i/>
                <w:iCs/>
                <w:color w:val="000000"/>
                <w:sz w:val="16"/>
                <w:szCs w:val="16"/>
              </w:rPr>
              <w:t>Anti</w:t>
            </w:r>
            <w:r w:rsidRPr="00880FAB">
              <w:rPr>
                <w:rFonts w:ascii="Arial" w:hAnsi="Arial" w:cs="Arial"/>
                <w:i/>
                <w:iCs/>
                <w:color w:val="000000"/>
                <w:sz w:val="16"/>
                <w:szCs w:val="16"/>
              </w:rPr>
              <w:noBreakHyphen/>
              <w:t>Money Laundering and Counter</w:t>
            </w:r>
            <w:r w:rsidRPr="00880FAB">
              <w:rPr>
                <w:rFonts w:ascii="Arial" w:hAnsi="Arial" w:cs="Arial"/>
                <w:i/>
                <w:iCs/>
                <w:color w:val="000000"/>
                <w:sz w:val="16"/>
                <w:szCs w:val="16"/>
              </w:rPr>
              <w:noBreakHyphen/>
              <w:t xml:space="preserve">Terrorism Financing </w:t>
            </w:r>
          </w:p>
          <w:p w14:paraId="5676CD9F" w14:textId="70E2B640"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i/>
                <w:iCs/>
                <w:color w:val="000000"/>
                <w:sz w:val="16"/>
                <w:szCs w:val="16"/>
              </w:rPr>
              <w:t>Act 2006</w:t>
            </w:r>
            <w:r w:rsidRPr="00880FAB">
              <w:rPr>
                <w:rFonts w:ascii="Arial" w:hAnsi="Arial" w:cs="Arial"/>
                <w:color w:val="000000"/>
                <w:sz w:val="16"/>
                <w:szCs w:val="16"/>
              </w:rPr>
              <w:t> – The Star Pty Limited and The Star Entertainment QLD Limited</w:t>
            </w:r>
          </w:p>
        </w:tc>
        <w:tc>
          <w:tcPr>
            <w:tcW w:w="0" w:type="auto"/>
            <w:tcBorders>
              <w:top w:val="single" w:sz="4" w:space="0" w:color="293F5B"/>
              <w:left w:val="nil"/>
              <w:bottom w:val="nil"/>
              <w:right w:val="nil"/>
            </w:tcBorders>
            <w:vAlign w:val="center"/>
            <w:hideMark/>
          </w:tcPr>
          <w:p w14:paraId="26BB1ECF"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264899" w:rsidRPr="00880FAB" w14:paraId="6A9229FE" w14:textId="77777777" w:rsidTr="004C38A7">
        <w:trPr>
          <w:trHeight w:hRule="exact" w:val="397"/>
        </w:trPr>
        <w:tc>
          <w:tcPr>
            <w:tcW w:w="0" w:type="auto"/>
            <w:tcBorders>
              <w:top w:val="nil"/>
              <w:left w:val="nil"/>
              <w:bottom w:val="single" w:sz="4" w:space="0" w:color="293F5B"/>
              <w:right w:val="nil"/>
            </w:tcBorders>
            <w:vAlign w:val="center"/>
            <w:hideMark/>
          </w:tcPr>
          <w:p w14:paraId="65F1954D" w14:textId="77777777" w:rsidR="00DB1046" w:rsidRPr="00880FAB" w:rsidRDefault="00264899" w:rsidP="00264899">
            <w:pPr>
              <w:spacing w:before="0" w:after="0" w:line="240" w:lineRule="auto"/>
              <w:ind w:firstLineChars="200" w:firstLine="320"/>
              <w:rPr>
                <w:rFonts w:ascii="Arial" w:hAnsi="Arial" w:cs="Arial"/>
                <w:i/>
                <w:iCs/>
                <w:color w:val="000000"/>
                <w:sz w:val="16"/>
                <w:szCs w:val="16"/>
              </w:rPr>
            </w:pPr>
            <w:r w:rsidRPr="00880FAB">
              <w:rPr>
                <w:rFonts w:ascii="Arial" w:hAnsi="Arial" w:cs="Arial"/>
                <w:color w:val="000000"/>
                <w:sz w:val="16"/>
                <w:szCs w:val="16"/>
              </w:rPr>
              <w:t>Civil penalty relating to the </w:t>
            </w:r>
            <w:r w:rsidRPr="00880FAB">
              <w:rPr>
                <w:rFonts w:ascii="Arial" w:hAnsi="Arial" w:cs="Arial"/>
                <w:i/>
                <w:iCs/>
                <w:color w:val="000000"/>
                <w:sz w:val="16"/>
                <w:szCs w:val="16"/>
              </w:rPr>
              <w:t>Anti</w:t>
            </w:r>
            <w:r w:rsidRPr="00880FAB">
              <w:rPr>
                <w:rFonts w:ascii="Arial" w:hAnsi="Arial" w:cs="Arial"/>
                <w:i/>
                <w:iCs/>
                <w:color w:val="000000"/>
                <w:sz w:val="16"/>
                <w:szCs w:val="16"/>
              </w:rPr>
              <w:noBreakHyphen/>
              <w:t>Money Laundering and Counter</w:t>
            </w:r>
            <w:r w:rsidRPr="00880FAB">
              <w:rPr>
                <w:rFonts w:ascii="Arial" w:hAnsi="Arial" w:cs="Arial"/>
                <w:i/>
                <w:iCs/>
                <w:color w:val="000000"/>
                <w:sz w:val="16"/>
                <w:szCs w:val="16"/>
              </w:rPr>
              <w:noBreakHyphen/>
              <w:t xml:space="preserve">Terrorism Financing </w:t>
            </w:r>
          </w:p>
          <w:p w14:paraId="6C908928" w14:textId="5CC75415"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i/>
                <w:iCs/>
                <w:color w:val="000000"/>
                <w:sz w:val="16"/>
                <w:szCs w:val="16"/>
              </w:rPr>
              <w:t>Act 2006</w:t>
            </w:r>
            <w:r w:rsidRPr="00880FAB">
              <w:rPr>
                <w:rFonts w:ascii="Arial" w:hAnsi="Arial" w:cs="Arial"/>
                <w:color w:val="000000"/>
                <w:sz w:val="16"/>
                <w:szCs w:val="16"/>
              </w:rPr>
              <w:t xml:space="preserve"> – </w:t>
            </w:r>
            <w:proofErr w:type="spellStart"/>
            <w:r w:rsidRPr="00880FAB">
              <w:rPr>
                <w:rFonts w:ascii="Arial" w:hAnsi="Arial" w:cs="Arial"/>
                <w:color w:val="000000"/>
                <w:sz w:val="16"/>
                <w:szCs w:val="16"/>
              </w:rPr>
              <w:t>Entain</w:t>
            </w:r>
            <w:proofErr w:type="spellEnd"/>
            <w:r w:rsidRPr="00880FAB">
              <w:rPr>
                <w:rFonts w:ascii="Arial" w:hAnsi="Arial" w:cs="Arial"/>
                <w:color w:val="000000"/>
                <w:sz w:val="16"/>
                <w:szCs w:val="16"/>
              </w:rPr>
              <w:t xml:space="preserve"> Group Pty Ltd</w:t>
            </w:r>
          </w:p>
        </w:tc>
        <w:tc>
          <w:tcPr>
            <w:tcW w:w="0" w:type="auto"/>
            <w:tcBorders>
              <w:top w:val="single" w:sz="4" w:space="0" w:color="293F5B"/>
              <w:left w:val="nil"/>
              <w:bottom w:val="nil"/>
              <w:right w:val="nil"/>
            </w:tcBorders>
            <w:vAlign w:val="center"/>
            <w:hideMark/>
          </w:tcPr>
          <w:p w14:paraId="7FEAB797"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1206E8" w:rsidRPr="00880FAB" w14:paraId="39092F80" w14:textId="77777777" w:rsidTr="00DB1046">
        <w:trPr>
          <w:trHeight w:hRule="exact" w:val="280"/>
        </w:trPr>
        <w:tc>
          <w:tcPr>
            <w:tcW w:w="0" w:type="auto"/>
            <w:tcBorders>
              <w:top w:val="nil"/>
              <w:left w:val="nil"/>
              <w:bottom w:val="single" w:sz="4" w:space="0" w:color="293F5B"/>
              <w:right w:val="nil"/>
            </w:tcBorders>
            <w:shd w:val="clear" w:color="000000" w:fill="E6F2FF"/>
            <w:vAlign w:val="center"/>
            <w:hideMark/>
          </w:tcPr>
          <w:p w14:paraId="0461E525"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Industry, Science and Resources</w:t>
            </w:r>
          </w:p>
        </w:tc>
        <w:tc>
          <w:tcPr>
            <w:tcW w:w="0" w:type="auto"/>
            <w:tcBorders>
              <w:top w:val="single" w:sz="4" w:space="0" w:color="293F5B"/>
              <w:left w:val="nil"/>
              <w:bottom w:val="nil"/>
              <w:right w:val="nil"/>
            </w:tcBorders>
            <w:shd w:val="clear" w:color="000000" w:fill="E6F2FF"/>
            <w:vAlign w:val="center"/>
            <w:hideMark/>
          </w:tcPr>
          <w:p w14:paraId="3AA07730"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1206E8" w:rsidRPr="00880FAB" w14:paraId="0828D559" w14:textId="77777777" w:rsidTr="00DB1046">
        <w:trPr>
          <w:trHeight w:hRule="exact" w:val="247"/>
        </w:trPr>
        <w:tc>
          <w:tcPr>
            <w:tcW w:w="0" w:type="auto"/>
            <w:tcBorders>
              <w:top w:val="nil"/>
              <w:left w:val="nil"/>
              <w:bottom w:val="single" w:sz="4" w:space="0" w:color="293F5B"/>
              <w:right w:val="nil"/>
            </w:tcBorders>
            <w:shd w:val="clear" w:color="000000" w:fill="E6F2FF"/>
            <w:vAlign w:val="center"/>
            <w:hideMark/>
          </w:tcPr>
          <w:p w14:paraId="30700AC8" w14:textId="77777777" w:rsidR="00264899" w:rsidRPr="00880FAB" w:rsidRDefault="00264899" w:rsidP="00264899">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Fiscal Risks</w:t>
            </w:r>
          </w:p>
        </w:tc>
        <w:tc>
          <w:tcPr>
            <w:tcW w:w="0" w:type="auto"/>
            <w:tcBorders>
              <w:top w:val="single" w:sz="4" w:space="0" w:color="293F5B"/>
              <w:left w:val="nil"/>
              <w:bottom w:val="nil"/>
              <w:right w:val="nil"/>
            </w:tcBorders>
            <w:shd w:val="clear" w:color="000000" w:fill="E6F2FF"/>
            <w:vAlign w:val="center"/>
            <w:hideMark/>
          </w:tcPr>
          <w:p w14:paraId="555A66DB"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264899" w:rsidRPr="00880FAB" w14:paraId="3513663A" w14:textId="77777777" w:rsidTr="00DB1046">
        <w:trPr>
          <w:trHeight w:hRule="exact" w:val="247"/>
        </w:trPr>
        <w:tc>
          <w:tcPr>
            <w:tcW w:w="0" w:type="auto"/>
            <w:tcBorders>
              <w:top w:val="nil"/>
              <w:left w:val="nil"/>
              <w:bottom w:val="single" w:sz="4" w:space="0" w:color="293F5B"/>
              <w:right w:val="nil"/>
            </w:tcBorders>
            <w:vAlign w:val="center"/>
            <w:hideMark/>
          </w:tcPr>
          <w:p w14:paraId="218D7F7D"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Government support for Whyalla Steelworks</w:t>
            </w:r>
          </w:p>
        </w:tc>
        <w:tc>
          <w:tcPr>
            <w:tcW w:w="0" w:type="auto"/>
            <w:tcBorders>
              <w:top w:val="single" w:sz="4" w:space="0" w:color="293F5B"/>
              <w:left w:val="nil"/>
              <w:bottom w:val="nil"/>
              <w:right w:val="nil"/>
            </w:tcBorders>
            <w:vAlign w:val="center"/>
            <w:hideMark/>
          </w:tcPr>
          <w:p w14:paraId="4C60B52D"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264899" w:rsidRPr="00880FAB" w14:paraId="7DA9FCD1" w14:textId="77777777" w:rsidTr="00DB1046">
        <w:trPr>
          <w:trHeight w:hRule="exact" w:val="247"/>
        </w:trPr>
        <w:tc>
          <w:tcPr>
            <w:tcW w:w="0" w:type="auto"/>
            <w:tcBorders>
              <w:top w:val="nil"/>
              <w:left w:val="nil"/>
              <w:bottom w:val="single" w:sz="4" w:space="0" w:color="293F5B"/>
              <w:right w:val="nil"/>
            </w:tcBorders>
            <w:vAlign w:val="center"/>
            <w:hideMark/>
          </w:tcPr>
          <w:p w14:paraId="4445819B"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Rehabilitation of the Ranger Uranium Mine</w:t>
            </w:r>
          </w:p>
        </w:tc>
        <w:tc>
          <w:tcPr>
            <w:tcW w:w="0" w:type="auto"/>
            <w:tcBorders>
              <w:top w:val="single" w:sz="4" w:space="0" w:color="293F5B"/>
              <w:left w:val="nil"/>
              <w:bottom w:val="nil"/>
              <w:right w:val="nil"/>
            </w:tcBorders>
            <w:vAlign w:val="center"/>
            <w:hideMark/>
          </w:tcPr>
          <w:p w14:paraId="3989FC8A"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1206E8" w:rsidRPr="00880FAB" w14:paraId="513B38C1" w14:textId="77777777" w:rsidTr="00DB1046">
        <w:trPr>
          <w:trHeight w:hRule="exact" w:val="247"/>
        </w:trPr>
        <w:tc>
          <w:tcPr>
            <w:tcW w:w="0" w:type="auto"/>
            <w:tcBorders>
              <w:top w:val="nil"/>
              <w:left w:val="nil"/>
              <w:bottom w:val="single" w:sz="4" w:space="0" w:color="293F5B"/>
              <w:right w:val="nil"/>
            </w:tcBorders>
            <w:shd w:val="clear" w:color="000000" w:fill="E6F2FF"/>
            <w:vAlign w:val="center"/>
            <w:hideMark/>
          </w:tcPr>
          <w:p w14:paraId="7D54D116" w14:textId="77777777" w:rsidR="00264899" w:rsidRPr="00880FAB" w:rsidRDefault="00264899" w:rsidP="00264899">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Significant but remote contingencies</w:t>
            </w:r>
          </w:p>
        </w:tc>
        <w:tc>
          <w:tcPr>
            <w:tcW w:w="0" w:type="auto"/>
            <w:tcBorders>
              <w:top w:val="single" w:sz="4" w:space="0" w:color="293F5B"/>
              <w:left w:val="nil"/>
              <w:bottom w:val="nil"/>
              <w:right w:val="nil"/>
            </w:tcBorders>
            <w:shd w:val="clear" w:color="000000" w:fill="E6F2FF"/>
            <w:vAlign w:val="center"/>
            <w:hideMark/>
          </w:tcPr>
          <w:p w14:paraId="39E6403D"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264899" w:rsidRPr="00880FAB" w14:paraId="67E78368" w14:textId="77777777" w:rsidTr="00DB1046">
        <w:trPr>
          <w:trHeight w:hRule="exact" w:val="247"/>
        </w:trPr>
        <w:tc>
          <w:tcPr>
            <w:tcW w:w="0" w:type="auto"/>
            <w:tcBorders>
              <w:top w:val="nil"/>
              <w:left w:val="nil"/>
              <w:bottom w:val="single" w:sz="4" w:space="0" w:color="293F5B"/>
              <w:right w:val="nil"/>
            </w:tcBorders>
            <w:vAlign w:val="center"/>
            <w:hideMark/>
          </w:tcPr>
          <w:p w14:paraId="67FD20B9"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Liability for damages caused by space objects and certain high-power rocket activities</w:t>
            </w:r>
          </w:p>
        </w:tc>
        <w:tc>
          <w:tcPr>
            <w:tcW w:w="0" w:type="auto"/>
            <w:tcBorders>
              <w:top w:val="single" w:sz="4" w:space="0" w:color="293F5B"/>
              <w:left w:val="nil"/>
              <w:bottom w:val="nil"/>
              <w:right w:val="nil"/>
            </w:tcBorders>
            <w:vAlign w:val="center"/>
            <w:hideMark/>
          </w:tcPr>
          <w:p w14:paraId="74DD4686"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264899" w:rsidRPr="00880FAB" w14:paraId="27DC5F37" w14:textId="77777777" w:rsidTr="004C38A7">
        <w:trPr>
          <w:trHeight w:hRule="exact" w:val="397"/>
        </w:trPr>
        <w:tc>
          <w:tcPr>
            <w:tcW w:w="0" w:type="auto"/>
            <w:tcBorders>
              <w:top w:val="nil"/>
              <w:left w:val="nil"/>
              <w:bottom w:val="single" w:sz="4" w:space="0" w:color="293F5B"/>
              <w:right w:val="nil"/>
            </w:tcBorders>
            <w:vAlign w:val="center"/>
            <w:hideMark/>
          </w:tcPr>
          <w:p w14:paraId="201E9C67" w14:textId="77777777" w:rsidR="00B50C62"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Decommissioning the Northern Endeavour and remediating the Laminaria and </w:t>
            </w:r>
          </w:p>
          <w:p w14:paraId="37A90905" w14:textId="359494D6"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Corallina Oil Fields</w:t>
            </w:r>
          </w:p>
        </w:tc>
        <w:tc>
          <w:tcPr>
            <w:tcW w:w="0" w:type="auto"/>
            <w:tcBorders>
              <w:top w:val="single" w:sz="4" w:space="0" w:color="293F5B"/>
              <w:left w:val="nil"/>
              <w:bottom w:val="nil"/>
              <w:right w:val="nil"/>
            </w:tcBorders>
            <w:vAlign w:val="center"/>
            <w:hideMark/>
          </w:tcPr>
          <w:p w14:paraId="6ACBCF4B"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1206E8" w:rsidRPr="00880FAB" w14:paraId="5FD4A119" w14:textId="77777777" w:rsidTr="00DB1046">
        <w:trPr>
          <w:trHeight w:hRule="exact" w:val="247"/>
        </w:trPr>
        <w:tc>
          <w:tcPr>
            <w:tcW w:w="0" w:type="auto"/>
            <w:tcBorders>
              <w:top w:val="nil"/>
              <w:left w:val="nil"/>
              <w:bottom w:val="single" w:sz="4" w:space="0" w:color="293F5B"/>
              <w:right w:val="nil"/>
            </w:tcBorders>
            <w:shd w:val="clear" w:color="000000" w:fill="E6F2FF"/>
            <w:vAlign w:val="center"/>
            <w:hideMark/>
          </w:tcPr>
          <w:p w14:paraId="4C3D9B45" w14:textId="77777777" w:rsidR="00264899" w:rsidRPr="00880FAB" w:rsidRDefault="00264899" w:rsidP="00264899">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unquantifiable</w:t>
            </w:r>
          </w:p>
        </w:tc>
        <w:tc>
          <w:tcPr>
            <w:tcW w:w="0" w:type="auto"/>
            <w:tcBorders>
              <w:top w:val="single" w:sz="4" w:space="0" w:color="293F5B"/>
              <w:left w:val="nil"/>
              <w:bottom w:val="nil"/>
              <w:right w:val="nil"/>
            </w:tcBorders>
            <w:shd w:val="clear" w:color="000000" w:fill="E6F2FF"/>
            <w:vAlign w:val="center"/>
            <w:hideMark/>
          </w:tcPr>
          <w:p w14:paraId="727A7B2F"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264899" w:rsidRPr="00880FAB" w14:paraId="5D7E7CE5" w14:textId="77777777" w:rsidTr="00DB1046">
        <w:trPr>
          <w:trHeight w:hRule="exact" w:val="247"/>
        </w:trPr>
        <w:tc>
          <w:tcPr>
            <w:tcW w:w="0" w:type="auto"/>
            <w:tcBorders>
              <w:top w:val="nil"/>
              <w:left w:val="nil"/>
              <w:bottom w:val="single" w:sz="4" w:space="0" w:color="293F5B"/>
              <w:right w:val="nil"/>
            </w:tcBorders>
            <w:vAlign w:val="center"/>
            <w:hideMark/>
          </w:tcPr>
          <w:p w14:paraId="7B3532FD"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Australian Nuclear Science and Technology Organisation – asbestos contamination</w:t>
            </w:r>
          </w:p>
        </w:tc>
        <w:tc>
          <w:tcPr>
            <w:tcW w:w="0" w:type="auto"/>
            <w:tcBorders>
              <w:top w:val="single" w:sz="4" w:space="0" w:color="293F5B"/>
              <w:left w:val="nil"/>
              <w:bottom w:val="nil"/>
              <w:right w:val="nil"/>
            </w:tcBorders>
            <w:vAlign w:val="center"/>
            <w:hideMark/>
          </w:tcPr>
          <w:p w14:paraId="42F21E3A"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264899" w:rsidRPr="00880FAB" w14:paraId="7D989897" w14:textId="77777777" w:rsidTr="00DB1046">
        <w:trPr>
          <w:trHeight w:hRule="exact" w:val="247"/>
        </w:trPr>
        <w:tc>
          <w:tcPr>
            <w:tcW w:w="0" w:type="auto"/>
            <w:tcBorders>
              <w:top w:val="nil"/>
              <w:left w:val="nil"/>
              <w:bottom w:val="single" w:sz="4" w:space="0" w:color="293F5B"/>
              <w:right w:val="nil"/>
            </w:tcBorders>
            <w:vAlign w:val="center"/>
            <w:hideMark/>
          </w:tcPr>
          <w:p w14:paraId="588A57A0"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Australian Nuclear Science and Technology Organisation – indemnity</w:t>
            </w:r>
          </w:p>
        </w:tc>
        <w:tc>
          <w:tcPr>
            <w:tcW w:w="0" w:type="auto"/>
            <w:tcBorders>
              <w:top w:val="single" w:sz="4" w:space="0" w:color="293F5B"/>
              <w:left w:val="nil"/>
              <w:bottom w:val="nil"/>
              <w:right w:val="nil"/>
            </w:tcBorders>
            <w:vAlign w:val="center"/>
            <w:hideMark/>
          </w:tcPr>
          <w:p w14:paraId="4E506752"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264899" w:rsidRPr="00880FAB" w14:paraId="4AF15795" w14:textId="77777777" w:rsidTr="004C38A7">
        <w:trPr>
          <w:trHeight w:hRule="exact" w:val="397"/>
        </w:trPr>
        <w:tc>
          <w:tcPr>
            <w:tcW w:w="0" w:type="auto"/>
            <w:tcBorders>
              <w:top w:val="nil"/>
              <w:left w:val="nil"/>
              <w:bottom w:val="single" w:sz="4" w:space="0" w:color="293F5B"/>
              <w:right w:val="nil"/>
            </w:tcBorders>
            <w:vAlign w:val="center"/>
            <w:hideMark/>
          </w:tcPr>
          <w:p w14:paraId="041D32B3" w14:textId="77777777" w:rsidR="00B50C62"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Australian Nuclear Science and Technology Organisation – legacy waste management to </w:t>
            </w:r>
          </w:p>
          <w:p w14:paraId="6222D6F5" w14:textId="4418BD26"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final disposal</w:t>
            </w:r>
          </w:p>
        </w:tc>
        <w:tc>
          <w:tcPr>
            <w:tcW w:w="0" w:type="auto"/>
            <w:tcBorders>
              <w:top w:val="single" w:sz="4" w:space="0" w:color="293F5B"/>
              <w:left w:val="nil"/>
              <w:bottom w:val="nil"/>
              <w:right w:val="nil"/>
            </w:tcBorders>
            <w:vAlign w:val="center"/>
            <w:hideMark/>
          </w:tcPr>
          <w:p w14:paraId="6D9D69D1"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264899" w:rsidRPr="00880FAB" w14:paraId="1E3645AA" w14:textId="77777777" w:rsidTr="00DB1046">
        <w:trPr>
          <w:trHeight w:hRule="exact" w:val="247"/>
        </w:trPr>
        <w:tc>
          <w:tcPr>
            <w:tcW w:w="0" w:type="auto"/>
            <w:tcBorders>
              <w:top w:val="nil"/>
              <w:left w:val="nil"/>
              <w:bottom w:val="single" w:sz="4" w:space="0" w:color="293F5B"/>
              <w:right w:val="nil"/>
            </w:tcBorders>
            <w:vAlign w:val="center"/>
            <w:hideMark/>
          </w:tcPr>
          <w:p w14:paraId="27B9D542"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Barrow Island royalty variation</w:t>
            </w:r>
          </w:p>
        </w:tc>
        <w:tc>
          <w:tcPr>
            <w:tcW w:w="0" w:type="auto"/>
            <w:tcBorders>
              <w:top w:val="single" w:sz="4" w:space="0" w:color="293F5B"/>
              <w:left w:val="nil"/>
              <w:bottom w:val="nil"/>
              <w:right w:val="nil"/>
            </w:tcBorders>
            <w:vAlign w:val="center"/>
            <w:hideMark/>
          </w:tcPr>
          <w:p w14:paraId="1F370E8F"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Removed</w:t>
            </w:r>
          </w:p>
        </w:tc>
      </w:tr>
      <w:tr w:rsidR="00264899" w:rsidRPr="00880FAB" w14:paraId="0603FF42" w14:textId="77777777" w:rsidTr="00DB1046">
        <w:trPr>
          <w:trHeight w:hRule="exact" w:val="247"/>
        </w:trPr>
        <w:tc>
          <w:tcPr>
            <w:tcW w:w="0" w:type="auto"/>
            <w:tcBorders>
              <w:top w:val="nil"/>
              <w:left w:val="nil"/>
              <w:bottom w:val="single" w:sz="4" w:space="0" w:color="293F5B"/>
              <w:right w:val="nil"/>
            </w:tcBorders>
            <w:vAlign w:val="center"/>
            <w:hideMark/>
          </w:tcPr>
          <w:p w14:paraId="231B49B3"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Former British nuclear test site at Maralinga</w:t>
            </w:r>
          </w:p>
        </w:tc>
        <w:tc>
          <w:tcPr>
            <w:tcW w:w="0" w:type="auto"/>
            <w:tcBorders>
              <w:top w:val="single" w:sz="4" w:space="0" w:color="293F5B"/>
              <w:left w:val="nil"/>
              <w:bottom w:val="nil"/>
              <w:right w:val="nil"/>
            </w:tcBorders>
            <w:vAlign w:val="center"/>
            <w:hideMark/>
          </w:tcPr>
          <w:p w14:paraId="68E721AE"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264899" w:rsidRPr="00880FAB" w14:paraId="2D2E9F3D" w14:textId="77777777" w:rsidTr="00DB1046">
        <w:trPr>
          <w:trHeight w:hRule="exact" w:val="247"/>
        </w:trPr>
        <w:tc>
          <w:tcPr>
            <w:tcW w:w="0" w:type="auto"/>
            <w:tcBorders>
              <w:top w:val="nil"/>
              <w:left w:val="nil"/>
              <w:bottom w:val="single" w:sz="4" w:space="0" w:color="293F5B"/>
              <w:right w:val="nil"/>
            </w:tcBorders>
            <w:vAlign w:val="center"/>
            <w:hideMark/>
          </w:tcPr>
          <w:p w14:paraId="626441CB"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Land and building decontamination and site restoration for CSIRO property</w:t>
            </w:r>
          </w:p>
        </w:tc>
        <w:tc>
          <w:tcPr>
            <w:tcW w:w="0" w:type="auto"/>
            <w:tcBorders>
              <w:top w:val="single" w:sz="4" w:space="0" w:color="293F5B"/>
              <w:left w:val="nil"/>
              <w:bottom w:val="nil"/>
              <w:right w:val="nil"/>
            </w:tcBorders>
            <w:vAlign w:val="center"/>
            <w:hideMark/>
          </w:tcPr>
          <w:p w14:paraId="3B3CF924"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264899" w:rsidRPr="00880FAB" w14:paraId="7510DF4C" w14:textId="77777777" w:rsidTr="00DB1046">
        <w:trPr>
          <w:trHeight w:hRule="exact" w:val="247"/>
        </w:trPr>
        <w:tc>
          <w:tcPr>
            <w:tcW w:w="0" w:type="auto"/>
            <w:tcBorders>
              <w:top w:val="nil"/>
              <w:left w:val="nil"/>
              <w:bottom w:val="single" w:sz="4" w:space="0" w:color="293F5B"/>
              <w:right w:val="nil"/>
            </w:tcBorders>
            <w:vAlign w:val="center"/>
            <w:hideMark/>
          </w:tcPr>
          <w:p w14:paraId="709FB3BC"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Lindfield facility – asbestos contamination</w:t>
            </w:r>
          </w:p>
        </w:tc>
        <w:tc>
          <w:tcPr>
            <w:tcW w:w="0" w:type="auto"/>
            <w:tcBorders>
              <w:top w:val="single" w:sz="4" w:space="0" w:color="293F5B"/>
              <w:left w:val="nil"/>
              <w:bottom w:val="nil"/>
              <w:right w:val="nil"/>
            </w:tcBorders>
            <w:vAlign w:val="center"/>
            <w:hideMark/>
          </w:tcPr>
          <w:p w14:paraId="39BF2590"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1206E8" w:rsidRPr="00880FAB" w14:paraId="1595AFC5" w14:textId="77777777" w:rsidTr="00DB1046">
        <w:trPr>
          <w:trHeight w:hRule="exact" w:val="247"/>
        </w:trPr>
        <w:tc>
          <w:tcPr>
            <w:tcW w:w="0" w:type="auto"/>
            <w:tcBorders>
              <w:top w:val="nil"/>
              <w:left w:val="nil"/>
              <w:bottom w:val="single" w:sz="4" w:space="0" w:color="293F5B"/>
              <w:right w:val="nil"/>
            </w:tcBorders>
            <w:shd w:val="clear" w:color="000000" w:fill="E6F2FF"/>
            <w:vAlign w:val="center"/>
            <w:hideMark/>
          </w:tcPr>
          <w:p w14:paraId="23536C95"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Infrastructure, Transport, Regional Development, Communications, Sport and the Arts</w:t>
            </w:r>
          </w:p>
        </w:tc>
        <w:tc>
          <w:tcPr>
            <w:tcW w:w="0" w:type="auto"/>
            <w:tcBorders>
              <w:top w:val="single" w:sz="4" w:space="0" w:color="293F5B"/>
              <w:left w:val="nil"/>
              <w:bottom w:val="nil"/>
              <w:right w:val="nil"/>
            </w:tcBorders>
            <w:shd w:val="clear" w:color="000000" w:fill="E6F2FF"/>
            <w:vAlign w:val="center"/>
            <w:hideMark/>
          </w:tcPr>
          <w:p w14:paraId="52796147"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1206E8" w:rsidRPr="00880FAB" w14:paraId="4935035D" w14:textId="77777777" w:rsidTr="00DB1046">
        <w:trPr>
          <w:trHeight w:hRule="exact" w:val="247"/>
        </w:trPr>
        <w:tc>
          <w:tcPr>
            <w:tcW w:w="0" w:type="auto"/>
            <w:tcBorders>
              <w:top w:val="nil"/>
              <w:left w:val="nil"/>
              <w:bottom w:val="single" w:sz="4" w:space="0" w:color="293F5B"/>
              <w:right w:val="nil"/>
            </w:tcBorders>
            <w:shd w:val="clear" w:color="000000" w:fill="E6F2FF"/>
            <w:vAlign w:val="center"/>
            <w:hideMark/>
          </w:tcPr>
          <w:p w14:paraId="2A84DD47" w14:textId="77777777" w:rsidR="00264899" w:rsidRPr="00880FAB" w:rsidRDefault="00264899" w:rsidP="00264899">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Fiscal Risks</w:t>
            </w:r>
          </w:p>
        </w:tc>
        <w:tc>
          <w:tcPr>
            <w:tcW w:w="0" w:type="auto"/>
            <w:tcBorders>
              <w:top w:val="single" w:sz="4" w:space="0" w:color="293F5B"/>
              <w:left w:val="nil"/>
              <w:bottom w:val="nil"/>
              <w:right w:val="nil"/>
            </w:tcBorders>
            <w:shd w:val="clear" w:color="000000" w:fill="E6F2FF"/>
            <w:vAlign w:val="center"/>
            <w:hideMark/>
          </w:tcPr>
          <w:p w14:paraId="4629B5EC"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264899" w:rsidRPr="00880FAB" w14:paraId="467F0BAB" w14:textId="77777777" w:rsidTr="00DB1046">
        <w:trPr>
          <w:trHeight w:hRule="exact" w:val="247"/>
        </w:trPr>
        <w:tc>
          <w:tcPr>
            <w:tcW w:w="0" w:type="auto"/>
            <w:tcBorders>
              <w:top w:val="nil"/>
              <w:left w:val="nil"/>
              <w:bottom w:val="single" w:sz="4" w:space="0" w:color="293F5B"/>
              <w:right w:val="nil"/>
            </w:tcBorders>
            <w:vAlign w:val="center"/>
            <w:hideMark/>
          </w:tcPr>
          <w:p w14:paraId="11CEDE74"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Australia Post’s financial stability</w:t>
            </w:r>
          </w:p>
        </w:tc>
        <w:tc>
          <w:tcPr>
            <w:tcW w:w="0" w:type="auto"/>
            <w:tcBorders>
              <w:top w:val="single" w:sz="4" w:space="0" w:color="293F5B"/>
              <w:left w:val="nil"/>
              <w:bottom w:val="nil"/>
              <w:right w:val="nil"/>
            </w:tcBorders>
            <w:vAlign w:val="center"/>
            <w:hideMark/>
          </w:tcPr>
          <w:p w14:paraId="4838CF8C"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264899" w:rsidRPr="00880FAB" w14:paraId="6001D4D7" w14:textId="77777777" w:rsidTr="00DB1046">
        <w:trPr>
          <w:trHeight w:hRule="exact" w:val="247"/>
        </w:trPr>
        <w:tc>
          <w:tcPr>
            <w:tcW w:w="0" w:type="auto"/>
            <w:tcBorders>
              <w:top w:val="nil"/>
              <w:left w:val="nil"/>
              <w:bottom w:val="single" w:sz="4" w:space="0" w:color="293F5B"/>
              <w:right w:val="nil"/>
            </w:tcBorders>
            <w:vAlign w:val="center"/>
            <w:hideMark/>
          </w:tcPr>
          <w:p w14:paraId="12EF88D9"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Infrastructure Investment Program project slippage adjustment</w:t>
            </w:r>
          </w:p>
        </w:tc>
        <w:tc>
          <w:tcPr>
            <w:tcW w:w="0" w:type="auto"/>
            <w:tcBorders>
              <w:top w:val="single" w:sz="4" w:space="0" w:color="293F5B"/>
              <w:left w:val="nil"/>
              <w:bottom w:val="nil"/>
              <w:right w:val="nil"/>
            </w:tcBorders>
            <w:vAlign w:val="center"/>
            <w:hideMark/>
          </w:tcPr>
          <w:p w14:paraId="0A61ABA0"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264899" w:rsidRPr="00880FAB" w14:paraId="63C700E9" w14:textId="77777777" w:rsidTr="00DB1046">
        <w:trPr>
          <w:trHeight w:hRule="exact" w:val="247"/>
        </w:trPr>
        <w:tc>
          <w:tcPr>
            <w:tcW w:w="0" w:type="auto"/>
            <w:tcBorders>
              <w:top w:val="nil"/>
              <w:left w:val="nil"/>
              <w:bottom w:val="single" w:sz="4" w:space="0" w:color="293F5B"/>
              <w:right w:val="nil"/>
            </w:tcBorders>
            <w:vAlign w:val="center"/>
            <w:hideMark/>
          </w:tcPr>
          <w:p w14:paraId="414F3364"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Inland Rail – delivery</w:t>
            </w:r>
          </w:p>
        </w:tc>
        <w:tc>
          <w:tcPr>
            <w:tcW w:w="0" w:type="auto"/>
            <w:tcBorders>
              <w:top w:val="single" w:sz="4" w:space="0" w:color="293F5B"/>
              <w:left w:val="nil"/>
              <w:bottom w:val="nil"/>
              <w:right w:val="nil"/>
            </w:tcBorders>
            <w:vAlign w:val="center"/>
            <w:hideMark/>
          </w:tcPr>
          <w:p w14:paraId="167363C4"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1206E8" w:rsidRPr="00880FAB" w14:paraId="6929B446" w14:textId="77777777" w:rsidTr="00DB1046">
        <w:trPr>
          <w:trHeight w:hRule="exact" w:val="247"/>
        </w:trPr>
        <w:tc>
          <w:tcPr>
            <w:tcW w:w="0" w:type="auto"/>
            <w:tcBorders>
              <w:top w:val="nil"/>
              <w:left w:val="nil"/>
              <w:bottom w:val="single" w:sz="4" w:space="0" w:color="293F5B"/>
              <w:right w:val="nil"/>
            </w:tcBorders>
            <w:shd w:val="clear" w:color="000000" w:fill="E6F2FF"/>
            <w:vAlign w:val="center"/>
            <w:hideMark/>
          </w:tcPr>
          <w:p w14:paraId="647AD903" w14:textId="77777777" w:rsidR="00264899" w:rsidRPr="00880FAB" w:rsidRDefault="00264899" w:rsidP="00264899">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Significant but remote contingencies</w:t>
            </w:r>
          </w:p>
        </w:tc>
        <w:tc>
          <w:tcPr>
            <w:tcW w:w="0" w:type="auto"/>
            <w:tcBorders>
              <w:top w:val="single" w:sz="4" w:space="0" w:color="293F5B"/>
              <w:left w:val="nil"/>
              <w:bottom w:val="nil"/>
              <w:right w:val="nil"/>
            </w:tcBorders>
            <w:shd w:val="clear" w:color="000000" w:fill="E6F2FF"/>
            <w:vAlign w:val="center"/>
            <w:hideMark/>
          </w:tcPr>
          <w:p w14:paraId="57E43748" w14:textId="77777777" w:rsidR="00264899" w:rsidRPr="00880FAB" w:rsidRDefault="00264899" w:rsidP="0026489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264899" w:rsidRPr="00880FAB" w14:paraId="110A883F" w14:textId="77777777" w:rsidTr="00DB1046">
        <w:trPr>
          <w:trHeight w:hRule="exact" w:val="247"/>
        </w:trPr>
        <w:tc>
          <w:tcPr>
            <w:tcW w:w="0" w:type="auto"/>
            <w:tcBorders>
              <w:top w:val="nil"/>
              <w:left w:val="nil"/>
              <w:bottom w:val="single" w:sz="4" w:space="0" w:color="293F5B"/>
              <w:right w:val="nil"/>
            </w:tcBorders>
            <w:vAlign w:val="center"/>
            <w:hideMark/>
          </w:tcPr>
          <w:p w14:paraId="7FF5C994"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Inland Rail – Termination of the Equity Financing Agreement</w:t>
            </w:r>
          </w:p>
        </w:tc>
        <w:tc>
          <w:tcPr>
            <w:tcW w:w="0" w:type="auto"/>
            <w:tcBorders>
              <w:top w:val="single" w:sz="4" w:space="0" w:color="293F5B"/>
              <w:left w:val="nil"/>
              <w:bottom w:val="nil"/>
              <w:right w:val="nil"/>
            </w:tcBorders>
            <w:vAlign w:val="center"/>
            <w:hideMark/>
          </w:tcPr>
          <w:p w14:paraId="13431F0A"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1206E8" w:rsidRPr="00880FAB" w14:paraId="1EDF3B38" w14:textId="77777777" w:rsidTr="000A57C2">
        <w:trPr>
          <w:trHeight w:hRule="exact" w:val="247"/>
        </w:trPr>
        <w:tc>
          <w:tcPr>
            <w:tcW w:w="0" w:type="auto"/>
            <w:tcBorders>
              <w:top w:val="nil"/>
              <w:left w:val="nil"/>
              <w:bottom w:val="single" w:sz="4" w:space="0" w:color="293F5B"/>
              <w:right w:val="nil"/>
            </w:tcBorders>
            <w:vAlign w:val="center"/>
            <w:hideMark/>
          </w:tcPr>
          <w:p w14:paraId="5C19828C"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Maritime Industry Finance Company Limited – Board Members’ indemnity</w:t>
            </w:r>
          </w:p>
        </w:tc>
        <w:tc>
          <w:tcPr>
            <w:tcW w:w="0" w:type="auto"/>
            <w:tcBorders>
              <w:top w:val="single" w:sz="4" w:space="0" w:color="293F5B"/>
              <w:left w:val="nil"/>
              <w:bottom w:val="single" w:sz="4" w:space="0" w:color="293F5B"/>
              <w:right w:val="nil"/>
            </w:tcBorders>
            <w:vAlign w:val="center"/>
            <w:hideMark/>
          </w:tcPr>
          <w:p w14:paraId="59B20E66"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1206E8" w:rsidRPr="00880FAB" w14:paraId="5BF8F65B" w14:textId="77777777" w:rsidTr="000A57C2">
        <w:trPr>
          <w:trHeight w:hRule="exact" w:val="247"/>
        </w:trPr>
        <w:tc>
          <w:tcPr>
            <w:tcW w:w="0" w:type="auto"/>
            <w:tcBorders>
              <w:top w:val="nil"/>
              <w:left w:val="nil"/>
              <w:bottom w:val="single" w:sz="4" w:space="0" w:color="293F5B"/>
              <w:right w:val="nil"/>
            </w:tcBorders>
            <w:vAlign w:val="center"/>
            <w:hideMark/>
          </w:tcPr>
          <w:p w14:paraId="74EF96DA" w14:textId="77777777" w:rsidR="00264899" w:rsidRPr="00880FAB" w:rsidRDefault="00264899" w:rsidP="00264899">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Moorebank Intermodal Project – Glenfield Waste Site Easement</w:t>
            </w:r>
          </w:p>
        </w:tc>
        <w:tc>
          <w:tcPr>
            <w:tcW w:w="0" w:type="auto"/>
            <w:tcBorders>
              <w:top w:val="single" w:sz="4" w:space="0" w:color="293F5B"/>
              <w:left w:val="nil"/>
              <w:bottom w:val="single" w:sz="4" w:space="0" w:color="293F5B"/>
              <w:right w:val="nil"/>
            </w:tcBorders>
            <w:vAlign w:val="center"/>
            <w:hideMark/>
          </w:tcPr>
          <w:p w14:paraId="267B1C49" w14:textId="77777777" w:rsidR="00264899" w:rsidRPr="00880FAB" w:rsidRDefault="00264899" w:rsidP="00264899">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bl>
    <w:p w14:paraId="3A93FDA1" w14:textId="77777777" w:rsidR="00590008" w:rsidRDefault="00590008" w:rsidP="00590008">
      <w:pPr>
        <w:pStyle w:val="SingleParagraph"/>
        <w:rPr>
          <w:rFonts w:eastAsia="Arial"/>
        </w:rPr>
      </w:pPr>
    </w:p>
    <w:p w14:paraId="75713846" w14:textId="77777777" w:rsidR="00590008" w:rsidRDefault="00590008">
      <w:pPr>
        <w:spacing w:before="0" w:after="160" w:line="259" w:lineRule="auto"/>
        <w:rPr>
          <w:rFonts w:ascii="Arial Bold" w:eastAsia="Arial" w:hAnsi="Arial Bold"/>
          <w:b/>
          <w:sz w:val="20"/>
        </w:rPr>
      </w:pPr>
      <w:r>
        <w:rPr>
          <w:rFonts w:eastAsia="Arial"/>
        </w:rPr>
        <w:br w:type="page"/>
      </w:r>
    </w:p>
    <w:p w14:paraId="7D6155B4" w14:textId="5A75D4CA" w:rsidR="00B06C9A" w:rsidRPr="00D12C6F" w:rsidRDefault="004516E8" w:rsidP="00BC6394">
      <w:pPr>
        <w:pStyle w:val="TableHeadingcontinued"/>
      </w:pPr>
      <w:r w:rsidRPr="00D12C6F">
        <w:rPr>
          <w:rFonts w:eastAsia="Arial"/>
        </w:rPr>
        <w:lastRenderedPageBreak/>
        <w:t>Table 9.2: Summary of fiscal risks, contingent liabilities and contingent assets in the Statement of Risks</w:t>
      </w:r>
      <w:r>
        <w:rPr>
          <w:rFonts w:eastAsia="Arial"/>
        </w:rPr>
        <w:t xml:space="preserve"> (continued)</w:t>
      </w:r>
    </w:p>
    <w:tbl>
      <w:tblPr>
        <w:tblW w:w="5031" w:type="pct"/>
        <w:tblCellMar>
          <w:left w:w="0" w:type="dxa"/>
          <w:right w:w="28" w:type="dxa"/>
        </w:tblCellMar>
        <w:tblLook w:val="04A0" w:firstRow="1" w:lastRow="0" w:firstColumn="1" w:lastColumn="0" w:noHBand="0" w:noVBand="1"/>
      </w:tblPr>
      <w:tblGrid>
        <w:gridCol w:w="6864"/>
        <w:gridCol w:w="895"/>
      </w:tblGrid>
      <w:tr w:rsidR="00B06C9A" w:rsidRPr="00880FAB" w14:paraId="3344DE1B" w14:textId="77777777" w:rsidTr="00B15C21">
        <w:trPr>
          <w:trHeight w:hRule="exact" w:val="225"/>
        </w:trPr>
        <w:tc>
          <w:tcPr>
            <w:tcW w:w="4423" w:type="pct"/>
            <w:tcBorders>
              <w:top w:val="single" w:sz="4" w:space="0" w:color="293F5B"/>
              <w:left w:val="nil"/>
              <w:bottom w:val="single" w:sz="4" w:space="0" w:color="293F5B"/>
              <w:right w:val="nil"/>
            </w:tcBorders>
            <w:shd w:val="clear" w:color="000000" w:fill="E6F2FF"/>
            <w:vAlign w:val="center"/>
            <w:hideMark/>
          </w:tcPr>
          <w:p w14:paraId="1A21D114"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Infrastructure, Transport, Regional Development, Communications, Sport and the Arts (continued)</w:t>
            </w:r>
          </w:p>
        </w:tc>
        <w:tc>
          <w:tcPr>
            <w:tcW w:w="577" w:type="pct"/>
            <w:tcBorders>
              <w:top w:val="single" w:sz="4" w:space="0" w:color="293F5B"/>
              <w:left w:val="nil"/>
              <w:bottom w:val="nil"/>
              <w:right w:val="nil"/>
            </w:tcBorders>
            <w:shd w:val="clear" w:color="000000" w:fill="E6F2FF"/>
            <w:vAlign w:val="center"/>
            <w:hideMark/>
          </w:tcPr>
          <w:p w14:paraId="1E5EBB51"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B06C9A" w:rsidRPr="00880FAB" w14:paraId="2BCFC29B" w14:textId="77777777" w:rsidTr="00B15C21">
        <w:trPr>
          <w:trHeight w:hRule="exact" w:val="225"/>
        </w:trPr>
        <w:tc>
          <w:tcPr>
            <w:tcW w:w="4423" w:type="pct"/>
            <w:tcBorders>
              <w:top w:val="nil"/>
              <w:left w:val="nil"/>
              <w:bottom w:val="single" w:sz="4" w:space="0" w:color="293F5B"/>
              <w:right w:val="nil"/>
            </w:tcBorders>
            <w:shd w:val="clear" w:color="000000" w:fill="E6F2FF"/>
            <w:vAlign w:val="center"/>
            <w:hideMark/>
          </w:tcPr>
          <w:p w14:paraId="740976D1" w14:textId="77777777" w:rsidR="00B06C9A" w:rsidRPr="00880FAB" w:rsidRDefault="00B06C9A" w:rsidP="00B06C9A">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Significant but remote contingencies (continued)</w:t>
            </w:r>
          </w:p>
        </w:tc>
        <w:tc>
          <w:tcPr>
            <w:tcW w:w="577" w:type="pct"/>
            <w:tcBorders>
              <w:top w:val="single" w:sz="4" w:space="0" w:color="293F5B"/>
              <w:left w:val="nil"/>
              <w:bottom w:val="nil"/>
              <w:right w:val="nil"/>
            </w:tcBorders>
            <w:shd w:val="clear" w:color="000000" w:fill="E6F2FF"/>
            <w:vAlign w:val="center"/>
            <w:hideMark/>
          </w:tcPr>
          <w:p w14:paraId="2A2014EE"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B06C9A" w:rsidRPr="00880FAB" w14:paraId="3E877DB2" w14:textId="77777777" w:rsidTr="00B15C21">
        <w:trPr>
          <w:trHeight w:hRule="exact" w:val="225"/>
        </w:trPr>
        <w:tc>
          <w:tcPr>
            <w:tcW w:w="4423" w:type="pct"/>
            <w:tcBorders>
              <w:top w:val="nil"/>
              <w:left w:val="nil"/>
              <w:bottom w:val="single" w:sz="4" w:space="0" w:color="293F5B"/>
              <w:right w:val="nil"/>
            </w:tcBorders>
            <w:vAlign w:val="center"/>
            <w:hideMark/>
          </w:tcPr>
          <w:p w14:paraId="5C698D79"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National Intermodal Corporation Limited – Termination of the Funding Agreement</w:t>
            </w:r>
          </w:p>
        </w:tc>
        <w:tc>
          <w:tcPr>
            <w:tcW w:w="577" w:type="pct"/>
            <w:tcBorders>
              <w:top w:val="single" w:sz="4" w:space="0" w:color="293F5B"/>
              <w:left w:val="nil"/>
              <w:bottom w:val="nil"/>
              <w:right w:val="nil"/>
            </w:tcBorders>
            <w:vAlign w:val="center"/>
            <w:hideMark/>
          </w:tcPr>
          <w:p w14:paraId="58653AA4"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27B41C2E" w14:textId="77777777" w:rsidTr="00B15C21">
        <w:trPr>
          <w:trHeight w:hRule="exact" w:val="225"/>
        </w:trPr>
        <w:tc>
          <w:tcPr>
            <w:tcW w:w="4423" w:type="pct"/>
            <w:tcBorders>
              <w:top w:val="nil"/>
              <w:left w:val="nil"/>
              <w:bottom w:val="single" w:sz="4" w:space="0" w:color="293F5B"/>
              <w:right w:val="nil"/>
            </w:tcBorders>
            <w:vAlign w:val="center"/>
            <w:hideMark/>
          </w:tcPr>
          <w:p w14:paraId="6EEDE084"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NBN Co Limited – Termination of the Equity Funding Agreement</w:t>
            </w:r>
          </w:p>
        </w:tc>
        <w:tc>
          <w:tcPr>
            <w:tcW w:w="577" w:type="pct"/>
            <w:tcBorders>
              <w:top w:val="single" w:sz="4" w:space="0" w:color="293F5B"/>
              <w:left w:val="nil"/>
              <w:bottom w:val="nil"/>
              <w:right w:val="nil"/>
            </w:tcBorders>
            <w:vAlign w:val="center"/>
            <w:hideMark/>
          </w:tcPr>
          <w:p w14:paraId="36CB1367"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4CE7C68C" w14:textId="77777777" w:rsidTr="00B15C21">
        <w:trPr>
          <w:trHeight w:hRule="exact" w:val="225"/>
        </w:trPr>
        <w:tc>
          <w:tcPr>
            <w:tcW w:w="4423" w:type="pct"/>
            <w:tcBorders>
              <w:top w:val="nil"/>
              <w:left w:val="nil"/>
              <w:bottom w:val="single" w:sz="4" w:space="0" w:color="293F5B"/>
              <w:right w:val="nil"/>
            </w:tcBorders>
            <w:vAlign w:val="center"/>
            <w:hideMark/>
          </w:tcPr>
          <w:p w14:paraId="43A9C84F"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Telstra Financial Guarantee</w:t>
            </w:r>
          </w:p>
        </w:tc>
        <w:tc>
          <w:tcPr>
            <w:tcW w:w="577" w:type="pct"/>
            <w:tcBorders>
              <w:top w:val="single" w:sz="4" w:space="0" w:color="293F5B"/>
              <w:left w:val="nil"/>
              <w:bottom w:val="nil"/>
              <w:right w:val="nil"/>
            </w:tcBorders>
            <w:vAlign w:val="center"/>
            <w:hideMark/>
          </w:tcPr>
          <w:p w14:paraId="63764FFF"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44323572" w14:textId="77777777" w:rsidTr="00B15C21">
        <w:trPr>
          <w:trHeight w:hRule="exact" w:val="225"/>
        </w:trPr>
        <w:tc>
          <w:tcPr>
            <w:tcW w:w="4423" w:type="pct"/>
            <w:tcBorders>
              <w:top w:val="nil"/>
              <w:left w:val="nil"/>
              <w:bottom w:val="single" w:sz="4" w:space="0" w:color="293F5B"/>
              <w:right w:val="nil"/>
            </w:tcBorders>
            <w:vAlign w:val="center"/>
            <w:hideMark/>
          </w:tcPr>
          <w:p w14:paraId="72B8CBB0"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Tripartite deeds relating to the sale of federal leased airports</w:t>
            </w:r>
          </w:p>
        </w:tc>
        <w:tc>
          <w:tcPr>
            <w:tcW w:w="577" w:type="pct"/>
            <w:tcBorders>
              <w:top w:val="single" w:sz="4" w:space="0" w:color="293F5B"/>
              <w:left w:val="nil"/>
              <w:bottom w:val="nil"/>
              <w:right w:val="nil"/>
            </w:tcBorders>
            <w:vAlign w:val="center"/>
            <w:hideMark/>
          </w:tcPr>
          <w:p w14:paraId="366B0F2E"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0095A5E7" w14:textId="77777777" w:rsidTr="00B15C21">
        <w:trPr>
          <w:trHeight w:hRule="exact" w:val="225"/>
        </w:trPr>
        <w:tc>
          <w:tcPr>
            <w:tcW w:w="4423" w:type="pct"/>
            <w:tcBorders>
              <w:top w:val="nil"/>
              <w:left w:val="nil"/>
              <w:bottom w:val="single" w:sz="4" w:space="0" w:color="293F5B"/>
              <w:right w:val="nil"/>
            </w:tcBorders>
            <w:vAlign w:val="center"/>
            <w:hideMark/>
          </w:tcPr>
          <w:p w14:paraId="5539392B"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WSA Co Limited – Board Members’ indemnities</w:t>
            </w:r>
          </w:p>
        </w:tc>
        <w:tc>
          <w:tcPr>
            <w:tcW w:w="577" w:type="pct"/>
            <w:tcBorders>
              <w:top w:val="single" w:sz="4" w:space="0" w:color="293F5B"/>
              <w:left w:val="nil"/>
              <w:bottom w:val="nil"/>
              <w:right w:val="nil"/>
            </w:tcBorders>
            <w:vAlign w:val="center"/>
            <w:hideMark/>
          </w:tcPr>
          <w:p w14:paraId="0F530FE6"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3774828D" w14:textId="77777777" w:rsidTr="00B15C21">
        <w:trPr>
          <w:trHeight w:hRule="exact" w:val="225"/>
        </w:trPr>
        <w:tc>
          <w:tcPr>
            <w:tcW w:w="4423" w:type="pct"/>
            <w:tcBorders>
              <w:top w:val="nil"/>
              <w:left w:val="nil"/>
              <w:bottom w:val="single" w:sz="4" w:space="0" w:color="293F5B"/>
              <w:right w:val="nil"/>
            </w:tcBorders>
            <w:vAlign w:val="center"/>
            <w:hideMark/>
          </w:tcPr>
          <w:p w14:paraId="080A3D01"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WSA Co Limited – Sydney Metro – Western Sydney Airport indemnity</w:t>
            </w:r>
          </w:p>
        </w:tc>
        <w:tc>
          <w:tcPr>
            <w:tcW w:w="577" w:type="pct"/>
            <w:tcBorders>
              <w:top w:val="single" w:sz="4" w:space="0" w:color="293F5B"/>
              <w:left w:val="nil"/>
              <w:bottom w:val="nil"/>
              <w:right w:val="nil"/>
            </w:tcBorders>
            <w:vAlign w:val="center"/>
            <w:hideMark/>
          </w:tcPr>
          <w:p w14:paraId="0BD2F7AE"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7AC16E6E" w14:textId="77777777" w:rsidTr="00B15C21">
        <w:trPr>
          <w:trHeight w:hRule="exact" w:val="225"/>
        </w:trPr>
        <w:tc>
          <w:tcPr>
            <w:tcW w:w="4423" w:type="pct"/>
            <w:tcBorders>
              <w:top w:val="nil"/>
              <w:left w:val="nil"/>
              <w:bottom w:val="single" w:sz="4" w:space="0" w:color="293F5B"/>
              <w:right w:val="nil"/>
            </w:tcBorders>
            <w:vAlign w:val="center"/>
            <w:hideMark/>
          </w:tcPr>
          <w:p w14:paraId="0BC11D20"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WSA Co Limited – Termination of the Equity Subscription Agreement</w:t>
            </w:r>
          </w:p>
        </w:tc>
        <w:tc>
          <w:tcPr>
            <w:tcW w:w="577" w:type="pct"/>
            <w:tcBorders>
              <w:top w:val="single" w:sz="4" w:space="0" w:color="293F5B"/>
              <w:left w:val="nil"/>
              <w:bottom w:val="nil"/>
              <w:right w:val="nil"/>
            </w:tcBorders>
            <w:vAlign w:val="center"/>
            <w:hideMark/>
          </w:tcPr>
          <w:p w14:paraId="0A8711C5"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6426A844" w14:textId="77777777" w:rsidTr="00B15C21">
        <w:trPr>
          <w:trHeight w:hRule="exact" w:val="225"/>
        </w:trPr>
        <w:tc>
          <w:tcPr>
            <w:tcW w:w="4423" w:type="pct"/>
            <w:tcBorders>
              <w:top w:val="nil"/>
              <w:left w:val="nil"/>
              <w:bottom w:val="single" w:sz="4" w:space="0" w:color="293F5B"/>
              <w:right w:val="nil"/>
            </w:tcBorders>
            <w:shd w:val="clear" w:color="000000" w:fill="E6F2FF"/>
            <w:vAlign w:val="center"/>
            <w:hideMark/>
          </w:tcPr>
          <w:p w14:paraId="69B6772E" w14:textId="77777777" w:rsidR="00B06C9A" w:rsidRPr="00880FAB" w:rsidRDefault="00B06C9A" w:rsidP="00B06C9A">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unquantifiable</w:t>
            </w:r>
          </w:p>
        </w:tc>
        <w:tc>
          <w:tcPr>
            <w:tcW w:w="577" w:type="pct"/>
            <w:tcBorders>
              <w:top w:val="single" w:sz="4" w:space="0" w:color="293F5B"/>
              <w:left w:val="nil"/>
              <w:bottom w:val="nil"/>
              <w:right w:val="nil"/>
            </w:tcBorders>
            <w:shd w:val="clear" w:color="000000" w:fill="E6F2FF"/>
            <w:vAlign w:val="center"/>
            <w:hideMark/>
          </w:tcPr>
          <w:p w14:paraId="18071E6B"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B06C9A" w:rsidRPr="00880FAB" w14:paraId="79ABAF5B" w14:textId="77777777" w:rsidTr="00B15C21">
        <w:trPr>
          <w:trHeight w:hRule="exact" w:val="225"/>
        </w:trPr>
        <w:tc>
          <w:tcPr>
            <w:tcW w:w="4423" w:type="pct"/>
            <w:tcBorders>
              <w:top w:val="nil"/>
              <w:left w:val="nil"/>
              <w:bottom w:val="single" w:sz="4" w:space="0" w:color="293F5B"/>
              <w:right w:val="nil"/>
            </w:tcBorders>
            <w:vAlign w:val="center"/>
            <w:hideMark/>
          </w:tcPr>
          <w:p w14:paraId="3A1217CA"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Australian Maritime Safety Authority – ship</w:t>
            </w:r>
            <w:r w:rsidRPr="00880FAB">
              <w:rPr>
                <w:rFonts w:ascii="Arial" w:hAnsi="Arial" w:cs="Arial"/>
                <w:color w:val="000000"/>
                <w:sz w:val="16"/>
                <w:szCs w:val="16"/>
              </w:rPr>
              <w:noBreakHyphen/>
              <w:t>sourced pollution incident costs</w:t>
            </w:r>
          </w:p>
        </w:tc>
        <w:tc>
          <w:tcPr>
            <w:tcW w:w="577" w:type="pct"/>
            <w:tcBorders>
              <w:top w:val="single" w:sz="4" w:space="0" w:color="293F5B"/>
              <w:left w:val="nil"/>
              <w:bottom w:val="nil"/>
              <w:right w:val="nil"/>
            </w:tcBorders>
            <w:vAlign w:val="center"/>
            <w:hideMark/>
          </w:tcPr>
          <w:p w14:paraId="6327671D"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172B3EE2" w14:textId="77777777" w:rsidTr="004C38A7">
        <w:trPr>
          <w:trHeight w:hRule="exact" w:val="397"/>
        </w:trPr>
        <w:tc>
          <w:tcPr>
            <w:tcW w:w="4423" w:type="pct"/>
            <w:tcBorders>
              <w:top w:val="nil"/>
              <w:left w:val="nil"/>
              <w:bottom w:val="single" w:sz="4" w:space="0" w:color="293F5B"/>
              <w:right w:val="nil"/>
            </w:tcBorders>
            <w:vAlign w:val="center"/>
            <w:hideMark/>
          </w:tcPr>
          <w:p w14:paraId="333AD783" w14:textId="77777777" w:rsidR="00A674B0"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Aviation rescue and firefighting services potential per- and poly-fluoroalkyl substances </w:t>
            </w:r>
          </w:p>
          <w:p w14:paraId="4A731E82" w14:textId="2680B8B6"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contamination</w:t>
            </w:r>
          </w:p>
        </w:tc>
        <w:tc>
          <w:tcPr>
            <w:tcW w:w="577" w:type="pct"/>
            <w:tcBorders>
              <w:top w:val="single" w:sz="4" w:space="0" w:color="293F5B"/>
              <w:left w:val="nil"/>
              <w:bottom w:val="nil"/>
              <w:right w:val="nil"/>
            </w:tcBorders>
            <w:vAlign w:val="center"/>
            <w:hideMark/>
          </w:tcPr>
          <w:p w14:paraId="3D664329"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31093A6E" w14:textId="77777777" w:rsidTr="004C38A7">
        <w:trPr>
          <w:trHeight w:hRule="exact" w:val="397"/>
        </w:trPr>
        <w:tc>
          <w:tcPr>
            <w:tcW w:w="4423" w:type="pct"/>
            <w:tcBorders>
              <w:top w:val="nil"/>
              <w:left w:val="nil"/>
              <w:bottom w:val="single" w:sz="4" w:space="0" w:color="293F5B"/>
              <w:right w:val="nil"/>
            </w:tcBorders>
            <w:vAlign w:val="center"/>
            <w:hideMark/>
          </w:tcPr>
          <w:p w14:paraId="588EE255" w14:textId="77777777" w:rsidR="00A674B0"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Indemnity provided to the New South Wales Rural Fire Fighting Service in relation to the </w:t>
            </w:r>
          </w:p>
          <w:p w14:paraId="71182669" w14:textId="6124B70A"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Jervis Bay Territory</w:t>
            </w:r>
          </w:p>
        </w:tc>
        <w:tc>
          <w:tcPr>
            <w:tcW w:w="577" w:type="pct"/>
            <w:tcBorders>
              <w:top w:val="single" w:sz="4" w:space="0" w:color="293F5B"/>
              <w:left w:val="nil"/>
              <w:bottom w:val="nil"/>
              <w:right w:val="nil"/>
            </w:tcBorders>
            <w:vAlign w:val="center"/>
            <w:hideMark/>
          </w:tcPr>
          <w:p w14:paraId="468680D5"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5BAA387F" w14:textId="77777777" w:rsidTr="00B15C21">
        <w:trPr>
          <w:trHeight w:hRule="exact" w:val="225"/>
        </w:trPr>
        <w:tc>
          <w:tcPr>
            <w:tcW w:w="4423" w:type="pct"/>
            <w:tcBorders>
              <w:top w:val="nil"/>
              <w:left w:val="nil"/>
              <w:bottom w:val="single" w:sz="4" w:space="0" w:color="293F5B"/>
              <w:right w:val="nil"/>
            </w:tcBorders>
            <w:vAlign w:val="center"/>
            <w:hideMark/>
          </w:tcPr>
          <w:p w14:paraId="4A1359A3"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Major sporting events</w:t>
            </w:r>
          </w:p>
        </w:tc>
        <w:tc>
          <w:tcPr>
            <w:tcW w:w="577" w:type="pct"/>
            <w:tcBorders>
              <w:top w:val="single" w:sz="4" w:space="0" w:color="293F5B"/>
              <w:left w:val="nil"/>
              <w:bottom w:val="nil"/>
              <w:right w:val="nil"/>
            </w:tcBorders>
            <w:vAlign w:val="center"/>
            <w:hideMark/>
          </w:tcPr>
          <w:p w14:paraId="6362AD96"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Modified</w:t>
            </w:r>
          </w:p>
        </w:tc>
      </w:tr>
      <w:tr w:rsidR="00B06C9A" w:rsidRPr="00880FAB" w14:paraId="58643479" w14:textId="77777777" w:rsidTr="00B15C21">
        <w:trPr>
          <w:trHeight w:hRule="exact" w:val="225"/>
        </w:trPr>
        <w:tc>
          <w:tcPr>
            <w:tcW w:w="4423" w:type="pct"/>
            <w:tcBorders>
              <w:top w:val="nil"/>
              <w:left w:val="nil"/>
              <w:bottom w:val="single" w:sz="4" w:space="0" w:color="293F5B"/>
              <w:right w:val="nil"/>
            </w:tcBorders>
            <w:vAlign w:val="center"/>
            <w:hideMark/>
          </w:tcPr>
          <w:p w14:paraId="2C463448"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Moorebank Intermodal Project – Georges River rail crossing</w:t>
            </w:r>
          </w:p>
        </w:tc>
        <w:tc>
          <w:tcPr>
            <w:tcW w:w="577" w:type="pct"/>
            <w:tcBorders>
              <w:top w:val="single" w:sz="4" w:space="0" w:color="293F5B"/>
              <w:left w:val="nil"/>
              <w:bottom w:val="nil"/>
              <w:right w:val="nil"/>
            </w:tcBorders>
            <w:vAlign w:val="center"/>
            <w:hideMark/>
          </w:tcPr>
          <w:p w14:paraId="1C508753"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50835C8F" w14:textId="77777777" w:rsidTr="00B15C21">
        <w:trPr>
          <w:trHeight w:hRule="exact" w:val="419"/>
        </w:trPr>
        <w:tc>
          <w:tcPr>
            <w:tcW w:w="4423" w:type="pct"/>
            <w:tcBorders>
              <w:top w:val="nil"/>
              <w:left w:val="nil"/>
              <w:bottom w:val="single" w:sz="4" w:space="0" w:color="293F5B"/>
              <w:right w:val="nil"/>
            </w:tcBorders>
            <w:vAlign w:val="center"/>
            <w:hideMark/>
          </w:tcPr>
          <w:p w14:paraId="435E3C40" w14:textId="77777777" w:rsidR="00A674B0"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Service Delivery Arrangement Indemnities – Indian Ocean Territories and Jervis Bay </w:t>
            </w:r>
          </w:p>
          <w:p w14:paraId="173DDE13" w14:textId="2B85B42F"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Territory</w:t>
            </w:r>
          </w:p>
        </w:tc>
        <w:tc>
          <w:tcPr>
            <w:tcW w:w="577" w:type="pct"/>
            <w:tcBorders>
              <w:top w:val="single" w:sz="4" w:space="0" w:color="293F5B"/>
              <w:left w:val="nil"/>
              <w:bottom w:val="single" w:sz="4" w:space="0" w:color="293F5B"/>
              <w:right w:val="nil"/>
            </w:tcBorders>
            <w:vAlign w:val="center"/>
            <w:hideMark/>
          </w:tcPr>
          <w:p w14:paraId="3B7D49C2"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3975F204" w14:textId="77777777" w:rsidTr="00B15C21">
        <w:trPr>
          <w:trHeight w:hRule="exact" w:val="225"/>
        </w:trPr>
        <w:tc>
          <w:tcPr>
            <w:tcW w:w="4423" w:type="pct"/>
            <w:tcBorders>
              <w:top w:val="nil"/>
              <w:left w:val="nil"/>
              <w:bottom w:val="single" w:sz="4" w:space="0" w:color="293F5B"/>
              <w:right w:val="nil"/>
            </w:tcBorders>
            <w:shd w:val="clear" w:color="000000" w:fill="E6F2FF"/>
            <w:vAlign w:val="center"/>
            <w:hideMark/>
          </w:tcPr>
          <w:p w14:paraId="5A82C5EB"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Prime Minister and Cabinet</w:t>
            </w:r>
          </w:p>
        </w:tc>
        <w:tc>
          <w:tcPr>
            <w:tcW w:w="577" w:type="pct"/>
            <w:tcBorders>
              <w:top w:val="nil"/>
              <w:left w:val="nil"/>
              <w:bottom w:val="nil"/>
              <w:right w:val="nil"/>
            </w:tcBorders>
            <w:shd w:val="clear" w:color="000000" w:fill="E6F2FF"/>
            <w:vAlign w:val="center"/>
            <w:hideMark/>
          </w:tcPr>
          <w:p w14:paraId="65EFBEC1"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B06C9A" w:rsidRPr="00880FAB" w14:paraId="125BFE73" w14:textId="77777777" w:rsidTr="00B15C21">
        <w:trPr>
          <w:trHeight w:hRule="exact" w:val="225"/>
        </w:trPr>
        <w:tc>
          <w:tcPr>
            <w:tcW w:w="4423" w:type="pct"/>
            <w:tcBorders>
              <w:top w:val="nil"/>
              <w:left w:val="nil"/>
              <w:bottom w:val="single" w:sz="4" w:space="0" w:color="293F5B"/>
              <w:right w:val="nil"/>
            </w:tcBorders>
            <w:shd w:val="clear" w:color="000000" w:fill="E6F2FF"/>
            <w:vAlign w:val="center"/>
            <w:hideMark/>
          </w:tcPr>
          <w:p w14:paraId="7CD25F9D" w14:textId="77777777" w:rsidR="00B06C9A" w:rsidRPr="00880FAB" w:rsidRDefault="00B06C9A" w:rsidP="00B06C9A">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quantifiable</w:t>
            </w:r>
          </w:p>
        </w:tc>
        <w:tc>
          <w:tcPr>
            <w:tcW w:w="577" w:type="pct"/>
            <w:tcBorders>
              <w:top w:val="single" w:sz="4" w:space="0" w:color="293F5B"/>
              <w:left w:val="nil"/>
              <w:bottom w:val="nil"/>
              <w:right w:val="nil"/>
            </w:tcBorders>
            <w:shd w:val="clear" w:color="000000" w:fill="E6F2FF"/>
            <w:vAlign w:val="center"/>
            <w:hideMark/>
          </w:tcPr>
          <w:p w14:paraId="2DAAF3E9"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B06C9A" w:rsidRPr="00880FAB" w14:paraId="2447D1D1" w14:textId="77777777" w:rsidTr="00B15C21">
        <w:trPr>
          <w:trHeight w:hRule="exact" w:val="225"/>
        </w:trPr>
        <w:tc>
          <w:tcPr>
            <w:tcW w:w="4423" w:type="pct"/>
            <w:tcBorders>
              <w:top w:val="nil"/>
              <w:left w:val="nil"/>
              <w:bottom w:val="nil"/>
              <w:right w:val="nil"/>
            </w:tcBorders>
            <w:vAlign w:val="center"/>
            <w:hideMark/>
          </w:tcPr>
          <w:p w14:paraId="6E3D3C38"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Indigenous Land and Sea Corporation – Voyages Indigenous Tourism Australia</w:t>
            </w:r>
          </w:p>
        </w:tc>
        <w:tc>
          <w:tcPr>
            <w:tcW w:w="577" w:type="pct"/>
            <w:tcBorders>
              <w:top w:val="single" w:sz="4" w:space="0" w:color="293F5B"/>
              <w:left w:val="nil"/>
              <w:bottom w:val="nil"/>
              <w:right w:val="nil"/>
            </w:tcBorders>
            <w:vAlign w:val="center"/>
            <w:hideMark/>
          </w:tcPr>
          <w:p w14:paraId="3E3C2442"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Removed</w:t>
            </w:r>
          </w:p>
        </w:tc>
      </w:tr>
      <w:tr w:rsidR="00B06C9A" w:rsidRPr="00880FAB" w14:paraId="62C29CC1" w14:textId="77777777" w:rsidTr="00B15C21">
        <w:trPr>
          <w:trHeight w:hRule="exact" w:val="225"/>
        </w:trPr>
        <w:tc>
          <w:tcPr>
            <w:tcW w:w="4423" w:type="pct"/>
            <w:tcBorders>
              <w:top w:val="single" w:sz="4" w:space="0" w:color="293F5B"/>
              <w:left w:val="nil"/>
              <w:bottom w:val="single" w:sz="4" w:space="0" w:color="293F5B"/>
              <w:right w:val="nil"/>
            </w:tcBorders>
            <w:shd w:val="clear" w:color="000000" w:fill="E6F2FF"/>
            <w:vAlign w:val="center"/>
            <w:hideMark/>
          </w:tcPr>
          <w:p w14:paraId="72491098"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Social Services</w:t>
            </w:r>
          </w:p>
        </w:tc>
        <w:tc>
          <w:tcPr>
            <w:tcW w:w="577" w:type="pct"/>
            <w:tcBorders>
              <w:top w:val="single" w:sz="4" w:space="0" w:color="293F5B"/>
              <w:left w:val="nil"/>
              <w:bottom w:val="nil"/>
              <w:right w:val="nil"/>
            </w:tcBorders>
            <w:shd w:val="clear" w:color="000000" w:fill="E6F2FF"/>
            <w:vAlign w:val="center"/>
            <w:hideMark/>
          </w:tcPr>
          <w:p w14:paraId="780E96F8"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B06C9A" w:rsidRPr="00880FAB" w14:paraId="10780FC1" w14:textId="77777777" w:rsidTr="00B15C21">
        <w:trPr>
          <w:trHeight w:hRule="exact" w:val="225"/>
        </w:trPr>
        <w:tc>
          <w:tcPr>
            <w:tcW w:w="4423" w:type="pct"/>
            <w:tcBorders>
              <w:top w:val="nil"/>
              <w:left w:val="nil"/>
              <w:bottom w:val="single" w:sz="4" w:space="0" w:color="293F5B"/>
              <w:right w:val="nil"/>
            </w:tcBorders>
            <w:shd w:val="clear" w:color="000000" w:fill="E6F2FF"/>
            <w:vAlign w:val="center"/>
            <w:hideMark/>
          </w:tcPr>
          <w:p w14:paraId="5F049145" w14:textId="77777777" w:rsidR="00B06C9A" w:rsidRPr="00880FAB" w:rsidRDefault="00B06C9A" w:rsidP="00B06C9A">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xml:space="preserve">Contingent liabilities – unquantifiable </w:t>
            </w:r>
          </w:p>
        </w:tc>
        <w:tc>
          <w:tcPr>
            <w:tcW w:w="577" w:type="pct"/>
            <w:tcBorders>
              <w:top w:val="single" w:sz="4" w:space="0" w:color="293F5B"/>
              <w:left w:val="nil"/>
              <w:bottom w:val="nil"/>
              <w:right w:val="nil"/>
            </w:tcBorders>
            <w:shd w:val="clear" w:color="000000" w:fill="E6F2FF"/>
            <w:vAlign w:val="center"/>
            <w:hideMark/>
          </w:tcPr>
          <w:p w14:paraId="4D45F941"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B06C9A" w:rsidRPr="00880FAB" w14:paraId="36F9E2CA" w14:textId="77777777" w:rsidTr="00B15C21">
        <w:trPr>
          <w:trHeight w:hRule="exact" w:val="225"/>
        </w:trPr>
        <w:tc>
          <w:tcPr>
            <w:tcW w:w="4423" w:type="pct"/>
            <w:tcBorders>
              <w:top w:val="nil"/>
              <w:left w:val="nil"/>
              <w:bottom w:val="nil"/>
              <w:right w:val="nil"/>
            </w:tcBorders>
            <w:vAlign w:val="center"/>
            <w:hideMark/>
          </w:tcPr>
          <w:p w14:paraId="69010A1F"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Matthew Chaplin v Secretary, Department of Social Services</w:t>
            </w:r>
          </w:p>
        </w:tc>
        <w:tc>
          <w:tcPr>
            <w:tcW w:w="577" w:type="pct"/>
            <w:tcBorders>
              <w:top w:val="single" w:sz="4" w:space="0" w:color="293F5B"/>
              <w:left w:val="nil"/>
              <w:bottom w:val="nil"/>
              <w:right w:val="nil"/>
            </w:tcBorders>
            <w:vAlign w:val="center"/>
            <w:hideMark/>
          </w:tcPr>
          <w:p w14:paraId="67EE2B24"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617F865E" w14:textId="77777777" w:rsidTr="00B15C21">
        <w:trPr>
          <w:trHeight w:hRule="exact" w:val="225"/>
        </w:trPr>
        <w:tc>
          <w:tcPr>
            <w:tcW w:w="4423" w:type="pct"/>
            <w:tcBorders>
              <w:top w:val="single" w:sz="4" w:space="0" w:color="293F5B"/>
              <w:left w:val="nil"/>
              <w:bottom w:val="single" w:sz="4" w:space="0" w:color="293F5B"/>
              <w:right w:val="nil"/>
            </w:tcBorders>
            <w:shd w:val="clear" w:color="000000" w:fill="E6F2FF"/>
            <w:vAlign w:val="center"/>
            <w:hideMark/>
          </w:tcPr>
          <w:p w14:paraId="2B7E29A3" w14:textId="77777777" w:rsidR="00B06C9A" w:rsidRPr="00880FAB" w:rsidRDefault="00B06C9A" w:rsidP="00B06C9A">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assets – quantifiable</w:t>
            </w:r>
          </w:p>
        </w:tc>
        <w:tc>
          <w:tcPr>
            <w:tcW w:w="577" w:type="pct"/>
            <w:tcBorders>
              <w:top w:val="single" w:sz="4" w:space="0" w:color="293F5B"/>
              <w:left w:val="nil"/>
              <w:bottom w:val="nil"/>
              <w:right w:val="nil"/>
            </w:tcBorders>
            <w:shd w:val="clear" w:color="000000" w:fill="E6F2FF"/>
            <w:vAlign w:val="center"/>
            <w:hideMark/>
          </w:tcPr>
          <w:p w14:paraId="22102C48"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B06C9A" w:rsidRPr="00880FAB" w14:paraId="5DE46E4F" w14:textId="77777777" w:rsidTr="00B15C21">
        <w:trPr>
          <w:trHeight w:hRule="exact" w:val="225"/>
        </w:trPr>
        <w:tc>
          <w:tcPr>
            <w:tcW w:w="4423" w:type="pct"/>
            <w:tcBorders>
              <w:top w:val="nil"/>
              <w:left w:val="nil"/>
              <w:bottom w:val="single" w:sz="4" w:space="0" w:color="293F5B"/>
              <w:right w:val="nil"/>
            </w:tcBorders>
            <w:vAlign w:val="center"/>
            <w:hideMark/>
          </w:tcPr>
          <w:p w14:paraId="7452B789"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National Redress Scheme</w:t>
            </w:r>
          </w:p>
        </w:tc>
        <w:tc>
          <w:tcPr>
            <w:tcW w:w="577" w:type="pct"/>
            <w:tcBorders>
              <w:top w:val="single" w:sz="4" w:space="0" w:color="293F5B"/>
              <w:left w:val="nil"/>
              <w:bottom w:val="single" w:sz="4" w:space="0" w:color="293F5B"/>
              <w:right w:val="nil"/>
            </w:tcBorders>
            <w:vAlign w:val="center"/>
            <w:hideMark/>
          </w:tcPr>
          <w:p w14:paraId="2457F87C"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4C577387" w14:textId="77777777" w:rsidTr="00B15C21">
        <w:trPr>
          <w:trHeight w:hRule="exact" w:val="225"/>
        </w:trPr>
        <w:tc>
          <w:tcPr>
            <w:tcW w:w="4423" w:type="pct"/>
            <w:tcBorders>
              <w:top w:val="nil"/>
              <w:left w:val="nil"/>
              <w:bottom w:val="single" w:sz="4" w:space="0" w:color="293F5B"/>
              <w:right w:val="nil"/>
            </w:tcBorders>
            <w:shd w:val="clear" w:color="000000" w:fill="E6F2FF"/>
            <w:vAlign w:val="center"/>
            <w:hideMark/>
          </w:tcPr>
          <w:p w14:paraId="1F68AE8F"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Treasury</w:t>
            </w:r>
          </w:p>
        </w:tc>
        <w:tc>
          <w:tcPr>
            <w:tcW w:w="577" w:type="pct"/>
            <w:tcBorders>
              <w:top w:val="nil"/>
              <w:left w:val="nil"/>
              <w:bottom w:val="nil"/>
              <w:right w:val="nil"/>
            </w:tcBorders>
            <w:shd w:val="clear" w:color="000000" w:fill="E6F2FF"/>
            <w:vAlign w:val="center"/>
            <w:hideMark/>
          </w:tcPr>
          <w:p w14:paraId="0DFD5FF8"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B06C9A" w:rsidRPr="00880FAB" w14:paraId="4A1571C0" w14:textId="77777777" w:rsidTr="00B15C21">
        <w:trPr>
          <w:trHeight w:hRule="exact" w:val="225"/>
        </w:trPr>
        <w:tc>
          <w:tcPr>
            <w:tcW w:w="4423" w:type="pct"/>
            <w:tcBorders>
              <w:top w:val="nil"/>
              <w:left w:val="nil"/>
              <w:bottom w:val="single" w:sz="4" w:space="0" w:color="293F5B"/>
              <w:right w:val="nil"/>
            </w:tcBorders>
            <w:shd w:val="clear" w:color="000000" w:fill="E6F2FF"/>
            <w:vAlign w:val="center"/>
            <w:hideMark/>
          </w:tcPr>
          <w:p w14:paraId="51F7D1FE" w14:textId="77777777" w:rsidR="00B06C9A" w:rsidRPr="00880FAB" w:rsidRDefault="00B06C9A" w:rsidP="00B06C9A">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Fiscal Risks</w:t>
            </w:r>
          </w:p>
        </w:tc>
        <w:tc>
          <w:tcPr>
            <w:tcW w:w="577" w:type="pct"/>
            <w:tcBorders>
              <w:top w:val="single" w:sz="4" w:space="0" w:color="293F5B"/>
              <w:left w:val="nil"/>
              <w:bottom w:val="nil"/>
              <w:right w:val="nil"/>
            </w:tcBorders>
            <w:shd w:val="clear" w:color="000000" w:fill="E6F2FF"/>
            <w:vAlign w:val="center"/>
            <w:hideMark/>
          </w:tcPr>
          <w:p w14:paraId="2B3FCFD9"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B06C9A" w:rsidRPr="00880FAB" w14:paraId="462DFD95" w14:textId="77777777" w:rsidTr="00B15C21">
        <w:trPr>
          <w:trHeight w:hRule="exact" w:val="225"/>
        </w:trPr>
        <w:tc>
          <w:tcPr>
            <w:tcW w:w="4423" w:type="pct"/>
            <w:tcBorders>
              <w:top w:val="nil"/>
              <w:left w:val="nil"/>
              <w:bottom w:val="single" w:sz="4" w:space="0" w:color="293F5B"/>
              <w:right w:val="nil"/>
            </w:tcBorders>
            <w:vAlign w:val="center"/>
            <w:hideMark/>
          </w:tcPr>
          <w:p w14:paraId="33B9BC40"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New Homes Bonus</w:t>
            </w:r>
          </w:p>
        </w:tc>
        <w:tc>
          <w:tcPr>
            <w:tcW w:w="577" w:type="pct"/>
            <w:tcBorders>
              <w:top w:val="single" w:sz="4" w:space="0" w:color="293F5B"/>
              <w:left w:val="nil"/>
              <w:bottom w:val="nil"/>
              <w:right w:val="nil"/>
            </w:tcBorders>
            <w:vAlign w:val="center"/>
            <w:hideMark/>
          </w:tcPr>
          <w:p w14:paraId="7777B37F"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New</w:t>
            </w:r>
          </w:p>
        </w:tc>
      </w:tr>
      <w:tr w:rsidR="00B06C9A" w:rsidRPr="00880FAB" w14:paraId="38AB142D" w14:textId="77777777" w:rsidTr="00B15C21">
        <w:trPr>
          <w:trHeight w:hRule="exact" w:val="225"/>
        </w:trPr>
        <w:tc>
          <w:tcPr>
            <w:tcW w:w="4423" w:type="pct"/>
            <w:tcBorders>
              <w:top w:val="nil"/>
              <w:left w:val="nil"/>
              <w:bottom w:val="single" w:sz="4" w:space="0" w:color="293F5B"/>
              <w:right w:val="nil"/>
            </w:tcBorders>
            <w:vAlign w:val="center"/>
            <w:hideMark/>
          </w:tcPr>
          <w:p w14:paraId="6D660D13"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Guarantee for Australia and New Zealand Banking Group Limited’s Pacific Liabilities</w:t>
            </w:r>
          </w:p>
        </w:tc>
        <w:tc>
          <w:tcPr>
            <w:tcW w:w="577" w:type="pct"/>
            <w:tcBorders>
              <w:top w:val="single" w:sz="4" w:space="0" w:color="293F5B"/>
              <w:left w:val="nil"/>
              <w:bottom w:val="nil"/>
              <w:right w:val="nil"/>
            </w:tcBorders>
            <w:vAlign w:val="center"/>
            <w:hideMark/>
          </w:tcPr>
          <w:p w14:paraId="7F108AD5"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5271E33E" w14:textId="77777777" w:rsidTr="00B15C21">
        <w:trPr>
          <w:trHeight w:hRule="exact" w:val="225"/>
        </w:trPr>
        <w:tc>
          <w:tcPr>
            <w:tcW w:w="4423" w:type="pct"/>
            <w:tcBorders>
              <w:top w:val="nil"/>
              <w:left w:val="nil"/>
              <w:bottom w:val="nil"/>
              <w:right w:val="nil"/>
            </w:tcBorders>
            <w:vAlign w:val="center"/>
            <w:hideMark/>
          </w:tcPr>
          <w:p w14:paraId="1631D37F"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Guarantee for the Asian Development Bank’s Innovative Finance Facility</w:t>
            </w:r>
          </w:p>
        </w:tc>
        <w:tc>
          <w:tcPr>
            <w:tcW w:w="577" w:type="pct"/>
            <w:tcBorders>
              <w:top w:val="single" w:sz="4" w:space="0" w:color="293F5B"/>
              <w:left w:val="nil"/>
              <w:bottom w:val="nil"/>
              <w:right w:val="nil"/>
            </w:tcBorders>
            <w:vAlign w:val="center"/>
            <w:hideMark/>
          </w:tcPr>
          <w:p w14:paraId="108B7E1D"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1181BC60" w14:textId="77777777" w:rsidTr="00B15C21">
        <w:trPr>
          <w:trHeight w:hRule="exact" w:val="225"/>
        </w:trPr>
        <w:tc>
          <w:tcPr>
            <w:tcW w:w="4423" w:type="pct"/>
            <w:tcBorders>
              <w:top w:val="single" w:sz="4" w:space="0" w:color="293F5B"/>
              <w:left w:val="nil"/>
              <w:bottom w:val="single" w:sz="4" w:space="0" w:color="293F5B"/>
              <w:right w:val="nil"/>
            </w:tcBorders>
            <w:shd w:val="clear" w:color="000000" w:fill="E6F2FF"/>
            <w:vAlign w:val="center"/>
            <w:hideMark/>
          </w:tcPr>
          <w:p w14:paraId="7627B104" w14:textId="77777777" w:rsidR="00B06C9A" w:rsidRPr="00880FAB" w:rsidRDefault="00B06C9A" w:rsidP="00B06C9A">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xml:space="preserve">Significant but remote contingencies </w:t>
            </w:r>
          </w:p>
        </w:tc>
        <w:tc>
          <w:tcPr>
            <w:tcW w:w="577" w:type="pct"/>
            <w:tcBorders>
              <w:top w:val="single" w:sz="4" w:space="0" w:color="293F5B"/>
              <w:left w:val="nil"/>
              <w:bottom w:val="nil"/>
              <w:right w:val="nil"/>
            </w:tcBorders>
            <w:shd w:val="clear" w:color="000000" w:fill="E6F2FF"/>
            <w:vAlign w:val="center"/>
            <w:hideMark/>
          </w:tcPr>
          <w:p w14:paraId="6BBECB14"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B06C9A" w:rsidRPr="00880FAB" w14:paraId="39595828" w14:textId="77777777" w:rsidTr="00B15C21">
        <w:trPr>
          <w:trHeight w:hRule="exact" w:val="225"/>
        </w:trPr>
        <w:tc>
          <w:tcPr>
            <w:tcW w:w="4423" w:type="pct"/>
            <w:tcBorders>
              <w:top w:val="nil"/>
              <w:left w:val="nil"/>
              <w:bottom w:val="single" w:sz="4" w:space="0" w:color="293F5B"/>
              <w:right w:val="nil"/>
            </w:tcBorders>
            <w:vAlign w:val="center"/>
            <w:hideMark/>
          </w:tcPr>
          <w:p w14:paraId="392456F6"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Asbestos Injuries Compensation Fund</w:t>
            </w:r>
          </w:p>
        </w:tc>
        <w:tc>
          <w:tcPr>
            <w:tcW w:w="577" w:type="pct"/>
            <w:tcBorders>
              <w:top w:val="single" w:sz="4" w:space="0" w:color="293F5B"/>
              <w:left w:val="nil"/>
              <w:bottom w:val="nil"/>
              <w:right w:val="nil"/>
            </w:tcBorders>
            <w:vAlign w:val="center"/>
            <w:hideMark/>
          </w:tcPr>
          <w:p w14:paraId="4228FC06"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32B9608C" w14:textId="77777777" w:rsidTr="00B15C21">
        <w:trPr>
          <w:trHeight w:hRule="exact" w:val="225"/>
        </w:trPr>
        <w:tc>
          <w:tcPr>
            <w:tcW w:w="4423" w:type="pct"/>
            <w:tcBorders>
              <w:top w:val="nil"/>
              <w:left w:val="nil"/>
              <w:bottom w:val="single" w:sz="4" w:space="0" w:color="293F5B"/>
              <w:right w:val="nil"/>
            </w:tcBorders>
            <w:vAlign w:val="center"/>
            <w:hideMark/>
          </w:tcPr>
          <w:p w14:paraId="3397D88A"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Financial Claims Scheme</w:t>
            </w:r>
          </w:p>
        </w:tc>
        <w:tc>
          <w:tcPr>
            <w:tcW w:w="577" w:type="pct"/>
            <w:tcBorders>
              <w:top w:val="single" w:sz="4" w:space="0" w:color="293F5B"/>
              <w:left w:val="nil"/>
              <w:bottom w:val="nil"/>
              <w:right w:val="nil"/>
            </w:tcBorders>
            <w:vAlign w:val="center"/>
            <w:hideMark/>
          </w:tcPr>
          <w:p w14:paraId="635AF016"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310A1DC2" w14:textId="77777777" w:rsidTr="00B15C21">
        <w:trPr>
          <w:trHeight w:hRule="exact" w:val="225"/>
        </w:trPr>
        <w:tc>
          <w:tcPr>
            <w:tcW w:w="4423" w:type="pct"/>
            <w:tcBorders>
              <w:top w:val="nil"/>
              <w:left w:val="nil"/>
              <w:bottom w:val="single" w:sz="4" w:space="0" w:color="293F5B"/>
              <w:right w:val="nil"/>
            </w:tcBorders>
            <w:vAlign w:val="center"/>
            <w:hideMark/>
          </w:tcPr>
          <w:p w14:paraId="0CB9AB90"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Guarantee for Housing Australia</w:t>
            </w:r>
          </w:p>
        </w:tc>
        <w:tc>
          <w:tcPr>
            <w:tcW w:w="577" w:type="pct"/>
            <w:tcBorders>
              <w:top w:val="single" w:sz="4" w:space="0" w:color="293F5B"/>
              <w:left w:val="nil"/>
              <w:bottom w:val="nil"/>
              <w:right w:val="nil"/>
            </w:tcBorders>
            <w:vAlign w:val="center"/>
            <w:hideMark/>
          </w:tcPr>
          <w:p w14:paraId="49F7587A"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49E9D035" w14:textId="77777777" w:rsidTr="00B15C21">
        <w:trPr>
          <w:trHeight w:hRule="exact" w:val="225"/>
        </w:trPr>
        <w:tc>
          <w:tcPr>
            <w:tcW w:w="4423" w:type="pct"/>
            <w:tcBorders>
              <w:top w:val="nil"/>
              <w:left w:val="nil"/>
              <w:bottom w:val="single" w:sz="4" w:space="0" w:color="293F5B"/>
              <w:right w:val="nil"/>
            </w:tcBorders>
            <w:vAlign w:val="center"/>
            <w:hideMark/>
          </w:tcPr>
          <w:p w14:paraId="6C24625B"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Guarantees under the </w:t>
            </w:r>
            <w:r w:rsidRPr="00880FAB">
              <w:rPr>
                <w:rFonts w:ascii="Arial" w:hAnsi="Arial" w:cs="Arial"/>
                <w:i/>
                <w:iCs/>
                <w:color w:val="000000"/>
                <w:sz w:val="16"/>
                <w:szCs w:val="16"/>
              </w:rPr>
              <w:t>Commonwealth Bank Sale Act 1995</w:t>
            </w:r>
          </w:p>
        </w:tc>
        <w:tc>
          <w:tcPr>
            <w:tcW w:w="577" w:type="pct"/>
            <w:tcBorders>
              <w:top w:val="single" w:sz="4" w:space="0" w:color="293F5B"/>
              <w:left w:val="nil"/>
              <w:bottom w:val="nil"/>
              <w:right w:val="nil"/>
            </w:tcBorders>
            <w:vAlign w:val="center"/>
            <w:hideMark/>
          </w:tcPr>
          <w:p w14:paraId="4ADE36D1"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058E3DDF" w14:textId="77777777" w:rsidTr="00B15C21">
        <w:trPr>
          <w:trHeight w:hRule="exact" w:val="225"/>
        </w:trPr>
        <w:tc>
          <w:tcPr>
            <w:tcW w:w="4423" w:type="pct"/>
            <w:tcBorders>
              <w:top w:val="nil"/>
              <w:left w:val="nil"/>
              <w:bottom w:val="single" w:sz="4" w:space="0" w:color="293F5B"/>
              <w:right w:val="nil"/>
            </w:tcBorders>
            <w:vAlign w:val="center"/>
            <w:hideMark/>
          </w:tcPr>
          <w:p w14:paraId="29E56AC1"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Reserve Bank of Australia – Guarantee</w:t>
            </w:r>
          </w:p>
        </w:tc>
        <w:tc>
          <w:tcPr>
            <w:tcW w:w="577" w:type="pct"/>
            <w:tcBorders>
              <w:top w:val="single" w:sz="4" w:space="0" w:color="293F5B"/>
              <w:left w:val="nil"/>
              <w:bottom w:val="nil"/>
              <w:right w:val="nil"/>
            </w:tcBorders>
            <w:vAlign w:val="center"/>
            <w:hideMark/>
          </w:tcPr>
          <w:p w14:paraId="613D3E5C"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336389AC" w14:textId="77777777" w:rsidTr="00B15C21">
        <w:trPr>
          <w:trHeight w:hRule="exact" w:val="225"/>
        </w:trPr>
        <w:tc>
          <w:tcPr>
            <w:tcW w:w="4423" w:type="pct"/>
            <w:tcBorders>
              <w:top w:val="nil"/>
              <w:left w:val="nil"/>
              <w:bottom w:val="single" w:sz="4" w:space="0" w:color="293F5B"/>
              <w:right w:val="nil"/>
            </w:tcBorders>
            <w:shd w:val="clear" w:color="000000" w:fill="E6F2FF"/>
            <w:vAlign w:val="center"/>
            <w:hideMark/>
          </w:tcPr>
          <w:p w14:paraId="3CE83D73" w14:textId="77777777" w:rsidR="00B06C9A" w:rsidRPr="00880FAB" w:rsidRDefault="00B06C9A" w:rsidP="00B06C9A">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unquantifiable</w:t>
            </w:r>
          </w:p>
        </w:tc>
        <w:tc>
          <w:tcPr>
            <w:tcW w:w="577" w:type="pct"/>
            <w:tcBorders>
              <w:top w:val="single" w:sz="4" w:space="0" w:color="293F5B"/>
              <w:left w:val="nil"/>
              <w:bottom w:val="nil"/>
              <w:right w:val="nil"/>
            </w:tcBorders>
            <w:shd w:val="clear" w:color="000000" w:fill="E6F2FF"/>
            <w:vAlign w:val="center"/>
            <w:hideMark/>
          </w:tcPr>
          <w:p w14:paraId="348A296A"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B06C9A" w:rsidRPr="00880FAB" w14:paraId="4354EA44" w14:textId="77777777" w:rsidTr="00B15C21">
        <w:trPr>
          <w:trHeight w:hRule="exact" w:val="225"/>
        </w:trPr>
        <w:tc>
          <w:tcPr>
            <w:tcW w:w="4423" w:type="pct"/>
            <w:tcBorders>
              <w:top w:val="nil"/>
              <w:left w:val="nil"/>
              <w:bottom w:val="single" w:sz="4" w:space="0" w:color="293F5B"/>
              <w:right w:val="nil"/>
            </w:tcBorders>
            <w:vAlign w:val="center"/>
            <w:hideMark/>
          </w:tcPr>
          <w:p w14:paraId="0CA54DE0"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Guarantee of a cyclone and related flooding reinsurance pool</w:t>
            </w:r>
          </w:p>
        </w:tc>
        <w:tc>
          <w:tcPr>
            <w:tcW w:w="577" w:type="pct"/>
            <w:tcBorders>
              <w:top w:val="single" w:sz="4" w:space="0" w:color="293F5B"/>
              <w:left w:val="nil"/>
              <w:bottom w:val="nil"/>
              <w:right w:val="nil"/>
            </w:tcBorders>
            <w:vAlign w:val="center"/>
            <w:hideMark/>
          </w:tcPr>
          <w:p w14:paraId="3CA93B4E"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7545E920" w14:textId="77777777" w:rsidTr="00B15C21">
        <w:trPr>
          <w:trHeight w:hRule="exact" w:val="225"/>
        </w:trPr>
        <w:tc>
          <w:tcPr>
            <w:tcW w:w="4423" w:type="pct"/>
            <w:tcBorders>
              <w:top w:val="nil"/>
              <w:left w:val="nil"/>
              <w:bottom w:val="single" w:sz="4" w:space="0" w:color="293F5B"/>
              <w:right w:val="nil"/>
            </w:tcBorders>
            <w:vAlign w:val="center"/>
            <w:hideMark/>
          </w:tcPr>
          <w:p w14:paraId="2BABFEC2"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Guarantees for housing</w:t>
            </w:r>
          </w:p>
        </w:tc>
        <w:tc>
          <w:tcPr>
            <w:tcW w:w="577" w:type="pct"/>
            <w:tcBorders>
              <w:top w:val="single" w:sz="4" w:space="0" w:color="293F5B"/>
              <w:left w:val="nil"/>
              <w:bottom w:val="nil"/>
              <w:right w:val="nil"/>
            </w:tcBorders>
            <w:vAlign w:val="center"/>
            <w:hideMark/>
          </w:tcPr>
          <w:p w14:paraId="005919F8"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6EFB7612" w14:textId="77777777" w:rsidTr="00B15C21">
        <w:trPr>
          <w:trHeight w:hRule="exact" w:val="225"/>
        </w:trPr>
        <w:tc>
          <w:tcPr>
            <w:tcW w:w="4423" w:type="pct"/>
            <w:tcBorders>
              <w:top w:val="nil"/>
              <w:left w:val="nil"/>
              <w:bottom w:val="single" w:sz="4" w:space="0" w:color="293F5B"/>
              <w:right w:val="nil"/>
            </w:tcBorders>
            <w:vAlign w:val="center"/>
            <w:hideMark/>
          </w:tcPr>
          <w:p w14:paraId="160D6D03"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Indemnities for specialised external advisers during the COVID-19 pandemic</w:t>
            </w:r>
          </w:p>
        </w:tc>
        <w:tc>
          <w:tcPr>
            <w:tcW w:w="577" w:type="pct"/>
            <w:tcBorders>
              <w:top w:val="single" w:sz="4" w:space="0" w:color="293F5B"/>
              <w:left w:val="nil"/>
              <w:bottom w:val="nil"/>
              <w:right w:val="nil"/>
            </w:tcBorders>
            <w:vAlign w:val="center"/>
            <w:hideMark/>
          </w:tcPr>
          <w:p w14:paraId="1C1BBBAC"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37062BC3" w14:textId="77777777" w:rsidTr="00B15C21">
        <w:trPr>
          <w:trHeight w:hRule="exact" w:val="225"/>
        </w:trPr>
        <w:tc>
          <w:tcPr>
            <w:tcW w:w="4423" w:type="pct"/>
            <w:tcBorders>
              <w:top w:val="nil"/>
              <w:left w:val="nil"/>
              <w:bottom w:val="single" w:sz="4" w:space="0" w:color="293F5B"/>
              <w:right w:val="nil"/>
            </w:tcBorders>
            <w:vAlign w:val="center"/>
            <w:hideMark/>
          </w:tcPr>
          <w:p w14:paraId="3FED8068"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Small and Medium Enterprise (SME) Guarantee Scheme and SME Recovery Loan Scheme</w:t>
            </w:r>
          </w:p>
        </w:tc>
        <w:tc>
          <w:tcPr>
            <w:tcW w:w="577" w:type="pct"/>
            <w:tcBorders>
              <w:top w:val="single" w:sz="4" w:space="0" w:color="293F5B"/>
              <w:left w:val="nil"/>
              <w:bottom w:val="nil"/>
              <w:right w:val="nil"/>
            </w:tcBorders>
            <w:vAlign w:val="center"/>
            <w:hideMark/>
          </w:tcPr>
          <w:p w14:paraId="1563F6F7"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01465AAD" w14:textId="77777777" w:rsidTr="00B15C21">
        <w:trPr>
          <w:trHeight w:hRule="exact" w:val="225"/>
        </w:trPr>
        <w:tc>
          <w:tcPr>
            <w:tcW w:w="4423" w:type="pct"/>
            <w:tcBorders>
              <w:top w:val="nil"/>
              <w:left w:val="nil"/>
              <w:bottom w:val="single" w:sz="4" w:space="0" w:color="293F5B"/>
              <w:right w:val="nil"/>
            </w:tcBorders>
            <w:vAlign w:val="center"/>
            <w:hideMark/>
          </w:tcPr>
          <w:p w14:paraId="02C99D01"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Terrorism insurance – commercial cover</w:t>
            </w:r>
          </w:p>
        </w:tc>
        <w:tc>
          <w:tcPr>
            <w:tcW w:w="577" w:type="pct"/>
            <w:tcBorders>
              <w:top w:val="single" w:sz="4" w:space="0" w:color="293F5B"/>
              <w:left w:val="nil"/>
              <w:bottom w:val="nil"/>
              <w:right w:val="nil"/>
            </w:tcBorders>
            <w:vAlign w:val="center"/>
            <w:hideMark/>
          </w:tcPr>
          <w:p w14:paraId="0B98D595"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253D539C" w14:textId="77777777" w:rsidTr="00B15C21">
        <w:trPr>
          <w:trHeight w:hRule="exact" w:val="225"/>
        </w:trPr>
        <w:tc>
          <w:tcPr>
            <w:tcW w:w="4423" w:type="pct"/>
            <w:tcBorders>
              <w:top w:val="nil"/>
              <w:left w:val="nil"/>
              <w:bottom w:val="single" w:sz="4" w:space="0" w:color="293F5B"/>
              <w:right w:val="nil"/>
            </w:tcBorders>
            <w:shd w:val="clear" w:color="000000" w:fill="E6F2FF"/>
            <w:vAlign w:val="center"/>
            <w:hideMark/>
          </w:tcPr>
          <w:p w14:paraId="03114308" w14:textId="77777777" w:rsidR="00B06C9A" w:rsidRPr="00880FAB" w:rsidRDefault="00B06C9A" w:rsidP="00B06C9A">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quantifiable</w:t>
            </w:r>
          </w:p>
        </w:tc>
        <w:tc>
          <w:tcPr>
            <w:tcW w:w="577" w:type="pct"/>
            <w:tcBorders>
              <w:top w:val="single" w:sz="4" w:space="0" w:color="293F5B"/>
              <w:left w:val="nil"/>
              <w:bottom w:val="nil"/>
              <w:right w:val="nil"/>
            </w:tcBorders>
            <w:shd w:val="clear" w:color="000000" w:fill="E6F2FF"/>
            <w:vAlign w:val="center"/>
            <w:hideMark/>
          </w:tcPr>
          <w:p w14:paraId="48454A39" w14:textId="77777777" w:rsidR="00B06C9A" w:rsidRPr="00880FAB" w:rsidRDefault="00B06C9A" w:rsidP="00B06C9A">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B06C9A" w:rsidRPr="00880FAB" w14:paraId="2353EE7F" w14:textId="77777777" w:rsidTr="00B15C21">
        <w:trPr>
          <w:trHeight w:hRule="exact" w:val="225"/>
        </w:trPr>
        <w:tc>
          <w:tcPr>
            <w:tcW w:w="4423" w:type="pct"/>
            <w:tcBorders>
              <w:top w:val="nil"/>
              <w:left w:val="nil"/>
              <w:bottom w:val="single" w:sz="4" w:space="0" w:color="293F5B"/>
              <w:right w:val="nil"/>
            </w:tcBorders>
            <w:vAlign w:val="center"/>
            <w:hideMark/>
          </w:tcPr>
          <w:p w14:paraId="3CBD60FD"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Australian Taxation Office – tax disputes</w:t>
            </w:r>
          </w:p>
        </w:tc>
        <w:tc>
          <w:tcPr>
            <w:tcW w:w="577" w:type="pct"/>
            <w:tcBorders>
              <w:top w:val="single" w:sz="4" w:space="0" w:color="293F5B"/>
              <w:left w:val="nil"/>
              <w:bottom w:val="single" w:sz="4" w:space="0" w:color="293F5B"/>
              <w:right w:val="nil"/>
            </w:tcBorders>
            <w:vAlign w:val="center"/>
            <w:hideMark/>
          </w:tcPr>
          <w:p w14:paraId="483E912B"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B06C9A" w:rsidRPr="00880FAB" w14:paraId="3B899AF0" w14:textId="77777777" w:rsidTr="00B15C21">
        <w:trPr>
          <w:trHeight w:hRule="exact" w:val="225"/>
        </w:trPr>
        <w:tc>
          <w:tcPr>
            <w:tcW w:w="4423" w:type="pct"/>
            <w:tcBorders>
              <w:top w:val="nil"/>
              <w:left w:val="nil"/>
              <w:bottom w:val="single" w:sz="4" w:space="0" w:color="293F5B"/>
              <w:right w:val="nil"/>
            </w:tcBorders>
            <w:vAlign w:val="center"/>
            <w:hideMark/>
          </w:tcPr>
          <w:p w14:paraId="3507874D" w14:textId="77777777" w:rsidR="00B06C9A" w:rsidRPr="00880FAB" w:rsidRDefault="00B06C9A" w:rsidP="00B06C9A">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International financial institutions – uncalled capital subscriptions</w:t>
            </w:r>
          </w:p>
          <w:p w14:paraId="78E41A8C" w14:textId="77777777" w:rsidR="00D44D2A" w:rsidRPr="00880FAB" w:rsidRDefault="00D44D2A" w:rsidP="00D44D2A">
            <w:pPr>
              <w:rPr>
                <w:rFonts w:ascii="Arial" w:hAnsi="Arial" w:cs="Arial"/>
                <w:sz w:val="16"/>
                <w:szCs w:val="16"/>
              </w:rPr>
            </w:pPr>
          </w:p>
          <w:p w14:paraId="37EE67D7" w14:textId="77777777" w:rsidR="00D44D2A" w:rsidRPr="00880FAB" w:rsidRDefault="00D44D2A" w:rsidP="00D44D2A">
            <w:pPr>
              <w:rPr>
                <w:rFonts w:ascii="Arial" w:hAnsi="Arial" w:cs="Arial"/>
                <w:sz w:val="16"/>
                <w:szCs w:val="16"/>
              </w:rPr>
            </w:pPr>
          </w:p>
          <w:p w14:paraId="65F149BD" w14:textId="77777777" w:rsidR="00D44D2A" w:rsidRPr="00880FAB" w:rsidRDefault="00D44D2A" w:rsidP="00D44D2A">
            <w:pPr>
              <w:rPr>
                <w:rFonts w:ascii="Arial" w:hAnsi="Arial" w:cs="Arial"/>
                <w:sz w:val="16"/>
                <w:szCs w:val="16"/>
              </w:rPr>
            </w:pPr>
          </w:p>
        </w:tc>
        <w:tc>
          <w:tcPr>
            <w:tcW w:w="577" w:type="pct"/>
            <w:tcBorders>
              <w:top w:val="single" w:sz="4" w:space="0" w:color="293F5B"/>
              <w:left w:val="nil"/>
              <w:bottom w:val="single" w:sz="4" w:space="0" w:color="293F5B"/>
              <w:right w:val="nil"/>
            </w:tcBorders>
            <w:vAlign w:val="center"/>
            <w:hideMark/>
          </w:tcPr>
          <w:p w14:paraId="74A6BC10" w14:textId="77777777" w:rsidR="00B06C9A" w:rsidRPr="00880FAB" w:rsidRDefault="00B06C9A" w:rsidP="00B06C9A">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bl>
    <w:p w14:paraId="4728ED8E" w14:textId="77777777" w:rsidR="00CF3308" w:rsidRPr="00CF3308" w:rsidRDefault="00CF3308" w:rsidP="00880FAB">
      <w:pPr>
        <w:pStyle w:val="TableHeadingcontinued"/>
      </w:pPr>
      <w:r w:rsidRPr="00CF3308">
        <w:lastRenderedPageBreak/>
        <w:t>Table 9.2: Summary of fiscal risks, contingent liabilities and contingent assets in the Statement of Risks (continued)</w:t>
      </w:r>
    </w:p>
    <w:tbl>
      <w:tblPr>
        <w:tblW w:w="5091" w:type="pct"/>
        <w:tblCellMar>
          <w:left w:w="0" w:type="dxa"/>
          <w:right w:w="28" w:type="dxa"/>
        </w:tblCellMar>
        <w:tblLook w:val="04A0" w:firstRow="1" w:lastRow="0" w:firstColumn="1" w:lastColumn="0" w:noHBand="0" w:noVBand="1"/>
      </w:tblPr>
      <w:tblGrid>
        <w:gridCol w:w="6947"/>
        <w:gridCol w:w="904"/>
      </w:tblGrid>
      <w:tr w:rsidR="001206E8" w:rsidRPr="00880FAB" w14:paraId="11B619D2" w14:textId="77777777" w:rsidTr="00B400AD">
        <w:trPr>
          <w:trHeight w:val="268"/>
        </w:trPr>
        <w:tc>
          <w:tcPr>
            <w:tcW w:w="4424" w:type="pct"/>
            <w:tcBorders>
              <w:top w:val="single" w:sz="4" w:space="0" w:color="293F5B"/>
              <w:left w:val="nil"/>
              <w:bottom w:val="single" w:sz="4" w:space="0" w:color="293F5B"/>
              <w:right w:val="nil"/>
            </w:tcBorders>
            <w:shd w:val="clear" w:color="000000" w:fill="E6F2FF"/>
            <w:vAlign w:val="center"/>
            <w:hideMark/>
          </w:tcPr>
          <w:p w14:paraId="082E3B8D" w14:textId="77777777" w:rsidR="00CF3308" w:rsidRPr="00880FAB" w:rsidRDefault="00CF3308" w:rsidP="00CF3308">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Treasury (continued)</w:t>
            </w:r>
          </w:p>
        </w:tc>
        <w:tc>
          <w:tcPr>
            <w:tcW w:w="576" w:type="pct"/>
            <w:tcBorders>
              <w:top w:val="single" w:sz="4" w:space="0" w:color="293F5B"/>
              <w:left w:val="nil"/>
              <w:bottom w:val="nil"/>
              <w:right w:val="nil"/>
            </w:tcBorders>
            <w:shd w:val="clear" w:color="000000" w:fill="E6F2FF"/>
            <w:vAlign w:val="center"/>
            <w:hideMark/>
          </w:tcPr>
          <w:p w14:paraId="70AF5754" w14:textId="77777777" w:rsidR="00CF3308" w:rsidRPr="00880FAB" w:rsidRDefault="00CF3308" w:rsidP="00CF3308">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1206E8" w:rsidRPr="00880FAB" w14:paraId="04240384" w14:textId="77777777" w:rsidTr="00B400AD">
        <w:trPr>
          <w:trHeight w:hRule="exact" w:val="268"/>
        </w:trPr>
        <w:tc>
          <w:tcPr>
            <w:tcW w:w="4424" w:type="pct"/>
            <w:tcBorders>
              <w:top w:val="nil"/>
              <w:left w:val="nil"/>
              <w:bottom w:val="single" w:sz="4" w:space="0" w:color="293F5B"/>
              <w:right w:val="nil"/>
            </w:tcBorders>
            <w:shd w:val="clear" w:color="000000" w:fill="E6F2FF"/>
            <w:vAlign w:val="center"/>
            <w:hideMark/>
          </w:tcPr>
          <w:p w14:paraId="12093AC6" w14:textId="77777777" w:rsidR="00CF3308" w:rsidRPr="00880FAB" w:rsidRDefault="00CF3308" w:rsidP="00CF3308">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Contingent liabilities – quantifiable</w:t>
            </w:r>
          </w:p>
        </w:tc>
        <w:tc>
          <w:tcPr>
            <w:tcW w:w="576" w:type="pct"/>
            <w:tcBorders>
              <w:top w:val="single" w:sz="4" w:space="0" w:color="293F5B"/>
              <w:left w:val="nil"/>
              <w:bottom w:val="nil"/>
              <w:right w:val="nil"/>
            </w:tcBorders>
            <w:shd w:val="clear" w:color="000000" w:fill="E6F2FF"/>
            <w:vAlign w:val="center"/>
            <w:hideMark/>
          </w:tcPr>
          <w:p w14:paraId="07207B3A" w14:textId="77777777" w:rsidR="00CF3308" w:rsidRPr="00880FAB" w:rsidRDefault="00CF3308" w:rsidP="00CF3308">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CF3308" w:rsidRPr="00880FAB" w14:paraId="04BFF205" w14:textId="77777777" w:rsidTr="00B400AD">
        <w:trPr>
          <w:trHeight w:hRule="exact" w:val="268"/>
        </w:trPr>
        <w:tc>
          <w:tcPr>
            <w:tcW w:w="4424" w:type="pct"/>
            <w:tcBorders>
              <w:top w:val="nil"/>
              <w:left w:val="nil"/>
              <w:bottom w:val="single" w:sz="4" w:space="0" w:color="293F5B"/>
              <w:right w:val="nil"/>
            </w:tcBorders>
            <w:vAlign w:val="center"/>
            <w:hideMark/>
          </w:tcPr>
          <w:p w14:paraId="74A78F34" w14:textId="77777777" w:rsidR="00CF3308" w:rsidRPr="00880FAB" w:rsidRDefault="00CF3308" w:rsidP="00CF330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Australian Taxation Office – tax disputes</w:t>
            </w:r>
          </w:p>
        </w:tc>
        <w:tc>
          <w:tcPr>
            <w:tcW w:w="576" w:type="pct"/>
            <w:tcBorders>
              <w:top w:val="single" w:sz="4" w:space="0" w:color="293F5B"/>
              <w:left w:val="nil"/>
              <w:bottom w:val="nil"/>
              <w:right w:val="nil"/>
            </w:tcBorders>
            <w:vAlign w:val="center"/>
            <w:hideMark/>
          </w:tcPr>
          <w:p w14:paraId="5B2DBD31" w14:textId="77777777" w:rsidR="00CF3308" w:rsidRPr="00880FAB" w:rsidRDefault="00CF3308" w:rsidP="00CF330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CF3308" w:rsidRPr="00880FAB" w14:paraId="3AEA6011" w14:textId="77777777" w:rsidTr="00B400AD">
        <w:trPr>
          <w:trHeight w:hRule="exact" w:val="268"/>
        </w:trPr>
        <w:tc>
          <w:tcPr>
            <w:tcW w:w="4424" w:type="pct"/>
            <w:tcBorders>
              <w:top w:val="nil"/>
              <w:left w:val="nil"/>
              <w:bottom w:val="single" w:sz="4" w:space="0" w:color="293F5B"/>
              <w:right w:val="nil"/>
            </w:tcBorders>
            <w:vAlign w:val="center"/>
            <w:hideMark/>
          </w:tcPr>
          <w:p w14:paraId="52B46EE6" w14:textId="77777777" w:rsidR="00CF3308" w:rsidRPr="00880FAB" w:rsidRDefault="00CF3308" w:rsidP="00CF330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International financial institutions – uncalled capital subscriptions</w:t>
            </w:r>
          </w:p>
        </w:tc>
        <w:tc>
          <w:tcPr>
            <w:tcW w:w="576" w:type="pct"/>
            <w:tcBorders>
              <w:top w:val="single" w:sz="4" w:space="0" w:color="293F5B"/>
              <w:left w:val="nil"/>
              <w:bottom w:val="nil"/>
              <w:right w:val="nil"/>
            </w:tcBorders>
            <w:vAlign w:val="center"/>
            <w:hideMark/>
          </w:tcPr>
          <w:p w14:paraId="6F0F5986" w14:textId="77777777" w:rsidR="00CF3308" w:rsidRPr="00880FAB" w:rsidRDefault="00CF3308" w:rsidP="00CF330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CF3308" w:rsidRPr="00880FAB" w14:paraId="4CB2D274" w14:textId="77777777" w:rsidTr="00B400AD">
        <w:trPr>
          <w:trHeight w:hRule="exact" w:val="268"/>
        </w:trPr>
        <w:tc>
          <w:tcPr>
            <w:tcW w:w="4424" w:type="pct"/>
            <w:tcBorders>
              <w:top w:val="nil"/>
              <w:left w:val="nil"/>
              <w:bottom w:val="single" w:sz="4" w:space="0" w:color="293F5B"/>
              <w:right w:val="nil"/>
            </w:tcBorders>
            <w:vAlign w:val="center"/>
            <w:hideMark/>
          </w:tcPr>
          <w:p w14:paraId="4C7445B7" w14:textId="77777777" w:rsidR="00CF3308" w:rsidRPr="00880FAB" w:rsidRDefault="00CF3308" w:rsidP="00CF330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International Monetary Fund – 16th General Review of Quota</w:t>
            </w:r>
          </w:p>
        </w:tc>
        <w:tc>
          <w:tcPr>
            <w:tcW w:w="576" w:type="pct"/>
            <w:tcBorders>
              <w:top w:val="single" w:sz="4" w:space="0" w:color="293F5B"/>
              <w:left w:val="nil"/>
              <w:bottom w:val="nil"/>
              <w:right w:val="nil"/>
            </w:tcBorders>
            <w:vAlign w:val="center"/>
            <w:hideMark/>
          </w:tcPr>
          <w:p w14:paraId="23A359A5" w14:textId="77777777" w:rsidR="00CF3308" w:rsidRPr="00880FAB" w:rsidRDefault="00CF3308" w:rsidP="00CF330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CF3308" w:rsidRPr="00880FAB" w14:paraId="018AAB17" w14:textId="77777777" w:rsidTr="004C38A7">
        <w:trPr>
          <w:trHeight w:hRule="exact" w:val="397"/>
        </w:trPr>
        <w:tc>
          <w:tcPr>
            <w:tcW w:w="4424" w:type="pct"/>
            <w:tcBorders>
              <w:top w:val="nil"/>
              <w:left w:val="nil"/>
              <w:bottom w:val="single" w:sz="4" w:space="0" w:color="293F5B"/>
              <w:right w:val="nil"/>
            </w:tcBorders>
            <w:vAlign w:val="center"/>
            <w:hideMark/>
          </w:tcPr>
          <w:p w14:paraId="193F3D73" w14:textId="77777777" w:rsidR="00CF3308" w:rsidRPr="00880FAB" w:rsidRDefault="00CF3308" w:rsidP="00CF330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 xml:space="preserve">International Monetary Fund – New Arrangements to Borrow &amp; Bilateral Borrowing </w:t>
            </w:r>
          </w:p>
          <w:p w14:paraId="034078DF" w14:textId="5B1D9739" w:rsidR="00CF3308" w:rsidRPr="00880FAB" w:rsidRDefault="00CF3308" w:rsidP="00CF330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Agreement</w:t>
            </w:r>
          </w:p>
        </w:tc>
        <w:tc>
          <w:tcPr>
            <w:tcW w:w="576" w:type="pct"/>
            <w:tcBorders>
              <w:top w:val="single" w:sz="4" w:space="0" w:color="293F5B"/>
              <w:left w:val="nil"/>
              <w:bottom w:val="nil"/>
              <w:right w:val="nil"/>
            </w:tcBorders>
            <w:vAlign w:val="center"/>
            <w:hideMark/>
          </w:tcPr>
          <w:p w14:paraId="5B69B67C" w14:textId="77777777" w:rsidR="00CF3308" w:rsidRPr="00880FAB" w:rsidRDefault="00CF3308" w:rsidP="00CF330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CF3308" w:rsidRPr="00880FAB" w14:paraId="4E9F9DA5" w14:textId="77777777" w:rsidTr="00B400AD">
        <w:trPr>
          <w:trHeight w:hRule="exact" w:val="268"/>
        </w:trPr>
        <w:tc>
          <w:tcPr>
            <w:tcW w:w="4424" w:type="pct"/>
            <w:tcBorders>
              <w:top w:val="nil"/>
              <w:left w:val="nil"/>
              <w:bottom w:val="single" w:sz="4" w:space="0" w:color="293F5B"/>
              <w:right w:val="nil"/>
            </w:tcBorders>
            <w:vAlign w:val="center"/>
            <w:hideMark/>
          </w:tcPr>
          <w:p w14:paraId="3FD23506" w14:textId="77777777" w:rsidR="00CF3308" w:rsidRPr="00880FAB" w:rsidRDefault="00CF3308" w:rsidP="00CF330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International Monetary Fund – Poverty Reduction and Growth Trust</w:t>
            </w:r>
          </w:p>
        </w:tc>
        <w:tc>
          <w:tcPr>
            <w:tcW w:w="576" w:type="pct"/>
            <w:tcBorders>
              <w:top w:val="single" w:sz="4" w:space="0" w:color="293F5B"/>
              <w:left w:val="nil"/>
              <w:bottom w:val="nil"/>
              <w:right w:val="nil"/>
            </w:tcBorders>
            <w:vAlign w:val="center"/>
            <w:hideMark/>
          </w:tcPr>
          <w:p w14:paraId="7E48EC56" w14:textId="77777777" w:rsidR="00CF3308" w:rsidRPr="00880FAB" w:rsidRDefault="00CF3308" w:rsidP="00CF3308">
            <w:pPr>
              <w:spacing w:before="0" w:after="0" w:line="240" w:lineRule="auto"/>
              <w:rPr>
                <w:rFonts w:ascii="Arial" w:hAnsi="Arial" w:cs="Arial"/>
                <w:color w:val="000000"/>
                <w:sz w:val="16"/>
                <w:szCs w:val="16"/>
              </w:rPr>
            </w:pPr>
            <w:r w:rsidRPr="00880FAB">
              <w:rPr>
                <w:rFonts w:ascii="Arial" w:hAnsi="Arial" w:cs="Arial"/>
                <w:color w:val="000000"/>
                <w:sz w:val="16"/>
                <w:szCs w:val="16"/>
              </w:rPr>
              <w:t xml:space="preserve">Unchanged </w:t>
            </w:r>
          </w:p>
        </w:tc>
      </w:tr>
      <w:tr w:rsidR="00CF3308" w:rsidRPr="00880FAB" w14:paraId="75F14DD9" w14:textId="77777777" w:rsidTr="00B400AD">
        <w:trPr>
          <w:trHeight w:hRule="exact" w:val="268"/>
        </w:trPr>
        <w:tc>
          <w:tcPr>
            <w:tcW w:w="4424" w:type="pct"/>
            <w:tcBorders>
              <w:top w:val="nil"/>
              <w:left w:val="nil"/>
              <w:bottom w:val="single" w:sz="4" w:space="0" w:color="293F5B"/>
              <w:right w:val="nil"/>
            </w:tcBorders>
            <w:vAlign w:val="center"/>
            <w:hideMark/>
          </w:tcPr>
          <w:p w14:paraId="5C6FAD43" w14:textId="77777777" w:rsidR="00CF3308" w:rsidRPr="00880FAB" w:rsidRDefault="00CF3308" w:rsidP="00CF330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International Monetary Fund – Resilience and Sustainability Trust</w:t>
            </w:r>
          </w:p>
        </w:tc>
        <w:tc>
          <w:tcPr>
            <w:tcW w:w="576" w:type="pct"/>
            <w:tcBorders>
              <w:top w:val="single" w:sz="4" w:space="0" w:color="293F5B"/>
              <w:left w:val="nil"/>
              <w:bottom w:val="nil"/>
              <w:right w:val="nil"/>
            </w:tcBorders>
            <w:vAlign w:val="center"/>
            <w:hideMark/>
          </w:tcPr>
          <w:p w14:paraId="4356D9E0" w14:textId="77777777" w:rsidR="00CF3308" w:rsidRPr="00880FAB" w:rsidRDefault="00CF3308" w:rsidP="00CF330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r w:rsidR="001206E8" w:rsidRPr="00880FAB" w14:paraId="77A47993" w14:textId="77777777" w:rsidTr="00B400AD">
        <w:trPr>
          <w:trHeight w:hRule="exact" w:val="268"/>
        </w:trPr>
        <w:tc>
          <w:tcPr>
            <w:tcW w:w="4424" w:type="pct"/>
            <w:tcBorders>
              <w:top w:val="nil"/>
              <w:left w:val="nil"/>
              <w:bottom w:val="single" w:sz="4" w:space="0" w:color="293F5B"/>
              <w:right w:val="nil"/>
            </w:tcBorders>
            <w:shd w:val="clear" w:color="000000" w:fill="E6F2FF"/>
            <w:vAlign w:val="center"/>
            <w:hideMark/>
          </w:tcPr>
          <w:p w14:paraId="4544781D" w14:textId="77777777" w:rsidR="00CF3308" w:rsidRPr="00880FAB" w:rsidRDefault="00CF3308" w:rsidP="00CF3308">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Veterans’ Affairs</w:t>
            </w:r>
          </w:p>
        </w:tc>
        <w:tc>
          <w:tcPr>
            <w:tcW w:w="576" w:type="pct"/>
            <w:tcBorders>
              <w:top w:val="single" w:sz="4" w:space="0" w:color="293F5B"/>
              <w:left w:val="nil"/>
              <w:bottom w:val="nil"/>
              <w:right w:val="nil"/>
            </w:tcBorders>
            <w:shd w:val="clear" w:color="000000" w:fill="E6F2FF"/>
            <w:vAlign w:val="center"/>
            <w:hideMark/>
          </w:tcPr>
          <w:p w14:paraId="6EC0DB28" w14:textId="77777777" w:rsidR="00CF3308" w:rsidRPr="00880FAB" w:rsidRDefault="00CF3308" w:rsidP="00CF3308">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Status</w:t>
            </w:r>
          </w:p>
        </w:tc>
      </w:tr>
      <w:tr w:rsidR="001206E8" w:rsidRPr="00880FAB" w14:paraId="42724D74" w14:textId="77777777" w:rsidTr="00B400AD">
        <w:trPr>
          <w:trHeight w:hRule="exact" w:val="268"/>
        </w:trPr>
        <w:tc>
          <w:tcPr>
            <w:tcW w:w="4424" w:type="pct"/>
            <w:tcBorders>
              <w:top w:val="nil"/>
              <w:left w:val="nil"/>
              <w:bottom w:val="single" w:sz="4" w:space="0" w:color="293F5B"/>
              <w:right w:val="nil"/>
            </w:tcBorders>
            <w:shd w:val="clear" w:color="000000" w:fill="E6F2FF"/>
            <w:vAlign w:val="center"/>
            <w:hideMark/>
          </w:tcPr>
          <w:p w14:paraId="7BD8F9E7" w14:textId="77777777" w:rsidR="00CF3308" w:rsidRPr="00880FAB" w:rsidRDefault="00CF3308" w:rsidP="00CF3308">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Fiscal Risks</w:t>
            </w:r>
          </w:p>
        </w:tc>
        <w:tc>
          <w:tcPr>
            <w:tcW w:w="576" w:type="pct"/>
            <w:tcBorders>
              <w:top w:val="single" w:sz="4" w:space="0" w:color="293F5B"/>
              <w:left w:val="nil"/>
              <w:bottom w:val="nil"/>
              <w:right w:val="nil"/>
            </w:tcBorders>
            <w:shd w:val="clear" w:color="000000" w:fill="E6F2FF"/>
            <w:vAlign w:val="center"/>
            <w:hideMark/>
          </w:tcPr>
          <w:p w14:paraId="4DF81CB6" w14:textId="77777777" w:rsidR="00CF3308" w:rsidRPr="00880FAB" w:rsidRDefault="00CF3308" w:rsidP="00CF3308">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CF3308" w:rsidRPr="00880FAB" w14:paraId="46A56371" w14:textId="77777777" w:rsidTr="00B400AD">
        <w:trPr>
          <w:trHeight w:hRule="exact" w:val="268"/>
        </w:trPr>
        <w:tc>
          <w:tcPr>
            <w:tcW w:w="4424" w:type="pct"/>
            <w:tcBorders>
              <w:top w:val="nil"/>
              <w:left w:val="nil"/>
              <w:bottom w:val="single" w:sz="4" w:space="0" w:color="293F5B"/>
              <w:right w:val="nil"/>
            </w:tcBorders>
            <w:vAlign w:val="center"/>
            <w:hideMark/>
          </w:tcPr>
          <w:p w14:paraId="36124517" w14:textId="77777777" w:rsidR="00CF3308" w:rsidRPr="00880FAB" w:rsidRDefault="00CF3308" w:rsidP="00CF3308">
            <w:pPr>
              <w:spacing w:before="0" w:after="0" w:line="240" w:lineRule="auto"/>
              <w:ind w:firstLineChars="200" w:firstLine="320"/>
              <w:rPr>
                <w:rFonts w:ascii="Arial" w:hAnsi="Arial" w:cs="Arial"/>
                <w:color w:val="000000"/>
                <w:sz w:val="16"/>
                <w:szCs w:val="16"/>
              </w:rPr>
            </w:pPr>
            <w:r w:rsidRPr="00880FAB">
              <w:rPr>
                <w:rFonts w:ascii="Arial" w:hAnsi="Arial" w:cs="Arial"/>
                <w:color w:val="000000"/>
                <w:sz w:val="16"/>
                <w:szCs w:val="16"/>
              </w:rPr>
              <w:t>Defence Service Homes Insurance Scheme</w:t>
            </w:r>
          </w:p>
        </w:tc>
        <w:tc>
          <w:tcPr>
            <w:tcW w:w="576" w:type="pct"/>
            <w:tcBorders>
              <w:top w:val="single" w:sz="4" w:space="0" w:color="293F5B"/>
              <w:left w:val="nil"/>
              <w:bottom w:val="single" w:sz="4" w:space="0" w:color="293F5B"/>
              <w:right w:val="nil"/>
            </w:tcBorders>
            <w:vAlign w:val="center"/>
            <w:hideMark/>
          </w:tcPr>
          <w:p w14:paraId="75F1570C" w14:textId="77777777" w:rsidR="00CF3308" w:rsidRPr="00880FAB" w:rsidRDefault="00CF3308" w:rsidP="00CF3308">
            <w:pPr>
              <w:spacing w:before="0" w:after="0" w:line="240" w:lineRule="auto"/>
              <w:rPr>
                <w:rFonts w:ascii="Arial" w:hAnsi="Arial" w:cs="Arial"/>
                <w:color w:val="000000"/>
                <w:sz w:val="16"/>
                <w:szCs w:val="16"/>
              </w:rPr>
            </w:pPr>
            <w:r w:rsidRPr="00880FAB">
              <w:rPr>
                <w:rFonts w:ascii="Arial" w:hAnsi="Arial" w:cs="Arial"/>
                <w:color w:val="000000"/>
                <w:sz w:val="16"/>
                <w:szCs w:val="16"/>
              </w:rPr>
              <w:t>Unchanged</w:t>
            </w:r>
          </w:p>
        </w:tc>
      </w:tr>
    </w:tbl>
    <w:p w14:paraId="169E69E6" w14:textId="1043D313" w:rsidR="007B5C53" w:rsidRPr="00D12C6F" w:rsidRDefault="007B5C53" w:rsidP="00D12C6F">
      <w:pPr>
        <w:pStyle w:val="SingleParagraph"/>
      </w:pPr>
    </w:p>
    <w:p w14:paraId="0C9F0967" w14:textId="77777777" w:rsidR="00CF0404" w:rsidRDefault="00CF0404">
      <w:pPr>
        <w:spacing w:before="0" w:after="160" w:line="259" w:lineRule="auto"/>
        <w:rPr>
          <w:rFonts w:ascii="Arial Bold" w:hAnsi="Arial Bold"/>
          <w:b/>
          <w:sz w:val="26"/>
        </w:rPr>
      </w:pPr>
      <w:r>
        <w:br w:type="page"/>
      </w:r>
    </w:p>
    <w:p w14:paraId="6C46F37E" w14:textId="77777777" w:rsidR="00807BD8" w:rsidRPr="00D12C6F" w:rsidRDefault="00807BD8" w:rsidP="00807BD8">
      <w:pPr>
        <w:pStyle w:val="Heading2"/>
      </w:pPr>
      <w:bookmarkStart w:id="20" w:name="_Toc228987376"/>
      <w:bookmarkStart w:id="21" w:name="_Toc184039471"/>
      <w:bookmarkStart w:id="22" w:name="_Toc193536174"/>
      <w:r w:rsidRPr="00D12C6F">
        <w:lastRenderedPageBreak/>
        <w:t>Agriculture, Fisheries and Forestry</w:t>
      </w:r>
      <w:bookmarkEnd w:id="20"/>
    </w:p>
    <w:p w14:paraId="78F80F92" w14:textId="77777777" w:rsidR="00807BD8" w:rsidRPr="00D12C6F" w:rsidRDefault="00807BD8" w:rsidP="00807BD8">
      <w:pPr>
        <w:pStyle w:val="Heading3"/>
      </w:pPr>
      <w:bookmarkStart w:id="23" w:name="_Toc228987377"/>
      <w:r w:rsidRPr="00D12C6F">
        <w:t>Contingent liabilities – unquantifiable</w:t>
      </w:r>
      <w:bookmarkEnd w:id="23"/>
    </w:p>
    <w:p w14:paraId="5F7A5C55" w14:textId="77777777" w:rsidR="00807BD8" w:rsidRPr="00D12C6F" w:rsidRDefault="00807BD8" w:rsidP="00807BD8">
      <w:pPr>
        <w:pStyle w:val="Heading4"/>
      </w:pPr>
      <w:r w:rsidRPr="00D12C6F">
        <w:t>Commonwealth liabilities in respect of matching payments to industries for research and development contributions</w:t>
      </w:r>
    </w:p>
    <w:p w14:paraId="7435124D" w14:textId="4B678F0F" w:rsidR="00807BD8" w:rsidRPr="00D12C6F" w:rsidRDefault="00807BD8" w:rsidP="00807BD8">
      <w:pPr>
        <w:rPr>
          <w:rFonts w:eastAsia="Arial"/>
        </w:rPr>
      </w:pPr>
      <w:r w:rsidRPr="00D12C6F">
        <w:t xml:space="preserve">Under the </w:t>
      </w:r>
      <w:r w:rsidRPr="00C73FA5">
        <w:rPr>
          <w:rStyle w:val="Emphasis"/>
        </w:rPr>
        <w:t>Primary Industries Levies and Charges Disbursement Act 2024</w:t>
      </w:r>
      <w:r w:rsidRPr="00D12C6F">
        <w:t>, the Commonwealth provides matching contributions to encourage expenditure on research and development (R&amp;D) and to increase the competitiveness and sustainability of industries within Australia. Matching contributions on eligible R&amp;D are subject to an annual limit that is calculated based on the determined gross value of production (GVP</w:t>
      </w:r>
      <w:r>
        <w:t>)</w:t>
      </w:r>
      <w:r w:rsidRPr="00D12C6F">
        <w:t xml:space="preserve"> cap for the industries. There will be a R&amp;D excess, which can be claimable in future years, where the cumulative R&amp;D expenditure is more than the GVP cap. The Commonwealth</w:t>
      </w:r>
      <w:r w:rsidR="00880FAB">
        <w:t>’</w:t>
      </w:r>
      <w:r w:rsidRPr="00D12C6F">
        <w:t>s future liability in respect of the matching contributions is contingent on the GVP cap and is therefore unquantifiable.</w:t>
      </w:r>
      <w:r w:rsidRPr="00D12C6F">
        <w:rPr>
          <w:rFonts w:eastAsia="Arial"/>
        </w:rPr>
        <w:t xml:space="preserve"> </w:t>
      </w:r>
    </w:p>
    <w:p w14:paraId="330C039E" w14:textId="77777777" w:rsidR="00807BD8" w:rsidRPr="00D12C6F" w:rsidRDefault="00807BD8" w:rsidP="00807BD8">
      <w:pPr>
        <w:pStyle w:val="Heading4"/>
        <w:rPr>
          <w:rFonts w:eastAsia="Arial"/>
        </w:rPr>
      </w:pPr>
      <w:r w:rsidRPr="00D12C6F">
        <w:rPr>
          <w:rFonts w:eastAsia="Arial"/>
        </w:rPr>
        <w:t>Emergency pest and disease response arrangements</w:t>
      </w:r>
    </w:p>
    <w:p w14:paraId="6EF390BF" w14:textId="06F2C725" w:rsidR="00807BD8" w:rsidRPr="00D12C6F" w:rsidRDefault="00807BD8" w:rsidP="00807BD8">
      <w:r w:rsidRPr="00D12C6F">
        <w:t>National emergency response arrangements for animal, plant and environmental pest and disease incursions are largely funded through cost</w:t>
      </w:r>
      <w:r w:rsidR="00880FAB">
        <w:noBreakHyphen/>
      </w:r>
      <w:r w:rsidRPr="00D12C6F">
        <w:t>sharing agreements between Australian</w:t>
      </w:r>
      <w:r>
        <w:rPr>
          <w:rFonts w:eastAsia="Book Antiqua"/>
        </w:rPr>
        <w:t xml:space="preserve"> </w:t>
      </w:r>
      <w:r w:rsidRPr="00D12C6F">
        <w:t>governments and affected agricultural industry bodies. Under the terms of the emergency response cost</w:t>
      </w:r>
      <w:r w:rsidR="00880FAB">
        <w:noBreakHyphen/>
      </w:r>
      <w:r w:rsidRPr="00D12C6F">
        <w:t>sharing agreements, the Australian Government is typically liable for 50 per cent of the total government funding for a nationally agreed response to a pest or disease incursion. Funding is provided in the forward estimates for the Australian</w:t>
      </w:r>
      <w:r w:rsidRPr="00D12C6F">
        <w:rPr>
          <w:rFonts w:eastAsia="Book Antiqua"/>
        </w:rPr>
        <w:t xml:space="preserve"> </w:t>
      </w:r>
      <w:r w:rsidRPr="00D12C6F">
        <w:t>Government</w:t>
      </w:r>
      <w:r w:rsidR="00880FAB">
        <w:t>’</w:t>
      </w:r>
      <w:r w:rsidRPr="00D12C6F">
        <w:t>s contributions under the emergency response agreements, which are then paid to the state or territory governments undertaking relevant activities.</w:t>
      </w:r>
    </w:p>
    <w:p w14:paraId="1104F31D" w14:textId="295CA9E0" w:rsidR="00807BD8" w:rsidRPr="00D12C6F" w:rsidRDefault="00807BD8" w:rsidP="00807BD8">
      <w:r w:rsidRPr="00D12C6F">
        <w:t xml:space="preserve">There are </w:t>
      </w:r>
      <w:r w:rsidRPr="00D12C6F">
        <w:rPr>
          <w:szCs w:val="19"/>
        </w:rPr>
        <w:t>currently 14 national cost</w:t>
      </w:r>
      <w:r w:rsidR="00880FAB">
        <w:rPr>
          <w:szCs w:val="19"/>
        </w:rPr>
        <w:noBreakHyphen/>
      </w:r>
      <w:r w:rsidRPr="00D12C6F">
        <w:rPr>
          <w:szCs w:val="19"/>
        </w:rPr>
        <w:t>shared emergency responses. Since the 2025–26</w:t>
      </w:r>
      <w:r w:rsidRPr="00D12C6F">
        <w:rPr>
          <w:rFonts w:eastAsia="Book Antiqua"/>
          <w:szCs w:val="19"/>
        </w:rPr>
        <w:t> </w:t>
      </w:r>
      <w:r w:rsidRPr="00D12C6F">
        <w:rPr>
          <w:szCs w:val="19"/>
        </w:rPr>
        <w:t>Budget, the Australian Government has committed funding to two new biosecurity responses: Red</w:t>
      </w:r>
      <w:r>
        <w:rPr>
          <w:szCs w:val="19"/>
        </w:rPr>
        <w:t> </w:t>
      </w:r>
      <w:r w:rsidRPr="00D12C6F">
        <w:rPr>
          <w:szCs w:val="19"/>
        </w:rPr>
        <w:t>Dwarf Honey Bee in Western Australia and Asian Green Mussel in Queensland. All</w:t>
      </w:r>
      <w:r>
        <w:rPr>
          <w:szCs w:val="19"/>
        </w:rPr>
        <w:t> </w:t>
      </w:r>
      <w:r w:rsidRPr="00D12C6F">
        <w:rPr>
          <w:szCs w:val="19"/>
        </w:rPr>
        <w:t>governments have signed the New National Management Agreement for High</w:t>
      </w:r>
      <w:r>
        <w:rPr>
          <w:szCs w:val="19"/>
        </w:rPr>
        <w:t> </w:t>
      </w:r>
      <w:r w:rsidRPr="00D12C6F">
        <w:rPr>
          <w:szCs w:val="19"/>
        </w:rPr>
        <w:t>Pathogenicity Avian Influenza H5 in Wildlife, which establishes a national arrangement for</w:t>
      </w:r>
      <w:r>
        <w:rPr>
          <w:szCs w:val="19"/>
        </w:rPr>
        <w:t> </w:t>
      </w:r>
      <w:r w:rsidRPr="00D12C6F">
        <w:rPr>
          <w:szCs w:val="19"/>
        </w:rPr>
        <w:t>governance and cost</w:t>
      </w:r>
      <w:r w:rsidR="00880FAB">
        <w:rPr>
          <w:szCs w:val="19"/>
        </w:rPr>
        <w:noBreakHyphen/>
      </w:r>
      <w:r w:rsidRPr="00D12C6F">
        <w:rPr>
          <w:szCs w:val="19"/>
        </w:rPr>
        <w:t>sharing during a H5 bird flu incursion in</w:t>
      </w:r>
      <w:r w:rsidRPr="00D12C6F">
        <w:t xml:space="preserve"> wildlife.</w:t>
      </w:r>
    </w:p>
    <w:p w14:paraId="58F42D7B" w14:textId="05EF5F9A" w:rsidR="00FC7F20" w:rsidRPr="00D12C6F" w:rsidRDefault="00807BD8" w:rsidP="0082611D">
      <w:r w:rsidRPr="00D12C6F">
        <w:t>The Australian, state and territory governments have developed a draft Aquatic Emergency Animal Disease Deed (the Deed) covering aquatic emergency animal diseases and have consulted prospective industry signatories. If the Deed is finalised, liabilities for the Australian Government could increase. The extent of these liabilities will depend on which parties sign the Deed and what emergency aquatic incursions occur that would be subject to the Deed arrangements.</w:t>
      </w:r>
    </w:p>
    <w:p w14:paraId="51EEA825" w14:textId="515704FD" w:rsidR="00172892" w:rsidRPr="00D12C6F" w:rsidRDefault="00172892" w:rsidP="00172892">
      <w:pPr>
        <w:pStyle w:val="Heading2"/>
      </w:pPr>
      <w:bookmarkStart w:id="24" w:name="_Toc228987378"/>
      <w:bookmarkEnd w:id="21"/>
      <w:bookmarkEnd w:id="22"/>
      <w:r w:rsidRPr="00D12C6F">
        <w:lastRenderedPageBreak/>
        <w:t>Attorney</w:t>
      </w:r>
      <w:r w:rsidR="00880FAB">
        <w:noBreakHyphen/>
      </w:r>
      <w:r w:rsidRPr="00D12C6F">
        <w:t>General</w:t>
      </w:r>
      <w:r w:rsidR="00880FAB">
        <w:t>’</w:t>
      </w:r>
      <w:r w:rsidRPr="00D12C6F">
        <w:t>s</w:t>
      </w:r>
      <w:bookmarkEnd w:id="24"/>
    </w:p>
    <w:p w14:paraId="4BB56869" w14:textId="77777777" w:rsidR="00172892" w:rsidRPr="00D12C6F" w:rsidRDefault="00172892" w:rsidP="00172892">
      <w:pPr>
        <w:pStyle w:val="Heading3"/>
      </w:pPr>
      <w:bookmarkStart w:id="25" w:name="_Toc184039472"/>
      <w:bookmarkStart w:id="26" w:name="_Toc193536176"/>
      <w:bookmarkStart w:id="27" w:name="_Toc228987379"/>
      <w:bookmarkStart w:id="28" w:name="_Hlk148351163"/>
      <w:r w:rsidRPr="00D12C6F">
        <w:t>Contingent liabilities – unquantifiable</w:t>
      </w:r>
      <w:bookmarkEnd w:id="25"/>
      <w:bookmarkEnd w:id="26"/>
      <w:bookmarkEnd w:id="27"/>
    </w:p>
    <w:bookmarkEnd w:id="28"/>
    <w:p w14:paraId="09735D3D" w14:textId="202D93FA" w:rsidR="00172892" w:rsidRPr="00D12C6F" w:rsidRDefault="00172892" w:rsidP="00172892">
      <w:pPr>
        <w:pStyle w:val="Heading4"/>
      </w:pPr>
      <w:r w:rsidRPr="00D12C6F">
        <w:t>Investor</w:t>
      </w:r>
      <w:r w:rsidR="00880FAB">
        <w:noBreakHyphen/>
      </w:r>
      <w:r w:rsidRPr="00D12C6F">
        <w:t>state claims against the Australian Government</w:t>
      </w:r>
    </w:p>
    <w:p w14:paraId="29CC9F83" w14:textId="4AC2C251" w:rsidR="00172892" w:rsidRPr="00D12C6F" w:rsidRDefault="00172892" w:rsidP="00172892">
      <w:r w:rsidRPr="00D12C6F">
        <w:t>On 28</w:t>
      </w:r>
      <w:r>
        <w:t> </w:t>
      </w:r>
      <w:r w:rsidRPr="00D12C6F">
        <w:t>March</w:t>
      </w:r>
      <w:r>
        <w:t> </w:t>
      </w:r>
      <w:r w:rsidRPr="00D12C6F">
        <w:t>2023, the Commonwealth received a notice of arbitration from Singapore registered company Zeph Investments Pte Ltd (Zeph) concerning a dispute about the</w:t>
      </w:r>
      <w:r>
        <w:t xml:space="preserve"> </w:t>
      </w:r>
      <w:r w:rsidRPr="00D12C6F">
        <w:rPr>
          <w:i/>
          <w:iCs/>
        </w:rPr>
        <w:t>Iron Ore Processing (Mineralogy Pty Ltd) Agreement Amendment Act 2020 (WA).</w:t>
      </w:r>
      <w:r w:rsidRPr="00D12C6F">
        <w:t xml:space="preserve"> Zeph</w:t>
      </w:r>
      <w:r>
        <w:t xml:space="preserve"> </w:t>
      </w:r>
      <w:r w:rsidRPr="00D12C6F">
        <w:t xml:space="preserve">raised this claim under Chapter 11 (Investment) of the </w:t>
      </w:r>
      <w:r w:rsidRPr="00D12C6F">
        <w:rPr>
          <w:i/>
          <w:iCs/>
        </w:rPr>
        <w:t>Agreement Establishing the ASEAN</w:t>
      </w:r>
      <w:r w:rsidR="00880FAB">
        <w:rPr>
          <w:i/>
          <w:iCs/>
        </w:rPr>
        <w:noBreakHyphen/>
      </w:r>
      <w:r w:rsidRPr="00D12C6F">
        <w:rPr>
          <w:i/>
          <w:iCs/>
        </w:rPr>
        <w:t>Australia</w:t>
      </w:r>
      <w:r w:rsidR="00880FAB">
        <w:rPr>
          <w:i/>
          <w:iCs/>
        </w:rPr>
        <w:noBreakHyphen/>
      </w:r>
      <w:r w:rsidRPr="00D12C6F">
        <w:rPr>
          <w:i/>
          <w:iCs/>
        </w:rPr>
        <w:t xml:space="preserve">New Zealand Free Trade Area </w:t>
      </w:r>
      <w:r w:rsidRPr="00D12C6F">
        <w:t>(AANZFTA)</w:t>
      </w:r>
      <w:r w:rsidRPr="00D12C6F">
        <w:rPr>
          <w:i/>
          <w:iCs/>
        </w:rPr>
        <w:t>.</w:t>
      </w:r>
      <w:r w:rsidRPr="00D12C6F">
        <w:t xml:space="preserve"> Subsequently, the Commonwealth received three further notices of arbitration from Zeph. The first concerns a dispute about exploration permits held by Waratah Coal Pty Ltd (Waratah) in the Galilee</w:t>
      </w:r>
      <w:r>
        <w:t> </w:t>
      </w:r>
      <w:r w:rsidRPr="00D12C6F">
        <w:t>Basin of Queensland. The second concerns a dispute about a coal mine proposed by Waratah in the Galilee Basin. The third concerns a dispute about a coal</w:t>
      </w:r>
      <w:r w:rsidR="00880FAB">
        <w:noBreakHyphen/>
      </w:r>
      <w:r w:rsidRPr="00D12C6F">
        <w:t xml:space="preserve">fired power station proposed by Waratah in the Galilee Basin. Zeph raised each of these claims under Chapter 11 (Investment) of the AANZFTA. </w:t>
      </w:r>
    </w:p>
    <w:p w14:paraId="2A1040D4" w14:textId="1F847363" w:rsidR="00172892" w:rsidRDefault="00172892" w:rsidP="00172892">
      <w:r w:rsidRPr="00D12C6F">
        <w:t>On 26</w:t>
      </w:r>
      <w:r>
        <w:t> </w:t>
      </w:r>
      <w:r w:rsidRPr="00D12C6F">
        <w:t>September</w:t>
      </w:r>
      <w:r>
        <w:t> </w:t>
      </w:r>
      <w:r w:rsidRPr="00D12C6F">
        <w:t>2025, the tribunal in the first arbitration issued an award dismissing Zeph</w:t>
      </w:r>
      <w:r w:rsidR="00880FAB">
        <w:t>’</w:t>
      </w:r>
      <w:r w:rsidRPr="00D12C6F">
        <w:t>s claim. Zeph subsequently made applications to the Federal Supreme Court of Switzerland to have that award revised or set aside.</w:t>
      </w:r>
    </w:p>
    <w:p w14:paraId="4C93CF7E" w14:textId="3884FD66" w:rsidR="00172892" w:rsidRDefault="00172892" w:rsidP="00172892">
      <w:r>
        <w:t xml:space="preserve">On </w:t>
      </w:r>
      <w:r w:rsidRPr="00D973C7">
        <w:t>8 April</w:t>
      </w:r>
      <w:r w:rsidR="004341C4">
        <w:t> 2026</w:t>
      </w:r>
      <w:r w:rsidRPr="00D973C7">
        <w:t xml:space="preserve">, entities associated with the Landbridge Group (Landbridge) filed a request for arbitration against the Commonwealth concerning the Port of Darwin. Landbridge raised this claim under Chapter 9 of the </w:t>
      </w:r>
      <w:r w:rsidRPr="00D973C7">
        <w:rPr>
          <w:i/>
          <w:iCs/>
        </w:rPr>
        <w:t>China Australia Free Trade Agreement</w:t>
      </w:r>
      <w:r w:rsidRPr="00D973C7">
        <w:t xml:space="preserve"> and the </w:t>
      </w:r>
      <w:r w:rsidRPr="00D973C7">
        <w:rPr>
          <w:i/>
          <w:iCs/>
        </w:rPr>
        <w:t>Convention on the Settlement of Investment Disputes Between States and Nationals of Other States</w:t>
      </w:r>
      <w:r>
        <w:rPr>
          <w:i/>
          <w:iCs/>
        </w:rPr>
        <w:t xml:space="preserve">. </w:t>
      </w:r>
    </w:p>
    <w:p w14:paraId="5D8C03BE" w14:textId="77777777" w:rsidR="00172892" w:rsidRPr="00D12C6F" w:rsidRDefault="00172892" w:rsidP="00172892">
      <w:r>
        <w:t xml:space="preserve">Should </w:t>
      </w:r>
      <w:r w:rsidRPr="00B8134F">
        <w:t>the Australian Government be unsuccessful in any of these proceedings, it may become liable for any compensation found to be payable. Any such potential liability cannot be quantified at this stage.</w:t>
      </w:r>
    </w:p>
    <w:p w14:paraId="5F786A3C" w14:textId="77777777" w:rsidR="00172892" w:rsidRPr="00D12C6F" w:rsidRDefault="00172892" w:rsidP="00172892">
      <w:pPr>
        <w:pStyle w:val="Heading4"/>
      </w:pPr>
      <w:r w:rsidRPr="00D12C6F">
        <w:t>Native Title costs</w:t>
      </w:r>
    </w:p>
    <w:p w14:paraId="5E0B7F4F" w14:textId="383A4B4D" w:rsidR="00E40BF3" w:rsidRPr="00D12C6F" w:rsidRDefault="00172892" w:rsidP="00172892">
      <w:r w:rsidRPr="00D12C6F">
        <w:t xml:space="preserve">The Government will likely be liable for potential compensation under the </w:t>
      </w:r>
      <w:r w:rsidRPr="00D12C6F">
        <w:rPr>
          <w:i/>
          <w:iCs/>
        </w:rPr>
        <w:t>Native</w:t>
      </w:r>
      <w:r>
        <w:rPr>
          <w:i/>
          <w:iCs/>
        </w:rPr>
        <w:t xml:space="preserve"> </w:t>
      </w:r>
      <w:r w:rsidRPr="00D12C6F">
        <w:rPr>
          <w:i/>
          <w:iCs/>
        </w:rPr>
        <w:t>Title</w:t>
      </w:r>
      <w:r>
        <w:rPr>
          <w:i/>
          <w:iCs/>
        </w:rPr>
        <w:t xml:space="preserve"> </w:t>
      </w:r>
      <w:r w:rsidRPr="00D12C6F">
        <w:rPr>
          <w:i/>
          <w:iCs/>
        </w:rPr>
        <w:t>Act</w:t>
      </w:r>
      <w:r>
        <w:rPr>
          <w:i/>
          <w:iCs/>
        </w:rPr>
        <w:t xml:space="preserve"> </w:t>
      </w:r>
      <w:r w:rsidRPr="00D12C6F">
        <w:rPr>
          <w:i/>
          <w:iCs/>
        </w:rPr>
        <w:t xml:space="preserve">1993 </w:t>
      </w:r>
      <w:r w:rsidRPr="00D12C6F">
        <w:t>in respect of compensable acts for which the Government is responsible. While the</w:t>
      </w:r>
      <w:r>
        <w:t xml:space="preserve"> </w:t>
      </w:r>
      <w:r w:rsidRPr="00D12C6F">
        <w:t>High Court</w:t>
      </w:r>
      <w:r w:rsidR="00880FAB">
        <w:t>’</w:t>
      </w:r>
      <w:r w:rsidRPr="00D12C6F">
        <w:t xml:space="preserve">s decision in the </w:t>
      </w:r>
      <w:r w:rsidRPr="003C6AA0">
        <w:t>Timber</w:t>
      </w:r>
      <w:r w:rsidRPr="003C6AA0">
        <w:rPr>
          <w:rFonts w:hint="eastAsia"/>
        </w:rPr>
        <w:t> </w:t>
      </w:r>
      <w:r w:rsidRPr="003C6AA0">
        <w:t>Creek</w:t>
      </w:r>
      <w:r w:rsidRPr="00D12C6F">
        <w:t xml:space="preserve"> litigation (</w:t>
      </w:r>
      <w:r w:rsidRPr="00D12C6F">
        <w:rPr>
          <w:i/>
          <w:iCs/>
        </w:rPr>
        <w:t>Northern</w:t>
      </w:r>
      <w:r>
        <w:rPr>
          <w:i/>
          <w:iCs/>
        </w:rPr>
        <w:t> </w:t>
      </w:r>
      <w:r w:rsidRPr="00D12C6F">
        <w:rPr>
          <w:i/>
          <w:iCs/>
        </w:rPr>
        <w:t>Territory v Griffiths et al</w:t>
      </w:r>
      <w:r w:rsidRPr="00D12C6F">
        <w:t xml:space="preserve"> [2019] HCA 7) provides guidance on the principles for calculating compensation under the </w:t>
      </w:r>
      <w:r w:rsidRPr="00D12C6F">
        <w:rPr>
          <w:i/>
          <w:iCs/>
        </w:rPr>
        <w:t>Native Title Act</w:t>
      </w:r>
      <w:r>
        <w:rPr>
          <w:i/>
          <w:iCs/>
        </w:rPr>
        <w:t xml:space="preserve"> 1993</w:t>
      </w:r>
      <w:r w:rsidRPr="00D12C6F">
        <w:rPr>
          <w:i/>
          <w:iCs/>
        </w:rPr>
        <w:t>,</w:t>
      </w:r>
      <w:r w:rsidRPr="00D12C6F">
        <w:t xml:space="preserve"> the Government</w:t>
      </w:r>
      <w:r w:rsidR="00880FAB">
        <w:t>’</w:t>
      </w:r>
      <w:r w:rsidRPr="00D12C6F">
        <w:t>s liability cannot be quantified owing to uncertainty about the number and effect of compensable acts, and the</w:t>
      </w:r>
      <w:r>
        <w:t> </w:t>
      </w:r>
      <w:r w:rsidRPr="00D12C6F">
        <w:t>value of Native Title affected by those acts.</w:t>
      </w:r>
    </w:p>
    <w:p w14:paraId="56515A85" w14:textId="7241EB71" w:rsidR="00053139" w:rsidRPr="00D12C6F" w:rsidRDefault="00053139" w:rsidP="00053139">
      <w:pPr>
        <w:pStyle w:val="Heading2"/>
      </w:pPr>
      <w:bookmarkStart w:id="29" w:name="_Toc228987380"/>
      <w:bookmarkStart w:id="30" w:name="_Hlk215230183"/>
      <w:bookmarkStart w:id="31" w:name="_Toc223077547"/>
      <w:bookmarkStart w:id="32" w:name="_Toc99141861"/>
      <w:bookmarkStart w:id="33" w:name="_Toc184039480"/>
      <w:bookmarkEnd w:id="18"/>
      <w:bookmarkEnd w:id="19"/>
      <w:r w:rsidRPr="00D12C6F">
        <w:lastRenderedPageBreak/>
        <w:t>Climate Change, Energy, the Environment and Water</w:t>
      </w:r>
      <w:bookmarkEnd w:id="29"/>
    </w:p>
    <w:p w14:paraId="0A0A827A" w14:textId="5C8541DC" w:rsidR="00053139" w:rsidRPr="00D12C6F" w:rsidRDefault="00053139" w:rsidP="00053139">
      <w:pPr>
        <w:pStyle w:val="Heading3"/>
      </w:pPr>
      <w:bookmarkStart w:id="34" w:name="_Toc228987381"/>
      <w:bookmarkStart w:id="35" w:name="_Toc184039475"/>
      <w:r w:rsidRPr="00D12C6F">
        <w:t>Fiscal Risks</w:t>
      </w:r>
      <w:bookmarkEnd w:id="34"/>
    </w:p>
    <w:p w14:paraId="424DA68E" w14:textId="1F62829A" w:rsidR="00053139" w:rsidRPr="00880AC0" w:rsidRDefault="00053139" w:rsidP="00053139">
      <w:pPr>
        <w:pStyle w:val="Heading4"/>
      </w:pPr>
      <w:bookmarkStart w:id="36" w:name="_Toc71117836"/>
      <w:bookmarkEnd w:id="35"/>
      <w:r w:rsidRPr="00880AC0">
        <w:t xml:space="preserve">Australian </w:t>
      </w:r>
      <w:r w:rsidR="0054425E">
        <w:t xml:space="preserve">Strategic Fuel </w:t>
      </w:r>
      <w:r w:rsidRPr="00880AC0">
        <w:t>Reserve</w:t>
      </w:r>
    </w:p>
    <w:p w14:paraId="4FD30808" w14:textId="10A830A3" w:rsidR="00B265A8" w:rsidRDefault="00B265A8" w:rsidP="00880FAB">
      <w:pPr>
        <w:rPr>
          <w:b/>
        </w:rPr>
      </w:pPr>
      <w:r w:rsidRPr="00B265A8">
        <w:t>The Government has committed up to $3.2</w:t>
      </w:r>
      <w:r w:rsidR="00AA06F4">
        <w:t> billion</w:t>
      </w:r>
      <w:r w:rsidRPr="00B265A8">
        <w:t xml:space="preserve"> to establishing an Australian Strategic Fuel Reserve. The Reserve, alongside an increased Minimum Stockholding Obligation (MSO), would expand Australia</w:t>
      </w:r>
      <w:r w:rsidR="00880FAB">
        <w:t>’</w:t>
      </w:r>
      <w:r w:rsidRPr="00B265A8">
        <w:t>s longer term fuel security and storage capacity, and increase Australia</w:t>
      </w:r>
      <w:r w:rsidR="00880FAB">
        <w:t>’</w:t>
      </w:r>
      <w:r w:rsidRPr="00B265A8">
        <w:t>s fuel reserves to create longer</w:t>
      </w:r>
      <w:r w:rsidR="00880FAB">
        <w:noBreakHyphen/>
      </w:r>
      <w:r w:rsidRPr="00B265A8">
        <w:t>term resilience. The implementation of the Reserve and MSO uplift will be staged to allow market conditions to stabilise and ensure readiness of storage infrastructure, and may make use of a range of direct purchase, underwriting or finance arrangements. The budget impacts of the Reserve and MSO uplift are dependent on these implementation arrangements, which will be settled by the Government and reflected in a future Budget update</w:t>
      </w:r>
      <w:r w:rsidR="00391243">
        <w:t>.</w:t>
      </w:r>
    </w:p>
    <w:p w14:paraId="503C33D9" w14:textId="18F02548" w:rsidR="00053139" w:rsidRPr="00D12C6F" w:rsidRDefault="00053139" w:rsidP="00053139">
      <w:pPr>
        <w:pStyle w:val="Heading4"/>
      </w:pPr>
      <w:r w:rsidRPr="00D12C6F">
        <w:t>Snowy Hydro Limited</w:t>
      </w:r>
      <w:bookmarkEnd w:id="36"/>
    </w:p>
    <w:p w14:paraId="001EA51F" w14:textId="7E0F17AB" w:rsidR="00053139" w:rsidRPr="00D12C6F" w:rsidRDefault="00053139" w:rsidP="00053139">
      <w:pPr>
        <w:rPr>
          <w:rFonts w:eastAsia="Book Antiqua"/>
        </w:rPr>
      </w:pPr>
      <w:bookmarkStart w:id="37" w:name="_Toc223077543"/>
      <w:r w:rsidRPr="00D12C6F">
        <w:rPr>
          <w:rFonts w:eastAsia="Book Antiqua"/>
        </w:rPr>
        <w:t>The Government has committed to provide additional financial support to Snowy Hydro Limited to support the delivery of the Snowy 2.0 pumped hydro project and</w:t>
      </w:r>
      <w:r w:rsidR="00081CA0">
        <w:rPr>
          <w:rFonts w:eastAsia="Book Antiqua"/>
        </w:rPr>
        <w:t xml:space="preserve"> </w:t>
      </w:r>
      <w:r w:rsidRPr="00D12C6F">
        <w:rPr>
          <w:rFonts w:eastAsia="Book Antiqua"/>
        </w:rPr>
        <w:t xml:space="preserve">the </w:t>
      </w:r>
      <w:r w:rsidRPr="00D12C6F">
        <w:rPr>
          <w:rFonts w:eastAsia="Book Antiqua"/>
          <w:szCs w:val="19"/>
        </w:rPr>
        <w:t>Kurri</w:t>
      </w:r>
      <w:r w:rsidR="00081CA0">
        <w:rPr>
          <w:rFonts w:eastAsia="Book Antiqua"/>
          <w:szCs w:val="19"/>
        </w:rPr>
        <w:t> </w:t>
      </w:r>
      <w:r w:rsidRPr="00D12C6F">
        <w:rPr>
          <w:rFonts w:eastAsia="Book Antiqua"/>
          <w:szCs w:val="19"/>
        </w:rPr>
        <w:t>Kurri Power Station</w:t>
      </w:r>
      <w:r w:rsidRPr="00D12C6F">
        <w:rPr>
          <w:rFonts w:eastAsia="Book Antiqua"/>
        </w:rPr>
        <w:t>. These projects will improve the security and reliability of the</w:t>
      </w:r>
      <w:r>
        <w:rPr>
          <w:rFonts w:eastAsia="Book Antiqua"/>
        </w:rPr>
        <w:t xml:space="preserve"> </w:t>
      </w:r>
      <w:r w:rsidRPr="00D12C6F">
        <w:rPr>
          <w:rFonts w:eastAsia="Book Antiqua"/>
        </w:rPr>
        <w:t>National</w:t>
      </w:r>
      <w:r>
        <w:rPr>
          <w:rFonts w:eastAsia="Book Antiqua"/>
        </w:rPr>
        <w:t> </w:t>
      </w:r>
      <w:r w:rsidRPr="00D12C6F">
        <w:rPr>
          <w:rFonts w:eastAsia="Book Antiqua"/>
        </w:rPr>
        <w:t>Electricity Market by providing reliable, dispatchable power and large</w:t>
      </w:r>
      <w:r w:rsidR="00880FAB">
        <w:rPr>
          <w:rFonts w:eastAsia="Book Antiqua"/>
        </w:rPr>
        <w:noBreakHyphen/>
      </w:r>
      <w:r w:rsidRPr="00D12C6F">
        <w:rPr>
          <w:rFonts w:eastAsia="Book Antiqua"/>
        </w:rPr>
        <w:t xml:space="preserve">scale energy storage. Project risks for Snowy 2.0 include potential construction delays, cost pressures and cash flow forecasts. </w:t>
      </w:r>
    </w:p>
    <w:p w14:paraId="32B1489D" w14:textId="527B9D76" w:rsidR="00053139" w:rsidRPr="00D12C6F" w:rsidRDefault="00053139" w:rsidP="00053139">
      <w:pPr>
        <w:rPr>
          <w:rFonts w:eastAsia="Book Antiqua"/>
        </w:rPr>
      </w:pPr>
      <w:r w:rsidRPr="00D12C6F">
        <w:rPr>
          <w:rFonts w:eastAsia="Book Antiqua"/>
        </w:rPr>
        <w:t>The Government continues to monitor these risks through engagement and oversight of Snowy Hydro Limited, including the Snowy 2.0 cost reassessment which was announced on 3 October</w:t>
      </w:r>
      <w:r w:rsidR="004341C4">
        <w:rPr>
          <w:rFonts w:eastAsia="Book Antiqua"/>
        </w:rPr>
        <w:t> 2025</w:t>
      </w:r>
      <w:r w:rsidRPr="00D12C6F">
        <w:rPr>
          <w:rFonts w:eastAsia="Book Antiqua"/>
        </w:rPr>
        <w:t>.</w:t>
      </w:r>
    </w:p>
    <w:p w14:paraId="718B772B" w14:textId="77777777" w:rsidR="00053139" w:rsidRPr="00D12C6F" w:rsidRDefault="00053139" w:rsidP="00053139">
      <w:pPr>
        <w:pStyle w:val="Heading3"/>
      </w:pPr>
      <w:bookmarkStart w:id="38" w:name="_Toc228987382"/>
      <w:r w:rsidRPr="00D12C6F">
        <w:t>Significant but remote contingencies</w:t>
      </w:r>
      <w:bookmarkEnd w:id="37"/>
      <w:bookmarkEnd w:id="38"/>
    </w:p>
    <w:p w14:paraId="0E679ED1" w14:textId="31455E3F" w:rsidR="00053139" w:rsidRPr="00D12C6F" w:rsidRDefault="00053139" w:rsidP="00053139">
      <w:pPr>
        <w:pStyle w:val="Heading4"/>
      </w:pPr>
      <w:r w:rsidRPr="00D12C6F">
        <w:t>Snowy Hydro Limited – Board Members</w:t>
      </w:r>
      <w:r w:rsidR="00880FAB">
        <w:t>’</w:t>
      </w:r>
      <w:r w:rsidRPr="00D12C6F">
        <w:t xml:space="preserve"> indemnity</w:t>
      </w:r>
    </w:p>
    <w:p w14:paraId="7F9F77D6" w14:textId="77777777" w:rsidR="00053139" w:rsidRPr="00D12C6F" w:rsidRDefault="00053139" w:rsidP="00053139">
      <w:pPr>
        <w:rPr>
          <w:rFonts w:eastAsia="Book Antiqua"/>
        </w:rPr>
      </w:pPr>
      <w:bookmarkStart w:id="39" w:name="_Toc71117837"/>
      <w:r w:rsidRPr="00D12C6F">
        <w:rPr>
          <w:rFonts w:eastAsia="Book Antiqua"/>
        </w:rPr>
        <w:t>The Government has provided an indemnity for some of the directors of Snowy Hydro Limited to protect them against certain claims relating to their employment as directors. This potential liability will remain until the indemnity agreements are varied or ceased</w:t>
      </w:r>
      <w:r w:rsidRPr="00D12C6F">
        <w:rPr>
          <w:rFonts w:eastAsia="Arial"/>
        </w:rPr>
        <w:t xml:space="preserve">. </w:t>
      </w:r>
    </w:p>
    <w:p w14:paraId="32D0ABFD" w14:textId="77777777" w:rsidR="00053139" w:rsidRPr="00D12C6F" w:rsidRDefault="00053139" w:rsidP="00053139">
      <w:pPr>
        <w:pStyle w:val="Heading4"/>
      </w:pPr>
      <w:r w:rsidRPr="00D12C6F">
        <w:t>Snowy Hydro Limited – Termination of the Equity Subscription Agreement</w:t>
      </w:r>
      <w:bookmarkEnd w:id="39"/>
      <w:r w:rsidRPr="00D12C6F">
        <w:t>s</w:t>
      </w:r>
    </w:p>
    <w:p w14:paraId="5F2B4BA6" w14:textId="77777777" w:rsidR="00053139" w:rsidRPr="00D12C6F" w:rsidRDefault="00053139" w:rsidP="00053139">
      <w:pPr>
        <w:rPr>
          <w:rFonts w:eastAsia="Arial"/>
        </w:rPr>
      </w:pPr>
      <w:bookmarkStart w:id="40" w:name="_Toc166165495"/>
      <w:bookmarkStart w:id="41" w:name="_Toc223077544"/>
      <w:r w:rsidRPr="00D12C6F">
        <w:rPr>
          <w:rFonts w:eastAsia="Arial"/>
        </w:rPr>
        <w:t xml:space="preserve">The Government will provide sufficient funding to cover costs and liabilities incurred by Snowy Hydro Limited for the delivery of Snowy 2.0, capped to the total remaining undrawn equity, </w:t>
      </w:r>
      <w:proofErr w:type="gramStart"/>
      <w:r w:rsidRPr="00D12C6F">
        <w:rPr>
          <w:rFonts w:eastAsia="Arial"/>
        </w:rPr>
        <w:t>in the event that</w:t>
      </w:r>
      <w:proofErr w:type="gramEnd"/>
      <w:r w:rsidRPr="00D12C6F">
        <w:rPr>
          <w:rFonts w:eastAsia="Arial"/>
        </w:rPr>
        <w:t xml:space="preserve"> the Commonwealth terminates the Equity Subscription Agreements between the Commonwealth and Snowy Hydro Limited. </w:t>
      </w:r>
    </w:p>
    <w:p w14:paraId="0DE3F9F6" w14:textId="77777777" w:rsidR="00053139" w:rsidRPr="00D12C6F" w:rsidRDefault="00053139" w:rsidP="00053139">
      <w:pPr>
        <w:pStyle w:val="Heading3"/>
        <w:rPr>
          <w:rFonts w:eastAsia="Arial"/>
        </w:rPr>
      </w:pPr>
      <w:bookmarkStart w:id="42" w:name="_Toc228987383"/>
      <w:r w:rsidRPr="00D12C6F">
        <w:rPr>
          <w:rFonts w:eastAsia="Arial"/>
        </w:rPr>
        <w:lastRenderedPageBreak/>
        <w:t>Contingent liabilities – unquantifiable</w:t>
      </w:r>
      <w:bookmarkEnd w:id="40"/>
      <w:bookmarkEnd w:id="41"/>
      <w:bookmarkEnd w:id="42"/>
    </w:p>
    <w:p w14:paraId="7DF908D6" w14:textId="78A488B1" w:rsidR="00053139" w:rsidRPr="00D12C6F" w:rsidRDefault="00053139" w:rsidP="00053139">
      <w:pPr>
        <w:pStyle w:val="Heading4"/>
        <w:rPr>
          <w:rFonts w:eastAsia="Arial"/>
        </w:rPr>
      </w:pPr>
      <w:r w:rsidRPr="00D12C6F">
        <w:rPr>
          <w:rFonts w:eastAsia="Arial"/>
        </w:rPr>
        <w:t>Gorgon liquefied natural gas and carbon dioxide storage project –</w:t>
      </w:r>
      <w:r w:rsidR="00081CA0">
        <w:rPr>
          <w:rFonts w:eastAsia="Arial"/>
        </w:rPr>
        <w:t xml:space="preserve"> </w:t>
      </w:r>
      <w:r w:rsidRPr="00D12C6F">
        <w:rPr>
          <w:rFonts w:eastAsia="Arial"/>
        </w:rPr>
        <w:t>long</w:t>
      </w:r>
      <w:r w:rsidR="00880FAB">
        <w:rPr>
          <w:rFonts w:eastAsia="Arial"/>
        </w:rPr>
        <w:noBreakHyphen/>
      </w:r>
      <w:r w:rsidRPr="00D12C6F">
        <w:rPr>
          <w:rFonts w:eastAsia="Arial"/>
        </w:rPr>
        <w:t>term liability</w:t>
      </w:r>
    </w:p>
    <w:p w14:paraId="44DE8C17" w14:textId="7F97C0F3" w:rsidR="00053139" w:rsidRPr="00D12C6F" w:rsidRDefault="00053139" w:rsidP="00053139">
      <w:pPr>
        <w:rPr>
          <w:rFonts w:eastAsia="Arial"/>
        </w:rPr>
      </w:pPr>
      <w:bookmarkStart w:id="43" w:name="_Toc71117845"/>
      <w:r w:rsidRPr="00D12C6F">
        <w:rPr>
          <w:rFonts w:eastAsia="Arial"/>
        </w:rPr>
        <w:t>The Australian and Western Australian (WA) Governments have provided an indemnity to the Gorgon Joint Venture Partners (GJV) against independent third</w:t>
      </w:r>
      <w:r w:rsidR="00880FAB">
        <w:rPr>
          <w:rFonts w:eastAsia="Arial"/>
        </w:rPr>
        <w:noBreakHyphen/>
      </w:r>
      <w:r w:rsidRPr="00D12C6F">
        <w:rPr>
          <w:rFonts w:eastAsia="Arial"/>
        </w:rPr>
        <w:t xml:space="preserve">party claims (relating to stored carbon dioxide) under common law, for loss or damage caused by the injection of carbon dioxide into the Dupuy Formation under Barrow Island, WA. Claims can only occur at least 15 years after the cessation of carbon dioxide injections. The project commenced in 2019 and has an expected life of around 40 years. The claims are subject to conditions </w:t>
      </w:r>
      <w:proofErr w:type="gramStart"/>
      <w:r w:rsidRPr="00D12C6F">
        <w:rPr>
          <w:rFonts w:eastAsia="Arial"/>
        </w:rPr>
        <w:t>similar to</w:t>
      </w:r>
      <w:proofErr w:type="gramEnd"/>
      <w:r w:rsidRPr="00D12C6F">
        <w:rPr>
          <w:rFonts w:eastAsia="Arial"/>
        </w:rPr>
        <w:t xml:space="preserve"> those set out in the </w:t>
      </w:r>
      <w:r w:rsidRPr="00D12C6F">
        <w:rPr>
          <w:rFonts w:eastAsia="Arial"/>
          <w:i/>
          <w:iCs/>
        </w:rPr>
        <w:t>Offshore Petroleum and Greenhouse Gas Storage Act 2006</w:t>
      </w:r>
      <w:r w:rsidRPr="00D12C6F">
        <w:rPr>
          <w:rFonts w:eastAsia="Arial"/>
        </w:rPr>
        <w:t>.</w:t>
      </w:r>
    </w:p>
    <w:p w14:paraId="28B11BC2" w14:textId="77777777" w:rsidR="00053139" w:rsidRPr="00D12C6F" w:rsidDel="0088212A" w:rsidRDefault="00053139" w:rsidP="00053139">
      <w:pPr>
        <w:rPr>
          <w:rFonts w:eastAsia="Arial"/>
        </w:rPr>
      </w:pPr>
      <w:r w:rsidRPr="00D12C6F">
        <w:rPr>
          <w:rFonts w:eastAsia="Arial"/>
        </w:rPr>
        <w:t>The WA Government has indemnified the GJV and, subject to certain conditions being met, the Australian Government has indemnified the WA Government for 80 per cent of any amount determined to be payable under that indemnity.</w:t>
      </w:r>
    </w:p>
    <w:p w14:paraId="4D9560AC" w14:textId="77777777" w:rsidR="00053139" w:rsidRPr="00D12C6F" w:rsidRDefault="00053139" w:rsidP="00053139">
      <w:pPr>
        <w:pStyle w:val="Heading4"/>
        <w:rPr>
          <w:rFonts w:eastAsia="Arial"/>
        </w:rPr>
      </w:pPr>
      <w:r w:rsidRPr="00D12C6F">
        <w:rPr>
          <w:rFonts w:eastAsia="Arial"/>
        </w:rPr>
        <w:t>Liability for costs incurred in a national liquid fuel emergency</w:t>
      </w:r>
      <w:bookmarkEnd w:id="43"/>
    </w:p>
    <w:p w14:paraId="6855C419" w14:textId="679C40E8" w:rsidR="00053139" w:rsidRPr="00D12C6F" w:rsidRDefault="00053139" w:rsidP="00053139">
      <w:pPr>
        <w:rPr>
          <w:rFonts w:eastAsia="Arial"/>
        </w:rPr>
      </w:pPr>
      <w:r w:rsidRPr="00D12C6F">
        <w:rPr>
          <w:rFonts w:eastAsia="Arial"/>
        </w:rPr>
        <w:t xml:space="preserve">The Australian Government has responsibility for the </w:t>
      </w:r>
      <w:r w:rsidRPr="00D12C6F">
        <w:rPr>
          <w:rFonts w:eastAsia="Arial"/>
          <w:i/>
          <w:iCs/>
        </w:rPr>
        <w:t>Liquid Fuel Emergency Act 1984</w:t>
      </w:r>
      <w:r w:rsidRPr="00D12C6F">
        <w:rPr>
          <w:rFonts w:eastAsia="Arial"/>
        </w:rPr>
        <w:t xml:space="preserve"> (the Liquid Fuel Act). In addition, the Australian Government and state and territory governments have entered into an inter</w:t>
      </w:r>
      <w:r w:rsidR="00880FAB">
        <w:rPr>
          <w:rFonts w:eastAsia="Arial"/>
        </w:rPr>
        <w:noBreakHyphen/>
      </w:r>
      <w:r w:rsidRPr="00D12C6F">
        <w:rPr>
          <w:rFonts w:eastAsia="Arial"/>
        </w:rPr>
        <w:t xml:space="preserve">governmental agreement (IGA) in 2006 in relation to a national liquid fuel emergency. Under the IGA, the Australian Government agrees to consult IGA parties on a likely shortage and, if </w:t>
      </w:r>
      <w:proofErr w:type="gramStart"/>
      <w:r w:rsidRPr="00D12C6F">
        <w:rPr>
          <w:rFonts w:eastAsia="Arial"/>
        </w:rPr>
        <w:t>necessary</w:t>
      </w:r>
      <w:proofErr w:type="gramEnd"/>
      <w:r w:rsidRPr="00D12C6F">
        <w:rPr>
          <w:rFonts w:eastAsia="Arial"/>
        </w:rPr>
        <w:t xml:space="preserve"> after those consultations, to advise the Governor</w:t>
      </w:r>
      <w:r w:rsidR="00880FAB">
        <w:rPr>
          <w:rFonts w:eastAsia="Arial"/>
        </w:rPr>
        <w:noBreakHyphen/>
      </w:r>
      <w:r w:rsidRPr="00D12C6F">
        <w:rPr>
          <w:rFonts w:eastAsia="Arial"/>
        </w:rPr>
        <w:t>General to declare a national emergency under the Act.</w:t>
      </w:r>
    </w:p>
    <w:p w14:paraId="3D50E7AC" w14:textId="77777777" w:rsidR="00053139" w:rsidRPr="00D12C6F" w:rsidRDefault="00053139" w:rsidP="00053139">
      <w:pPr>
        <w:rPr>
          <w:rFonts w:eastAsia="Arial"/>
        </w:rPr>
      </w:pPr>
      <w:r w:rsidRPr="00D12C6F">
        <w:rPr>
          <w:rFonts w:eastAsia="Arial"/>
        </w:rPr>
        <w:t>The IGA contains three areas where the Australian Government may incur expenses in the event of a national liquid fuel emergency. These relate to the direct costs of managing a liquid fuel emergency and include the possibility of the Australian Government reimbursing the state and territory governments for costs arising from their responses, and potential compensation for industry arising from Australian Government directions under the Liquid Fuel Act.</w:t>
      </w:r>
    </w:p>
    <w:p w14:paraId="3F9BCF42" w14:textId="479EF250" w:rsidR="00053139" w:rsidRPr="00D12C6F" w:rsidRDefault="00053139" w:rsidP="00053139">
      <w:pPr>
        <w:pStyle w:val="Heading4"/>
        <w:rPr>
          <w:rFonts w:eastAsia="Arial"/>
        </w:rPr>
      </w:pPr>
      <w:r w:rsidRPr="00D12C6F">
        <w:rPr>
          <w:rFonts w:eastAsia="Arial"/>
        </w:rPr>
        <w:t>Marinus Link Project – Shareholders</w:t>
      </w:r>
      <w:r w:rsidR="00880FAB">
        <w:rPr>
          <w:rFonts w:eastAsia="Arial"/>
        </w:rPr>
        <w:t>’</w:t>
      </w:r>
      <w:r w:rsidRPr="00D12C6F">
        <w:rPr>
          <w:rFonts w:eastAsia="Arial"/>
        </w:rPr>
        <w:t xml:space="preserve"> agreement</w:t>
      </w:r>
    </w:p>
    <w:p w14:paraId="54E2FC07" w14:textId="299CB971" w:rsidR="00053139" w:rsidRPr="00D12C6F" w:rsidRDefault="00053139" w:rsidP="00053139">
      <w:pPr>
        <w:rPr>
          <w:rFonts w:eastAsia="Arial"/>
        </w:rPr>
      </w:pPr>
      <w:r w:rsidRPr="00D12C6F">
        <w:rPr>
          <w:rFonts w:eastAsia="Arial"/>
        </w:rPr>
        <w:t>The Australian Government, along with the Victorian and the Tasmanian Governments, has invested in the joint venture entity Marinus Link Pty Ltd to deliver the Marinus Link project. On 1 August</w:t>
      </w:r>
      <w:r w:rsidR="004341C4">
        <w:rPr>
          <w:rFonts w:eastAsia="Arial"/>
        </w:rPr>
        <w:t> 2025</w:t>
      </w:r>
      <w:r w:rsidRPr="00D12C6F">
        <w:rPr>
          <w:rFonts w:eastAsia="Arial"/>
        </w:rPr>
        <w:t>, shareholder governments collectively reached a positive Final Investment Decision to proceed with Stage 1 of Marinus Link and, on 29 August 2025, Marinus Link Pty Ltd and the Clean Energy Finance Corporation reached Financial Close on the project</w:t>
      </w:r>
      <w:r w:rsidR="00880FAB">
        <w:rPr>
          <w:rFonts w:eastAsia="Arial"/>
        </w:rPr>
        <w:t>’</w:t>
      </w:r>
      <w:r w:rsidRPr="00D12C6F">
        <w:rPr>
          <w:rFonts w:eastAsia="Arial"/>
        </w:rPr>
        <w:t>s debt arrangements. </w:t>
      </w:r>
    </w:p>
    <w:p w14:paraId="22EB71B6" w14:textId="734B2F1F" w:rsidR="00053139" w:rsidRPr="00D12C6F" w:rsidRDefault="00053139" w:rsidP="00053139">
      <w:pPr>
        <w:rPr>
          <w:rFonts w:eastAsia="Arial"/>
        </w:rPr>
      </w:pPr>
      <w:r w:rsidRPr="00D12C6F">
        <w:rPr>
          <w:rFonts w:eastAsia="Arial"/>
        </w:rPr>
        <w:t>Early works have now commenced on the project, with major construction works expected to commence in mid</w:t>
      </w:r>
      <w:r w:rsidR="004341C4">
        <w:rPr>
          <w:rFonts w:eastAsia="Arial"/>
        </w:rPr>
        <w:noBreakHyphen/>
      </w:r>
      <w:r w:rsidRPr="00D12C6F">
        <w:rPr>
          <w:rFonts w:eastAsia="Arial"/>
        </w:rPr>
        <w:t>2026. There are ongoing risks as the project progresses, such as from the co</w:t>
      </w:r>
      <w:r w:rsidR="00880FAB">
        <w:rPr>
          <w:rFonts w:eastAsia="Arial"/>
        </w:rPr>
        <w:noBreakHyphen/>
      </w:r>
      <w:r w:rsidRPr="00D12C6F">
        <w:rPr>
          <w:rFonts w:eastAsia="Arial"/>
        </w:rPr>
        <w:t xml:space="preserve">dependent North West Transmission Developments project. The Australian Government will continue to monitor these risks through engagement with the Tasmanian and Victorian Governments and ongoing oversight of Marinus Link Pty </w:t>
      </w:r>
      <w:proofErr w:type="spellStart"/>
      <w:r w:rsidRPr="00D12C6F">
        <w:rPr>
          <w:rFonts w:eastAsia="Arial"/>
        </w:rPr>
        <w:t>Ltd</w:t>
      </w:r>
      <w:r w:rsidR="00880FAB">
        <w:rPr>
          <w:rFonts w:eastAsia="Arial"/>
        </w:rPr>
        <w:t>’</w:t>
      </w:r>
      <w:r w:rsidRPr="00D12C6F">
        <w:rPr>
          <w:rFonts w:eastAsia="Arial"/>
        </w:rPr>
        <w:t>s</w:t>
      </w:r>
      <w:proofErr w:type="spellEnd"/>
      <w:r w:rsidRPr="00D12C6F">
        <w:rPr>
          <w:rFonts w:eastAsia="Arial"/>
        </w:rPr>
        <w:t xml:space="preserve"> activities. </w:t>
      </w:r>
    </w:p>
    <w:p w14:paraId="3D760C70" w14:textId="77777777" w:rsidR="00053139" w:rsidRPr="00D12C6F" w:rsidRDefault="00053139" w:rsidP="00053139">
      <w:pPr>
        <w:rPr>
          <w:rFonts w:eastAsia="Arial"/>
        </w:rPr>
      </w:pPr>
      <w:r w:rsidRPr="00D12C6F">
        <w:rPr>
          <w:rFonts w:eastAsia="Arial"/>
        </w:rPr>
        <w:lastRenderedPageBreak/>
        <w:t>In the event of winding up the project, shareholders may be required to contribute additional equity to meet any outstanding liabilities of Marinus Link Pty Ltd.</w:t>
      </w:r>
    </w:p>
    <w:p w14:paraId="74C7FCCD" w14:textId="33AAB8E9" w:rsidR="00053139" w:rsidRPr="00D12C6F" w:rsidRDefault="00053139" w:rsidP="00053139">
      <w:pPr>
        <w:rPr>
          <w:rFonts w:eastAsia="Arial"/>
        </w:rPr>
      </w:pPr>
      <w:r w:rsidRPr="00D12C6F">
        <w:rPr>
          <w:rFonts w:eastAsia="Arial"/>
        </w:rPr>
        <w:t>Under the shareholders</w:t>
      </w:r>
      <w:r w:rsidR="00880FAB">
        <w:rPr>
          <w:rFonts w:eastAsia="Arial"/>
        </w:rPr>
        <w:t>’</w:t>
      </w:r>
      <w:r w:rsidRPr="00D12C6F">
        <w:rPr>
          <w:rFonts w:eastAsia="Arial"/>
        </w:rPr>
        <w:t xml:space="preserve"> agreement, the Tasmanian Government has the option to sell some or </w:t>
      </w:r>
      <w:proofErr w:type="gramStart"/>
      <w:r w:rsidRPr="00D12C6F">
        <w:rPr>
          <w:rFonts w:eastAsia="Arial"/>
        </w:rPr>
        <w:t>all of</w:t>
      </w:r>
      <w:proofErr w:type="gramEnd"/>
      <w:r w:rsidRPr="00D12C6F">
        <w:rPr>
          <w:rFonts w:eastAsia="Arial"/>
        </w:rPr>
        <w:t xml:space="preserve"> its shares in Marinus Link Pty Ltd to the other shareholders. This option can only be exercised following the commencement of commercial operations of Stage 1 of the project, currently scheduled for 2030. While the Victorian Government has the first right of refusal to purchase these shares, the Australian Government is required to purchase the shares that the Victorian Government does not acquire. Any additional shares purchased would be expected to generate a return in line with the Australian Government</w:t>
      </w:r>
      <w:r w:rsidR="00880FAB">
        <w:rPr>
          <w:rFonts w:eastAsia="Arial"/>
        </w:rPr>
        <w:t>’</w:t>
      </w:r>
      <w:r w:rsidRPr="00D12C6F">
        <w:rPr>
          <w:rFonts w:eastAsia="Arial"/>
        </w:rPr>
        <w:t>s existing shareholding in the entity</w:t>
      </w:r>
      <w:r>
        <w:rPr>
          <w:rFonts w:eastAsia="Arial"/>
        </w:rPr>
        <w:t xml:space="preserve">. </w:t>
      </w:r>
    </w:p>
    <w:p w14:paraId="363CAEC7" w14:textId="12376AFC" w:rsidR="00053139" w:rsidRPr="00D12C6F" w:rsidRDefault="00053139" w:rsidP="00053139">
      <w:pPr>
        <w:pStyle w:val="Heading4"/>
        <w:rPr>
          <w:rFonts w:eastAsia="Arial"/>
        </w:rPr>
      </w:pPr>
      <w:r w:rsidRPr="00D12C6F">
        <w:rPr>
          <w:rFonts w:eastAsia="Arial"/>
        </w:rPr>
        <w:t xml:space="preserve"> Murray Darling Basin Reform – risk assignment</w:t>
      </w:r>
    </w:p>
    <w:p w14:paraId="4C7C0E7C" w14:textId="262C6447" w:rsidR="00053139" w:rsidRPr="00D12C6F" w:rsidRDefault="00053139" w:rsidP="00053139">
      <w:pPr>
        <w:rPr>
          <w:rFonts w:eastAsia="Arial"/>
        </w:rPr>
      </w:pPr>
      <w:r w:rsidRPr="00D12C6F">
        <w:rPr>
          <w:rFonts w:eastAsia="Arial"/>
        </w:rPr>
        <w:t>The Government has committed to bridge the gap between the Baseline Diversion Limit and the Sustainable Diversion Limits in the Murray</w:t>
      </w:r>
      <w:r w:rsidR="00880FAB">
        <w:rPr>
          <w:rFonts w:eastAsia="Arial"/>
        </w:rPr>
        <w:noBreakHyphen/>
      </w:r>
      <w:r w:rsidRPr="00D12C6F">
        <w:rPr>
          <w:rFonts w:eastAsia="Arial"/>
        </w:rPr>
        <w:t xml:space="preserve">Darling Basin Plan 2012 through water recovery. On 1 July 2019, the Sustainable Diversion Limits took effect. The </w:t>
      </w:r>
      <w:r w:rsidRPr="00D12C6F">
        <w:rPr>
          <w:rFonts w:eastAsia="Arial"/>
          <w:i/>
          <w:iCs/>
        </w:rPr>
        <w:t>Water Act 2007</w:t>
      </w:r>
      <w:r w:rsidRPr="00D12C6F">
        <w:rPr>
          <w:rFonts w:eastAsia="Arial"/>
        </w:rPr>
        <w:t xml:space="preserve"> provides a risk assignment framework in which entitlement holders with reductions in water allocations, or changes in the reliability of water allocations (where the gap has not been bridged and an accredited water resource plan is in place), may be eligible for a payment from the Commonwealth.</w:t>
      </w:r>
    </w:p>
    <w:p w14:paraId="4E4494C5" w14:textId="77777777" w:rsidR="003102C4" w:rsidRPr="00D12C6F" w:rsidRDefault="00053139" w:rsidP="00053139">
      <w:pPr>
        <w:rPr>
          <w:rFonts w:eastAsia="Arial"/>
        </w:rPr>
      </w:pPr>
      <w:r w:rsidRPr="00D12C6F">
        <w:rPr>
          <w:rFonts w:eastAsia="Arial"/>
        </w:rPr>
        <w:t>The total cost of the operation of the risk assignment framework cannot be quantified at this time and remains a fiscal risk until the gap between the Baseline Diversion Limit and Sustainable Diversion Limits is fully bridged.</w:t>
      </w:r>
    </w:p>
    <w:p w14:paraId="380C2EB8" w14:textId="533E1758" w:rsidR="00FB63D8" w:rsidRPr="00D12C6F" w:rsidRDefault="00FB63D8" w:rsidP="00FB63D8">
      <w:pPr>
        <w:pStyle w:val="Heading4"/>
        <w:rPr>
          <w:rFonts w:eastAsia="Arial"/>
        </w:rPr>
      </w:pPr>
      <w:r w:rsidRPr="00D12C6F">
        <w:rPr>
          <w:rFonts w:eastAsia="Arial"/>
        </w:rPr>
        <w:t xml:space="preserve">Remediation of Jabiru </w:t>
      </w:r>
      <w:bookmarkStart w:id="44" w:name="_Hlk148361227"/>
      <w:r w:rsidRPr="00D12C6F">
        <w:rPr>
          <w:rFonts w:eastAsia="Arial"/>
        </w:rPr>
        <w:t>Township</w:t>
      </w:r>
      <w:bookmarkEnd w:id="44"/>
    </w:p>
    <w:p w14:paraId="46692AED" w14:textId="77777777" w:rsidR="00FB63D8" w:rsidRPr="00D12C6F" w:rsidRDefault="00FB63D8" w:rsidP="00FB63D8">
      <w:pPr>
        <w:rPr>
          <w:rFonts w:eastAsia="Arial"/>
        </w:rPr>
      </w:pPr>
      <w:r w:rsidRPr="00D12C6F">
        <w:rPr>
          <w:rFonts w:eastAsia="Arial"/>
        </w:rPr>
        <w:t xml:space="preserve">The Australian Government, the Northern Territory Government, </w:t>
      </w:r>
      <w:proofErr w:type="spellStart"/>
      <w:r w:rsidRPr="00D12C6F">
        <w:rPr>
          <w:rFonts w:eastAsia="Arial"/>
        </w:rPr>
        <w:t>Gundjeihmi</w:t>
      </w:r>
      <w:proofErr w:type="spellEnd"/>
      <w:r w:rsidRPr="00D12C6F">
        <w:rPr>
          <w:rFonts w:eastAsia="Arial"/>
        </w:rPr>
        <w:t xml:space="preserve"> Aboriginal Corporation and Energy Resources of Australia Ltd signed a Memorandum of Understanding in 2019. The Memorandum of Understanding underpins the transfer of ownership of Jabiru to the Traditional Owners and related make good and rehabilitation arrangements. On 26 June 2021, the Australian Government officially returned ownership of Jabiru to the Traditional Owners. Before the handover, the Australian Government signed a Remediation and Indemnity Deed between representatives of the Traditional Owners in Jabiru and the Northern Land Council. </w:t>
      </w:r>
    </w:p>
    <w:p w14:paraId="4BA09705" w14:textId="74999C8B" w:rsidR="00FB63D8" w:rsidRPr="00D12C6F" w:rsidRDefault="00FB63D8" w:rsidP="00FB63D8">
      <w:pPr>
        <w:rPr>
          <w:rFonts w:eastAsia="Arial"/>
        </w:rPr>
      </w:pPr>
      <w:bookmarkStart w:id="45" w:name="_Hlk148966718"/>
      <w:r w:rsidRPr="00D12C6F">
        <w:rPr>
          <w:rFonts w:eastAsia="Arial"/>
        </w:rPr>
        <w:t>Under these agreements, the Australian Government</w:t>
      </w:r>
      <w:r w:rsidR="00880FAB">
        <w:rPr>
          <w:rFonts w:eastAsia="Arial"/>
        </w:rPr>
        <w:t>’</w:t>
      </w:r>
      <w:r w:rsidRPr="00D12C6F">
        <w:rPr>
          <w:rFonts w:eastAsia="Arial"/>
        </w:rPr>
        <w:t>s responsibilities include</w:t>
      </w:r>
      <w:bookmarkEnd w:id="45"/>
      <w:r w:rsidRPr="00D12C6F">
        <w:rPr>
          <w:rFonts w:eastAsia="Arial"/>
        </w:rPr>
        <w:t xml:space="preserve"> renewal or upgrading of some essential services infrastructure (stormwater, landfill and roads), managing contamination in Jabiru Lake, management or removal of hazardous materials and chemicals, replacing asbestos tiled roofs and improving housing stock, and other ecological remediation. Expenditure for the rehabilitation work will be shared between the Australian Government, Northern Territory Government and Energy Resources Australia. </w:t>
      </w:r>
    </w:p>
    <w:p w14:paraId="23A89318" w14:textId="77777777" w:rsidR="00081CA0" w:rsidRDefault="00081CA0">
      <w:pPr>
        <w:spacing w:before="0" w:after="160" w:line="259" w:lineRule="auto"/>
        <w:rPr>
          <w:rFonts w:ascii="Arial Bold" w:eastAsia="Arial" w:hAnsi="Arial Bold"/>
          <w:b/>
          <w:sz w:val="22"/>
        </w:rPr>
      </w:pPr>
      <w:bookmarkStart w:id="46" w:name="_Toc184039476"/>
      <w:bookmarkStart w:id="47" w:name="_Toc223077545"/>
      <w:r>
        <w:rPr>
          <w:rFonts w:eastAsia="Arial"/>
        </w:rPr>
        <w:br w:type="page"/>
      </w:r>
    </w:p>
    <w:p w14:paraId="6ACE7B3F" w14:textId="3B360D4A" w:rsidR="00FB63D8" w:rsidRPr="00D12C6F" w:rsidRDefault="00FB63D8" w:rsidP="00FB63D8">
      <w:pPr>
        <w:pStyle w:val="Heading3"/>
        <w:rPr>
          <w:rFonts w:eastAsia="Arial"/>
        </w:rPr>
      </w:pPr>
      <w:bookmarkStart w:id="48" w:name="_Toc228987384"/>
      <w:r w:rsidRPr="00D12C6F">
        <w:rPr>
          <w:rFonts w:eastAsia="Arial"/>
        </w:rPr>
        <w:lastRenderedPageBreak/>
        <w:t>Contingent liabilities – quantifiable</w:t>
      </w:r>
      <w:bookmarkEnd w:id="46"/>
      <w:bookmarkEnd w:id="47"/>
      <w:bookmarkEnd w:id="48"/>
    </w:p>
    <w:p w14:paraId="0E5B1753" w14:textId="77777777" w:rsidR="00FB63D8" w:rsidRPr="00D12C6F" w:rsidRDefault="00FB63D8" w:rsidP="00FB63D8">
      <w:pPr>
        <w:pStyle w:val="Heading4"/>
        <w:rPr>
          <w:rFonts w:eastAsia="Arial"/>
        </w:rPr>
      </w:pPr>
      <w:r w:rsidRPr="00D12C6F">
        <w:rPr>
          <w:rFonts w:eastAsia="Arial"/>
        </w:rPr>
        <w:t>Capacity Investment Scheme</w:t>
      </w:r>
    </w:p>
    <w:p w14:paraId="579A934F" w14:textId="77777777" w:rsidR="00FB63D8" w:rsidRPr="00D12C6F" w:rsidRDefault="00FB63D8" w:rsidP="00FB63D8">
      <w:pPr>
        <w:rPr>
          <w:rFonts w:eastAsia="Arial"/>
        </w:rPr>
      </w:pPr>
      <w:r w:rsidRPr="00D12C6F">
        <w:rPr>
          <w:rFonts w:eastAsia="Arial"/>
        </w:rPr>
        <w:t>The Australian Government has announced it intends to enter into underwriting agreements under the Capacity Investment Scheme (CIS) for:</w:t>
      </w:r>
    </w:p>
    <w:p w14:paraId="60121477" w14:textId="77777777" w:rsidR="00FB63D8" w:rsidRPr="00D12C6F" w:rsidRDefault="00FB63D8" w:rsidP="00FB63D8">
      <w:pPr>
        <w:pStyle w:val="Bullet"/>
        <w:rPr>
          <w:rFonts w:eastAsia="Arial"/>
        </w:rPr>
      </w:pPr>
      <w:r w:rsidRPr="00D12C6F">
        <w:rPr>
          <w:rFonts w:eastAsia="Arial"/>
        </w:rPr>
        <w:t xml:space="preserve">six projects through the South Australia and Victoria tender, which are expected to generate 3.62 gigawatt hours (GWh) in storage capacity </w:t>
      </w:r>
    </w:p>
    <w:p w14:paraId="30A8001C" w14:textId="2EB9E868" w:rsidR="00FB63D8" w:rsidRPr="00D12C6F" w:rsidRDefault="00FB63D8" w:rsidP="00FB63D8">
      <w:pPr>
        <w:pStyle w:val="Bullet"/>
        <w:rPr>
          <w:rFonts w:eastAsia="Arial"/>
        </w:rPr>
      </w:pPr>
      <w:r w:rsidRPr="00D12C6F">
        <w:rPr>
          <w:rFonts w:eastAsia="Arial"/>
        </w:rPr>
        <w:t>19</w:t>
      </w:r>
      <w:r>
        <w:rPr>
          <w:rFonts w:eastAsia="Arial"/>
        </w:rPr>
        <w:t> </w:t>
      </w:r>
      <w:r w:rsidRPr="00D12C6F">
        <w:rPr>
          <w:rFonts w:eastAsia="Arial"/>
        </w:rPr>
        <w:t xml:space="preserve">projects through CIS Tender 1 – National Electricity Market (NEM) Generation, providing storage capacity of 3.56 GWh and generating 6.38 gigawatts of renewable energy to the NEM </w:t>
      </w:r>
    </w:p>
    <w:p w14:paraId="3818F4B6" w14:textId="77777777" w:rsidR="00FB63D8" w:rsidRPr="00D12C6F" w:rsidRDefault="00FB63D8" w:rsidP="00FB63D8">
      <w:pPr>
        <w:pStyle w:val="Bullet"/>
        <w:rPr>
          <w:rFonts w:eastAsia="Arial"/>
        </w:rPr>
      </w:pPr>
      <w:r w:rsidRPr="00D12C6F">
        <w:rPr>
          <w:rFonts w:eastAsia="Arial"/>
        </w:rPr>
        <w:t>four projects through CIS Tender 2 – Wholesale Electricity Market (WEM) Dispatchable, in Western Australia, which are expected to have a combined capacity of around 2.6 GWh in storage capacity</w:t>
      </w:r>
    </w:p>
    <w:p w14:paraId="3070A8FC" w14:textId="1C99DA07" w:rsidR="00FB63D8" w:rsidRPr="00D12C6F" w:rsidRDefault="00FB63D8" w:rsidP="00FB63D8">
      <w:pPr>
        <w:pStyle w:val="Bullet"/>
        <w:rPr>
          <w:rFonts w:eastAsia="Arial"/>
        </w:rPr>
      </w:pPr>
      <w:r w:rsidRPr="00D12C6F">
        <w:rPr>
          <w:rFonts w:eastAsia="Arial"/>
        </w:rPr>
        <w:t>16</w:t>
      </w:r>
      <w:r>
        <w:rPr>
          <w:rFonts w:eastAsia="Arial"/>
        </w:rPr>
        <w:t> </w:t>
      </w:r>
      <w:r w:rsidRPr="00D12C6F">
        <w:rPr>
          <w:rFonts w:eastAsia="Arial"/>
        </w:rPr>
        <w:t>projects through CIS Tender 3 – NEM Dispatchable, providing storage capacity of 4.13 gigawatts (GW)/15.37 gigawatt hours (GWh) in the NEM</w:t>
      </w:r>
    </w:p>
    <w:p w14:paraId="6D0F8E3B" w14:textId="73B351D7" w:rsidR="00FB63D8" w:rsidRDefault="00FB63D8" w:rsidP="00FB63D8">
      <w:pPr>
        <w:pStyle w:val="Bullet"/>
        <w:rPr>
          <w:rFonts w:eastAsia="Arial"/>
        </w:rPr>
      </w:pPr>
      <w:r w:rsidRPr="00D12C6F">
        <w:rPr>
          <w:rFonts w:eastAsia="Arial"/>
        </w:rPr>
        <w:t>20</w:t>
      </w:r>
      <w:r>
        <w:rPr>
          <w:rFonts w:eastAsia="Arial"/>
        </w:rPr>
        <w:t> </w:t>
      </w:r>
      <w:r w:rsidRPr="00D12C6F">
        <w:rPr>
          <w:rFonts w:eastAsia="Arial"/>
        </w:rPr>
        <w:t>projects through CIS Tender 4 – NEM Generation, generating 6.6 GW of renewable energy and providing storage capacity of 11.4</w:t>
      </w:r>
      <w:r>
        <w:rPr>
          <w:rFonts w:eastAsia="Arial"/>
        </w:rPr>
        <w:t> </w:t>
      </w:r>
      <w:r w:rsidRPr="00D12C6F">
        <w:rPr>
          <w:rFonts w:eastAsia="Arial"/>
        </w:rPr>
        <w:t>GWh in the NEM.</w:t>
      </w:r>
    </w:p>
    <w:p w14:paraId="6208C59B" w14:textId="77777777" w:rsidR="00FB63D8" w:rsidRPr="00020E12" w:rsidRDefault="00FB63D8" w:rsidP="00FB63D8">
      <w:pPr>
        <w:pStyle w:val="Bullet"/>
        <w:rPr>
          <w:rFonts w:eastAsia="Arial"/>
        </w:rPr>
      </w:pPr>
      <w:r w:rsidRPr="00020E12">
        <w:rPr>
          <w:rFonts w:eastAsia="Arial"/>
        </w:rPr>
        <w:t>seven projects through CIS Tender 5 – WEM Generation, generating 1.89 GW of renewable energy and providing storage capacity of 0.35 GW/2.10 GWh in the WEM</w:t>
      </w:r>
    </w:p>
    <w:p w14:paraId="0591C43F" w14:textId="36EDF093" w:rsidR="00FB63D8" w:rsidRPr="00D12C6F" w:rsidRDefault="00FB63D8" w:rsidP="00FB63D8">
      <w:pPr>
        <w:pStyle w:val="Bullet"/>
        <w:rPr>
          <w:rFonts w:eastAsia="Arial"/>
        </w:rPr>
      </w:pPr>
      <w:r w:rsidRPr="00020E12">
        <w:rPr>
          <w:rFonts w:eastAsia="Arial"/>
        </w:rPr>
        <w:t>three projects through CIS Tender 6 – WEM Dispatchable, providing storage capacity of 0.48 GW/3.68 GWh in the WEM</w:t>
      </w:r>
      <w:r>
        <w:rPr>
          <w:rFonts w:eastAsia="Arial"/>
        </w:rPr>
        <w:t>.</w:t>
      </w:r>
    </w:p>
    <w:p w14:paraId="08D0609A" w14:textId="503A65AC" w:rsidR="00FB63D8" w:rsidRPr="00D12C6F" w:rsidRDefault="00FB63D8" w:rsidP="00FB63D8">
      <w:pPr>
        <w:rPr>
          <w:rFonts w:eastAsia="Arial"/>
        </w:rPr>
      </w:pPr>
      <w:r w:rsidRPr="00D12C6F">
        <w:rPr>
          <w:rFonts w:eastAsia="Arial"/>
        </w:rPr>
        <w:t>Under the terms of these underwriting agreements, once the projects are built and operational, if the annual revenue earned by a project is below the agreed revenue floor, the Australian Government will pay the project operator 90 per cent of the revenue shortfall up to the agreed annual cap for 15</w:t>
      </w:r>
      <w:r>
        <w:rPr>
          <w:rFonts w:eastAsia="Arial"/>
        </w:rPr>
        <w:t> </w:t>
      </w:r>
      <w:r w:rsidRPr="00D12C6F">
        <w:rPr>
          <w:rFonts w:eastAsia="Arial"/>
        </w:rPr>
        <w:t>years. If annual revenue earned by a project exceeds the agreed ceiling, the project operator pays the Australian Government 50 per cent of revenue above the ceiling up to the agreed cap.</w:t>
      </w:r>
    </w:p>
    <w:p w14:paraId="3D16AE77" w14:textId="55915AB0" w:rsidR="00FB63D8" w:rsidRPr="00D12C6F" w:rsidRDefault="00FB63D8" w:rsidP="00FB63D8">
      <w:pPr>
        <w:rPr>
          <w:rFonts w:eastAsia="Arial"/>
        </w:rPr>
      </w:pPr>
      <w:r w:rsidRPr="00D12C6F">
        <w:rPr>
          <w:rFonts w:eastAsia="Arial"/>
        </w:rPr>
        <w:t>The Australian Government</w:t>
      </w:r>
      <w:r w:rsidR="00880FAB">
        <w:rPr>
          <w:rFonts w:eastAsia="Arial"/>
        </w:rPr>
        <w:t>’</w:t>
      </w:r>
      <w:r w:rsidRPr="00D12C6F">
        <w:rPr>
          <w:rFonts w:eastAsia="Arial"/>
        </w:rPr>
        <w:t>s maximum liability and estimated payments under these agreements are not for publication due to commercial sensitivities. While estimated payments are not for publication, they are reflected in the forward estimates from 2026–27. Final payments will depend on future electricity prices and the resulting impact on project</w:t>
      </w:r>
      <w:r>
        <w:rPr>
          <w:rFonts w:eastAsia="Arial"/>
        </w:rPr>
        <w:t> </w:t>
      </w:r>
      <w:r w:rsidRPr="00D12C6F">
        <w:rPr>
          <w:rFonts w:eastAsia="Arial"/>
        </w:rPr>
        <w:t>revenues.</w:t>
      </w:r>
    </w:p>
    <w:p w14:paraId="2A2FDFC0" w14:textId="2E7C7944" w:rsidR="00FB63D8" w:rsidRPr="00D12C6F" w:rsidRDefault="00FB63D8" w:rsidP="00FB63D8">
      <w:pPr>
        <w:rPr>
          <w:rFonts w:eastAsia="Arial"/>
          <w:b/>
        </w:rPr>
      </w:pPr>
      <w:r w:rsidRPr="00D12C6F">
        <w:rPr>
          <w:rFonts w:eastAsia="Arial"/>
        </w:rPr>
        <w:t>Any additional specific risks associated with this program will be reflected once further contracts are finalised and if it is determined that they meet the materiality threshold for inclusion.</w:t>
      </w:r>
    </w:p>
    <w:p w14:paraId="09A79E66" w14:textId="4954D45D" w:rsidR="00FB63D8" w:rsidRPr="00D12C6F" w:rsidRDefault="00FB63D8" w:rsidP="00FB63D8">
      <w:pPr>
        <w:pStyle w:val="Heading3"/>
      </w:pPr>
      <w:bookmarkStart w:id="49" w:name="_Toc223077546"/>
      <w:bookmarkStart w:id="50" w:name="_Toc228987385"/>
      <w:r w:rsidRPr="00D12C6F">
        <w:lastRenderedPageBreak/>
        <w:t>Contingent assets – quantifiable</w:t>
      </w:r>
      <w:bookmarkEnd w:id="49"/>
      <w:bookmarkEnd w:id="50"/>
    </w:p>
    <w:p w14:paraId="7E7453C4" w14:textId="77777777" w:rsidR="00FB63D8" w:rsidRPr="00D12C6F" w:rsidRDefault="00FB63D8" w:rsidP="00FB63D8">
      <w:pPr>
        <w:pStyle w:val="Heading4"/>
      </w:pPr>
      <w:r w:rsidRPr="00D12C6F">
        <w:t xml:space="preserve">Capacity Investment Scheme </w:t>
      </w:r>
    </w:p>
    <w:p w14:paraId="4FBE868E" w14:textId="77777777" w:rsidR="00FB63D8" w:rsidRPr="00D12C6F" w:rsidRDefault="00FB63D8" w:rsidP="00FB63D8">
      <w:pPr>
        <w:rPr>
          <w:rFonts w:eastAsia="Arial"/>
        </w:rPr>
      </w:pPr>
      <w:r w:rsidRPr="00D12C6F">
        <w:rPr>
          <w:rFonts w:eastAsia="Arial"/>
        </w:rPr>
        <w:t xml:space="preserve">Performance securities are provided to the Government by project operators in the form of a financial guarantee under the terms of the Capacity Investment Scheme (CIS) agreements. </w:t>
      </w:r>
    </w:p>
    <w:p w14:paraId="5B3CD545" w14:textId="6C221598" w:rsidR="00FB63D8" w:rsidRPr="00D12C6F" w:rsidRDefault="00FB63D8" w:rsidP="00FB63D8">
      <w:pPr>
        <w:rPr>
          <w:rFonts w:eastAsia="Arial"/>
        </w:rPr>
      </w:pPr>
      <w:r w:rsidRPr="00D12C6F">
        <w:rPr>
          <w:rFonts w:eastAsia="Arial"/>
        </w:rPr>
        <w:t xml:space="preserve">The Government may draw on a performance security in specific circumstances in accordance with the terms of the CIS contract. </w:t>
      </w:r>
      <w:r w:rsidR="0082611D">
        <w:rPr>
          <w:rFonts w:eastAsia="Arial"/>
        </w:rPr>
        <w:t xml:space="preserve">A </w:t>
      </w:r>
      <w:r w:rsidRPr="00D12C6F">
        <w:rPr>
          <w:rFonts w:eastAsia="Arial"/>
        </w:rPr>
        <w:t xml:space="preserve">performance security must be returned to the project operator within ten business days after the earlier date of commercial operations or termination. </w:t>
      </w:r>
    </w:p>
    <w:p w14:paraId="47CE902F" w14:textId="0C356755" w:rsidR="003102C4" w:rsidRPr="00D12C6F" w:rsidRDefault="00FB63D8" w:rsidP="00FB63D8">
      <w:pPr>
        <w:rPr>
          <w:rFonts w:eastAsia="Arial"/>
        </w:rPr>
      </w:pPr>
      <w:proofErr w:type="gramStart"/>
      <w:r w:rsidRPr="00D12C6F">
        <w:rPr>
          <w:rFonts w:eastAsia="Arial"/>
        </w:rPr>
        <w:t>At</w:t>
      </w:r>
      <w:proofErr w:type="gramEnd"/>
      <w:r w:rsidRPr="00D12C6F">
        <w:rPr>
          <w:rFonts w:eastAsia="Arial"/>
        </w:rPr>
        <w:t xml:space="preserve"> 30</w:t>
      </w:r>
      <w:r>
        <w:rPr>
          <w:rFonts w:eastAsia="Arial"/>
        </w:rPr>
        <w:t> </w:t>
      </w:r>
      <w:r w:rsidRPr="00D12C6F">
        <w:rPr>
          <w:rFonts w:eastAsia="Arial"/>
        </w:rPr>
        <w:t>June</w:t>
      </w:r>
      <w:r>
        <w:rPr>
          <w:rFonts w:eastAsia="Arial"/>
        </w:rPr>
        <w:t> </w:t>
      </w:r>
      <w:r w:rsidRPr="00D12C6F">
        <w:rPr>
          <w:rFonts w:eastAsia="Arial"/>
        </w:rPr>
        <w:t>2025, the Government held performance securities in the form of bank guarantees totalling $47.8</w:t>
      </w:r>
      <w:r>
        <w:rPr>
          <w:rFonts w:eastAsia="Arial"/>
        </w:rPr>
        <w:t> </w:t>
      </w:r>
      <w:r w:rsidRPr="00D12C6F">
        <w:rPr>
          <w:rFonts w:eastAsia="Arial"/>
        </w:rPr>
        <w:t>million.</w:t>
      </w:r>
    </w:p>
    <w:p w14:paraId="4DC83FC5" w14:textId="77777777" w:rsidR="001A17A6" w:rsidRPr="00D12C6F" w:rsidRDefault="001A17A6" w:rsidP="001A17A6">
      <w:pPr>
        <w:pStyle w:val="Heading2"/>
      </w:pPr>
      <w:bookmarkStart w:id="51" w:name="_Toc228987386"/>
      <w:bookmarkStart w:id="52" w:name="_Toc184039479"/>
      <w:bookmarkEnd w:id="30"/>
      <w:bookmarkEnd w:id="31"/>
      <w:r w:rsidRPr="00D12C6F">
        <w:t>Defence</w:t>
      </w:r>
      <w:bookmarkEnd w:id="51"/>
    </w:p>
    <w:p w14:paraId="16433E5D" w14:textId="77777777" w:rsidR="001A17A6" w:rsidRPr="00D12C6F" w:rsidRDefault="001A17A6" w:rsidP="001A17A6">
      <w:pPr>
        <w:pStyle w:val="Heading3"/>
      </w:pPr>
      <w:bookmarkStart w:id="53" w:name="_Toc71117779"/>
      <w:bookmarkStart w:id="54" w:name="_Toc99141857"/>
      <w:bookmarkStart w:id="55" w:name="_Toc166165498"/>
      <w:bookmarkStart w:id="56" w:name="_Toc223077548"/>
      <w:bookmarkStart w:id="57" w:name="_Toc228987387"/>
      <w:r w:rsidRPr="00D12C6F">
        <w:t xml:space="preserve">Fiscal </w:t>
      </w:r>
      <w:bookmarkEnd w:id="53"/>
      <w:r w:rsidRPr="00D12C6F">
        <w:t>Risks</w:t>
      </w:r>
      <w:bookmarkEnd w:id="54"/>
      <w:bookmarkEnd w:id="55"/>
      <w:bookmarkEnd w:id="56"/>
      <w:bookmarkEnd w:id="57"/>
    </w:p>
    <w:p w14:paraId="2CBC2870" w14:textId="462FB076" w:rsidR="001A17A6" w:rsidRPr="00D12C6F" w:rsidRDefault="001A17A6" w:rsidP="001A17A6">
      <w:pPr>
        <w:pStyle w:val="Heading4"/>
      </w:pPr>
      <w:r w:rsidRPr="00D12C6F">
        <w:t>Implementation of the nuclear</w:t>
      </w:r>
      <w:r w:rsidR="00880FAB">
        <w:noBreakHyphen/>
      </w:r>
      <w:r w:rsidRPr="00D12C6F">
        <w:t>powered submarine program</w:t>
      </w:r>
    </w:p>
    <w:p w14:paraId="720BC384" w14:textId="1BD0E073" w:rsidR="001A17A6" w:rsidRPr="00D12C6F" w:rsidRDefault="001A17A6" w:rsidP="001A17A6">
      <w:pPr>
        <w:rPr>
          <w:rFonts w:eastAsia="Arial"/>
        </w:rPr>
      </w:pPr>
      <w:r w:rsidRPr="00D12C6F">
        <w:rPr>
          <w:rFonts w:eastAsia="Arial"/>
        </w:rPr>
        <w:t>On 14 March 2023, the Australian Government, alongside the governments of the United Kingdom and the United States of America, announced the optimal pathway for the nuclear</w:t>
      </w:r>
      <w:r w:rsidR="00880FAB">
        <w:rPr>
          <w:rFonts w:eastAsia="Arial"/>
        </w:rPr>
        <w:noBreakHyphen/>
      </w:r>
      <w:r w:rsidRPr="00D12C6F">
        <w:rPr>
          <w:rFonts w:eastAsia="Arial"/>
        </w:rPr>
        <w:t xml:space="preserve">powered submarine program for Australia under the AUKUS trilateral security partnership. </w:t>
      </w:r>
    </w:p>
    <w:p w14:paraId="4858A1B4" w14:textId="13713B0C" w:rsidR="001A17A6" w:rsidRPr="00D12C6F" w:rsidRDefault="001A17A6" w:rsidP="001A17A6">
      <w:pPr>
        <w:rPr>
          <w:rFonts w:eastAsia="Arial"/>
        </w:rPr>
      </w:pPr>
      <w:r w:rsidRPr="00D12C6F">
        <w:rPr>
          <w:rFonts w:eastAsia="Arial"/>
        </w:rPr>
        <w:t xml:space="preserve">The Australian Government has agreed </w:t>
      </w:r>
      <w:proofErr w:type="gramStart"/>
      <w:r w:rsidRPr="00D12C6F">
        <w:rPr>
          <w:rFonts w:eastAsia="Arial"/>
        </w:rPr>
        <w:t>a number of</w:t>
      </w:r>
      <w:proofErr w:type="gramEnd"/>
      <w:r w:rsidRPr="00D12C6F">
        <w:rPr>
          <w:rFonts w:eastAsia="Arial"/>
        </w:rPr>
        <w:t xml:space="preserve"> measures to support the initial implementation of the nuclear</w:t>
      </w:r>
      <w:r w:rsidR="00880FAB">
        <w:rPr>
          <w:rFonts w:eastAsia="Arial"/>
        </w:rPr>
        <w:noBreakHyphen/>
      </w:r>
      <w:r w:rsidRPr="00D12C6F">
        <w:rPr>
          <w:rFonts w:eastAsia="Arial"/>
        </w:rPr>
        <w:t xml:space="preserve">powered submarine program, which have been outlined in Budget papers since 2023–24. </w:t>
      </w:r>
    </w:p>
    <w:p w14:paraId="0B404EE2" w14:textId="77777777" w:rsidR="001A17A6" w:rsidRPr="00B8134F" w:rsidRDefault="001A17A6" w:rsidP="001A17A6">
      <w:pPr>
        <w:rPr>
          <w:rFonts w:eastAsia="Arial"/>
        </w:rPr>
      </w:pPr>
      <w:r w:rsidRPr="00D12C6F">
        <w:rPr>
          <w:rFonts w:eastAsia="Arial"/>
        </w:rPr>
        <w:t>The total costs associated with the program will depend on the details of design and production processes and commercial and other arrangements, including the provision of indemnities, which will be finalised between governments and delivery partners.</w:t>
      </w:r>
      <w:bookmarkStart w:id="58" w:name="_Hlk192506556"/>
    </w:p>
    <w:p w14:paraId="3D1EFB6F" w14:textId="2C8CCC8E" w:rsidR="001A17A6" w:rsidRPr="00D12C6F" w:rsidRDefault="001A17A6" w:rsidP="001A17A6">
      <w:pPr>
        <w:pStyle w:val="Heading4"/>
        <w:rPr>
          <w:rFonts w:eastAsia="Arial"/>
        </w:rPr>
      </w:pPr>
      <w:r w:rsidRPr="00D12C6F">
        <w:rPr>
          <w:rFonts w:eastAsia="Arial"/>
        </w:rPr>
        <w:t>Major operations of the Australian Defence Force in 2026–27</w:t>
      </w:r>
    </w:p>
    <w:p w14:paraId="68A0A82A" w14:textId="6E3E70CD" w:rsidR="001A17A6" w:rsidRPr="00D12C6F" w:rsidRDefault="001A17A6" w:rsidP="001A17A6">
      <w:pPr>
        <w:rPr>
          <w:rFonts w:eastAsia="Arial"/>
        </w:rPr>
      </w:pPr>
      <w:bookmarkStart w:id="59" w:name="_Toc184039478"/>
      <w:bookmarkStart w:id="60" w:name="_Toc223077549"/>
      <w:bookmarkEnd w:id="58"/>
      <w:r w:rsidRPr="00D12C6F">
        <w:rPr>
          <w:rFonts w:eastAsia="Arial"/>
        </w:rPr>
        <w:t>The 2026–27 estimates for the Department of Defence (Defence) include the cost of major operations of the Australian Defence Force in 2026–27 in the Middle East and European regions, and to protect Australia</w:t>
      </w:r>
      <w:r w:rsidR="00880FAB">
        <w:rPr>
          <w:rFonts w:eastAsia="Arial"/>
        </w:rPr>
        <w:t>’</w:t>
      </w:r>
      <w:r w:rsidRPr="00D12C6F">
        <w:rPr>
          <w:rFonts w:eastAsia="Arial"/>
        </w:rPr>
        <w:t>s borders and offshore maritime interests. Funding for major Defence operations is considered and provisioned on a year</w:t>
      </w:r>
      <w:r w:rsidR="00880FAB">
        <w:rPr>
          <w:rFonts w:eastAsia="Arial"/>
        </w:rPr>
        <w:noBreakHyphen/>
      </w:r>
      <w:r w:rsidRPr="00D12C6F">
        <w:rPr>
          <w:rFonts w:eastAsia="Arial"/>
        </w:rPr>
        <w:t>by</w:t>
      </w:r>
      <w:r w:rsidR="00880FAB">
        <w:rPr>
          <w:rFonts w:eastAsia="Arial"/>
        </w:rPr>
        <w:noBreakHyphen/>
      </w:r>
      <w:r w:rsidRPr="00D12C6F">
        <w:rPr>
          <w:rFonts w:eastAsia="Arial"/>
        </w:rPr>
        <w:t>year basis.</w:t>
      </w:r>
    </w:p>
    <w:p w14:paraId="01857927" w14:textId="77777777" w:rsidR="00081CA0" w:rsidRDefault="00081CA0">
      <w:pPr>
        <w:spacing w:before="0" w:after="160" w:line="259" w:lineRule="auto"/>
        <w:rPr>
          <w:rFonts w:ascii="Arial Bold" w:hAnsi="Arial Bold"/>
          <w:b/>
          <w:sz w:val="22"/>
        </w:rPr>
      </w:pPr>
      <w:r>
        <w:br w:type="page"/>
      </w:r>
    </w:p>
    <w:p w14:paraId="7660411A" w14:textId="151FD6F0" w:rsidR="001A17A6" w:rsidRPr="00D12C6F" w:rsidRDefault="001A17A6" w:rsidP="001A17A6">
      <w:pPr>
        <w:pStyle w:val="Heading3"/>
      </w:pPr>
      <w:bookmarkStart w:id="61" w:name="_Toc228987388"/>
      <w:r w:rsidRPr="00D12C6F">
        <w:lastRenderedPageBreak/>
        <w:t>Significant but remote contingenc</w:t>
      </w:r>
      <w:bookmarkEnd w:id="59"/>
      <w:r w:rsidRPr="00D12C6F">
        <w:t>ies</w:t>
      </w:r>
      <w:bookmarkEnd w:id="60"/>
      <w:bookmarkEnd w:id="61"/>
    </w:p>
    <w:p w14:paraId="65AE6739" w14:textId="77777777" w:rsidR="001A17A6" w:rsidRPr="00D12C6F" w:rsidRDefault="001A17A6" w:rsidP="001A17A6">
      <w:pPr>
        <w:pStyle w:val="Heading4"/>
      </w:pPr>
      <w:bookmarkStart w:id="62" w:name="_Toc71117783"/>
      <w:bookmarkStart w:id="63" w:name="_Toc71117784"/>
      <w:bookmarkStart w:id="64" w:name="_Hlk148351463"/>
      <w:bookmarkStart w:id="65" w:name="_Hlk148524785"/>
      <w:r w:rsidRPr="00D12C6F">
        <w:t>Litigation</w:t>
      </w:r>
      <w:bookmarkEnd w:id="62"/>
      <w:r w:rsidRPr="00D12C6F">
        <w:t xml:space="preserve"> </w:t>
      </w:r>
    </w:p>
    <w:p w14:paraId="6EBADB62" w14:textId="672FD01D" w:rsidR="001A17A6" w:rsidRPr="00D12C6F" w:rsidRDefault="001A17A6" w:rsidP="001A17A6">
      <w:pPr>
        <w:rPr>
          <w:rFonts w:eastAsia="Arial"/>
        </w:rPr>
      </w:pPr>
      <w:r>
        <w:rPr>
          <w:rFonts w:eastAsia="Arial"/>
        </w:rPr>
        <w:t xml:space="preserve">The </w:t>
      </w:r>
      <w:r w:rsidRPr="00D12C6F">
        <w:rPr>
          <w:rFonts w:eastAsia="Arial"/>
        </w:rPr>
        <w:t xml:space="preserve">Department of Defence </w:t>
      </w:r>
      <w:r>
        <w:rPr>
          <w:rFonts w:eastAsia="Arial"/>
        </w:rPr>
        <w:t>(</w:t>
      </w:r>
      <w:r w:rsidRPr="00D12C6F">
        <w:rPr>
          <w:rFonts w:eastAsia="Arial"/>
        </w:rPr>
        <w:t>Defence</w:t>
      </w:r>
      <w:r>
        <w:rPr>
          <w:rFonts w:eastAsia="Arial"/>
        </w:rPr>
        <w:t>)</w:t>
      </w:r>
      <w:r w:rsidRPr="00D12C6F">
        <w:rPr>
          <w:rFonts w:eastAsia="Arial"/>
        </w:rPr>
        <w:t xml:space="preserve"> is involved in a wide range of litigation and other claims for compensation and/or damages that may result in litigation where the matters are not able to be finalised by negotiation. </w:t>
      </w:r>
    </w:p>
    <w:p w14:paraId="117F2B1A" w14:textId="77777777" w:rsidR="001A17A6" w:rsidRPr="00D12C6F" w:rsidRDefault="001A17A6" w:rsidP="001A17A6">
      <w:pPr>
        <w:rPr>
          <w:rFonts w:eastAsia="Arial"/>
        </w:rPr>
      </w:pPr>
      <w:r w:rsidRPr="00D12C6F">
        <w:rPr>
          <w:rFonts w:eastAsia="Arial"/>
        </w:rPr>
        <w:t>The litigation includes:</w:t>
      </w:r>
    </w:p>
    <w:p w14:paraId="56A53885" w14:textId="083843A4" w:rsidR="001A17A6" w:rsidRPr="00D12C6F" w:rsidRDefault="001A17A6" w:rsidP="001A17A6">
      <w:pPr>
        <w:pStyle w:val="Bullet"/>
      </w:pPr>
      <w:r w:rsidRPr="00D12C6F">
        <w:t xml:space="preserve">common law liability claims, including for personal injury and property damage, investigations of Defence by Comcare and active prosecutions in relation to alleged breaches of the </w:t>
      </w:r>
      <w:r w:rsidRPr="00D12C6F">
        <w:rPr>
          <w:i/>
          <w:iCs/>
        </w:rPr>
        <w:t>Work</w:t>
      </w:r>
      <w:r w:rsidRPr="00D12C6F">
        <w:rPr>
          <w:rFonts w:hint="eastAsia"/>
          <w:i/>
          <w:iCs/>
        </w:rPr>
        <w:t> </w:t>
      </w:r>
      <w:r w:rsidRPr="00D12C6F">
        <w:rPr>
          <w:i/>
          <w:iCs/>
        </w:rPr>
        <w:t>Health and Safety Act 2011</w:t>
      </w:r>
      <w:r w:rsidR="0082611D">
        <w:rPr>
          <w:i/>
          <w:iCs/>
        </w:rPr>
        <w:t xml:space="preserve"> (</w:t>
      </w:r>
      <w:proofErr w:type="spellStart"/>
      <w:r w:rsidR="0082611D">
        <w:rPr>
          <w:i/>
          <w:iCs/>
        </w:rPr>
        <w:t>Cth</w:t>
      </w:r>
      <w:proofErr w:type="spellEnd"/>
      <w:r w:rsidR="0082611D">
        <w:rPr>
          <w:i/>
          <w:iCs/>
        </w:rPr>
        <w:t>)</w:t>
      </w:r>
    </w:p>
    <w:p w14:paraId="1B762960" w14:textId="6F573167" w:rsidR="001A17A6" w:rsidRPr="00D12C6F" w:rsidRDefault="001A17A6" w:rsidP="001A17A6">
      <w:pPr>
        <w:pStyle w:val="Bullet"/>
      </w:pPr>
      <w:r w:rsidRPr="00D12C6F">
        <w:t>claims seeking compensation for alleged loss or damage arising from Defence use of aqueous film forming foam that contained manmade per</w:t>
      </w:r>
      <w:r w:rsidR="00880FAB">
        <w:noBreakHyphen/>
      </w:r>
      <w:r w:rsidRPr="00D12C6F">
        <w:t xml:space="preserve"> and poly</w:t>
      </w:r>
      <w:r w:rsidR="00880FAB">
        <w:noBreakHyphen/>
      </w:r>
      <w:r w:rsidRPr="00D12C6F">
        <w:t>fluoroalkyl (PFAS) substances</w:t>
      </w:r>
    </w:p>
    <w:p w14:paraId="1F1E004C" w14:textId="4E104641" w:rsidR="001A17A6" w:rsidRPr="00D12C6F" w:rsidRDefault="001A17A6" w:rsidP="001A17A6">
      <w:pPr>
        <w:pStyle w:val="Bullet"/>
      </w:pPr>
      <w:r w:rsidRPr="00D12C6F">
        <w:t>claims received following reviews into the Australian Defence Force and Defence</w:t>
      </w:r>
      <w:r>
        <w:t> </w:t>
      </w:r>
      <w:r w:rsidRPr="00D12C6F">
        <w:t xml:space="preserve">culture. </w:t>
      </w:r>
    </w:p>
    <w:p w14:paraId="5CFE34D5" w14:textId="77777777" w:rsidR="001A17A6" w:rsidRPr="00D12C6F" w:rsidRDefault="001A17A6" w:rsidP="001A17A6">
      <w:r w:rsidRPr="00D12C6F">
        <w:t>Claims may also arise from the disposal of assets to third parties where such assets contain hazardous materials, or components that have the potential to cause injury.</w:t>
      </w:r>
    </w:p>
    <w:p w14:paraId="1F3DA553" w14:textId="77777777" w:rsidR="001A17A6" w:rsidRPr="00D12C6F" w:rsidRDefault="001A17A6" w:rsidP="001A17A6">
      <w:pPr>
        <w:pStyle w:val="Heading4"/>
        <w:rPr>
          <w:lang w:val="en-US"/>
        </w:rPr>
      </w:pPr>
      <w:r w:rsidRPr="00D12C6F">
        <w:rPr>
          <w:lang w:val="en-US"/>
        </w:rPr>
        <w:t>Remote contingencies</w:t>
      </w:r>
    </w:p>
    <w:p w14:paraId="1AFC21BE" w14:textId="304FCF1D" w:rsidR="001A17A6" w:rsidRPr="00D12C6F" w:rsidRDefault="001A17A6" w:rsidP="001A17A6">
      <w:pPr>
        <w:rPr>
          <w:rFonts w:eastAsia="Arial"/>
        </w:rPr>
      </w:pPr>
      <w:bookmarkStart w:id="66" w:name="_Toc166165500"/>
      <w:bookmarkStart w:id="67" w:name="_Toc223077550"/>
      <w:bookmarkEnd w:id="63"/>
      <w:bookmarkEnd w:id="64"/>
      <w:bookmarkEnd w:id="65"/>
      <w:r w:rsidRPr="00D12C6F">
        <w:rPr>
          <w:rFonts w:eastAsia="Arial"/>
        </w:rPr>
        <w:t>As at March</w:t>
      </w:r>
      <w:r>
        <w:rPr>
          <w:rFonts w:eastAsia="Arial"/>
        </w:rPr>
        <w:t> </w:t>
      </w:r>
      <w:r w:rsidRPr="00D12C6F">
        <w:rPr>
          <w:rFonts w:eastAsia="Arial"/>
        </w:rPr>
        <w:t xml:space="preserve">2026, </w:t>
      </w:r>
      <w:r>
        <w:rPr>
          <w:rFonts w:eastAsia="Arial"/>
        </w:rPr>
        <w:t xml:space="preserve">the </w:t>
      </w:r>
      <w:r w:rsidRPr="00D12C6F">
        <w:rPr>
          <w:rFonts w:eastAsia="Arial"/>
        </w:rPr>
        <w:t xml:space="preserve">Department of Defence </w:t>
      </w:r>
      <w:r>
        <w:rPr>
          <w:rFonts w:eastAsia="Arial"/>
        </w:rPr>
        <w:t>(</w:t>
      </w:r>
      <w:r w:rsidRPr="00D12C6F">
        <w:rPr>
          <w:rFonts w:eastAsia="Arial"/>
        </w:rPr>
        <w:t>Defence</w:t>
      </w:r>
      <w:r>
        <w:rPr>
          <w:rFonts w:eastAsia="Arial"/>
        </w:rPr>
        <w:t>)</w:t>
      </w:r>
      <w:r w:rsidRPr="00D12C6F">
        <w:rPr>
          <w:rFonts w:eastAsia="Arial"/>
        </w:rPr>
        <w:t xml:space="preserve"> carried 195 instances of quantifiable remote contingent liabilities valued at $5.4 billion and 486 instances of unquantifiable remote contingent liabilities. </w:t>
      </w:r>
    </w:p>
    <w:p w14:paraId="55A73F87" w14:textId="77777777" w:rsidR="001A17A6" w:rsidRPr="00D12C6F" w:rsidRDefault="001A17A6" w:rsidP="001A17A6">
      <w:pPr>
        <w:rPr>
          <w:rFonts w:eastAsia="Arial"/>
        </w:rPr>
      </w:pPr>
      <w:r w:rsidRPr="00D12C6F">
        <w:rPr>
          <w:rFonts w:eastAsia="Arial"/>
        </w:rPr>
        <w:t>Details of these significant but remote contingent liabilities are not given due to commercial and</w:t>
      </w:r>
      <w:r>
        <w:rPr>
          <w:rFonts w:eastAsia="Arial"/>
        </w:rPr>
        <w:t>/</w:t>
      </w:r>
      <w:r w:rsidRPr="00D12C6F">
        <w:rPr>
          <w:rFonts w:eastAsia="Arial"/>
        </w:rPr>
        <w:t>or national security sensitivities.</w:t>
      </w:r>
    </w:p>
    <w:p w14:paraId="0C3CFF27" w14:textId="77777777" w:rsidR="001A17A6" w:rsidRPr="00D12C6F" w:rsidRDefault="001A17A6" w:rsidP="001A17A6">
      <w:pPr>
        <w:pStyle w:val="Heading3"/>
      </w:pPr>
      <w:bookmarkStart w:id="68" w:name="_Toc228987389"/>
      <w:r w:rsidRPr="00D12C6F">
        <w:t>Contingent liabilities – unquantifiable</w:t>
      </w:r>
      <w:bookmarkEnd w:id="66"/>
      <w:bookmarkEnd w:id="67"/>
      <w:bookmarkEnd w:id="68"/>
    </w:p>
    <w:p w14:paraId="1B153E3B" w14:textId="77777777" w:rsidR="001A17A6" w:rsidRPr="00D12C6F" w:rsidRDefault="001A17A6" w:rsidP="001A17A6">
      <w:pPr>
        <w:pStyle w:val="Heading4"/>
      </w:pPr>
      <w:bookmarkStart w:id="69" w:name="_Toc71117787"/>
      <w:r w:rsidRPr="00D12C6F">
        <w:t>Land decontamination, site restoration and decommissioning of Defence assets</w:t>
      </w:r>
      <w:bookmarkEnd w:id="69"/>
    </w:p>
    <w:p w14:paraId="190126B7" w14:textId="5D83BD1B" w:rsidR="004A5885" w:rsidRPr="00D12C6F" w:rsidRDefault="001A17A6" w:rsidP="001A17A6">
      <w:pPr>
        <w:rPr>
          <w:rFonts w:eastAsia="Arial"/>
        </w:rPr>
      </w:pPr>
      <w:r>
        <w:rPr>
          <w:rFonts w:eastAsia="Arial"/>
        </w:rPr>
        <w:t xml:space="preserve">The </w:t>
      </w:r>
      <w:r w:rsidRPr="00D12C6F">
        <w:rPr>
          <w:rFonts w:eastAsia="Arial"/>
        </w:rPr>
        <w:t xml:space="preserve">Department of Defence </w:t>
      </w:r>
      <w:r>
        <w:rPr>
          <w:rFonts w:eastAsia="Arial"/>
        </w:rPr>
        <w:t>(</w:t>
      </w:r>
      <w:r w:rsidRPr="00D12C6F">
        <w:rPr>
          <w:rFonts w:eastAsia="Arial"/>
        </w:rPr>
        <w:t>Defence</w:t>
      </w:r>
      <w:r>
        <w:rPr>
          <w:rFonts w:eastAsia="Arial"/>
        </w:rPr>
        <w:t>)</w:t>
      </w:r>
      <w:r w:rsidRPr="00D12C6F">
        <w:rPr>
          <w:rFonts w:eastAsia="Arial"/>
        </w:rPr>
        <w:t xml:space="preserve"> has made a financial provision for the estimated costs involved in remediating contaminated land on the Defence estate where a legal or constructive obligation has arisen. For cases where these obligations do not exist, or these contingencies are unquantified, a provision has not been made.</w:t>
      </w:r>
      <w:r w:rsidR="004A5885" w:rsidRPr="00D12C6F">
        <w:rPr>
          <w:rFonts w:eastAsia="Arial"/>
        </w:rPr>
        <w:t xml:space="preserve"> </w:t>
      </w:r>
    </w:p>
    <w:p w14:paraId="5B608CEE" w14:textId="77777777" w:rsidR="00AF20DA" w:rsidRPr="00D12C6F" w:rsidRDefault="00AF20DA" w:rsidP="00AF20DA">
      <w:pPr>
        <w:pStyle w:val="Heading2"/>
      </w:pPr>
      <w:bookmarkStart w:id="70" w:name="_Toc228987390"/>
      <w:bookmarkStart w:id="71" w:name="_Toc99141864"/>
      <w:bookmarkStart w:id="72" w:name="_Toc223077555"/>
      <w:bookmarkEnd w:id="32"/>
      <w:bookmarkEnd w:id="33"/>
      <w:bookmarkEnd w:id="52"/>
      <w:r w:rsidRPr="00D12C6F">
        <w:lastRenderedPageBreak/>
        <w:t>Employment and Workplace Relations</w:t>
      </w:r>
      <w:bookmarkEnd w:id="70"/>
    </w:p>
    <w:p w14:paraId="423A0600" w14:textId="5663C05C" w:rsidR="00AF20DA" w:rsidRPr="00D12C6F" w:rsidRDefault="00AF20DA" w:rsidP="00AF20DA">
      <w:pPr>
        <w:pStyle w:val="Heading3"/>
      </w:pPr>
      <w:bookmarkStart w:id="73" w:name="_Toc166165503"/>
      <w:bookmarkStart w:id="74" w:name="_Toc223077552"/>
      <w:bookmarkStart w:id="75" w:name="_Toc228987391"/>
      <w:bookmarkStart w:id="76" w:name="_Toc71117791"/>
      <w:bookmarkStart w:id="77" w:name="_Toc184039481"/>
      <w:r w:rsidRPr="00D12C6F">
        <w:t>Fiscal Risks</w:t>
      </w:r>
      <w:bookmarkEnd w:id="73"/>
      <w:bookmarkEnd w:id="74"/>
      <w:bookmarkEnd w:id="75"/>
    </w:p>
    <w:bookmarkEnd w:id="76"/>
    <w:bookmarkEnd w:id="77"/>
    <w:p w14:paraId="535F0EE9" w14:textId="064D94D2" w:rsidR="00AF20DA" w:rsidRPr="00D12C6F" w:rsidRDefault="00AF20DA" w:rsidP="00AF20DA">
      <w:pPr>
        <w:pStyle w:val="Heading4"/>
        <w:rPr>
          <w:rFonts w:eastAsia="Arial"/>
        </w:rPr>
      </w:pPr>
      <w:r w:rsidRPr="00D12C6F">
        <w:rPr>
          <w:rFonts w:eastAsia="Arial"/>
        </w:rPr>
        <w:t>Recovery of inappropriately claimed VET FEE</w:t>
      </w:r>
      <w:r w:rsidR="00880FAB">
        <w:rPr>
          <w:rFonts w:eastAsia="Arial"/>
        </w:rPr>
        <w:noBreakHyphen/>
      </w:r>
      <w:r w:rsidRPr="00D12C6F">
        <w:rPr>
          <w:rFonts w:eastAsia="Arial"/>
        </w:rPr>
        <w:t>HELP payments from VET providers</w:t>
      </w:r>
    </w:p>
    <w:p w14:paraId="00CBEFEB" w14:textId="63242FD3" w:rsidR="00AF20DA" w:rsidRPr="00D12C6F" w:rsidRDefault="00AF20DA" w:rsidP="00AF20DA">
      <w:pPr>
        <w:rPr>
          <w:rFonts w:eastAsia="Arial"/>
        </w:rPr>
      </w:pPr>
      <w:r w:rsidRPr="00D12C6F">
        <w:rPr>
          <w:rFonts w:eastAsia="Arial"/>
        </w:rPr>
        <w:t>The Australian Government is undertaking compliance action, including court action, to recover VET FEE</w:t>
      </w:r>
      <w:r w:rsidR="00880FAB">
        <w:rPr>
          <w:rFonts w:eastAsia="Arial"/>
        </w:rPr>
        <w:noBreakHyphen/>
      </w:r>
      <w:r w:rsidRPr="00D12C6F">
        <w:rPr>
          <w:rFonts w:eastAsia="Arial"/>
        </w:rPr>
        <w:t>HELP payments from VET providers where loans were issued inappropriately to students by providers. The Government legislated a remedy, VET</w:t>
      </w:r>
      <w:r>
        <w:rPr>
          <w:rFonts w:eastAsia="Arial"/>
        </w:rPr>
        <w:t> </w:t>
      </w:r>
      <w:r w:rsidRPr="00D12C6F">
        <w:rPr>
          <w:rFonts w:eastAsia="Arial"/>
        </w:rPr>
        <w:t>FEE</w:t>
      </w:r>
      <w:r w:rsidR="00880FAB">
        <w:rPr>
          <w:rFonts w:eastAsia="Arial"/>
        </w:rPr>
        <w:noBreakHyphen/>
      </w:r>
      <w:r w:rsidRPr="00D12C6F">
        <w:rPr>
          <w:rFonts w:eastAsia="Arial"/>
        </w:rPr>
        <w:t>HELP Student Redress, which commenced 1 January 2019 (and closed after five</w:t>
      </w:r>
      <w:r>
        <w:rPr>
          <w:rFonts w:eastAsia="Arial"/>
        </w:rPr>
        <w:t> </w:t>
      </w:r>
      <w:r w:rsidRPr="00D12C6F">
        <w:rPr>
          <w:rFonts w:eastAsia="Arial"/>
        </w:rPr>
        <w:t>years on 31</w:t>
      </w:r>
      <w:r>
        <w:rPr>
          <w:rFonts w:eastAsia="Arial"/>
        </w:rPr>
        <w:t> </w:t>
      </w:r>
      <w:r w:rsidRPr="00D12C6F">
        <w:rPr>
          <w:rFonts w:eastAsia="Arial"/>
        </w:rPr>
        <w:t>December</w:t>
      </w:r>
      <w:r w:rsidR="001370F4">
        <w:rPr>
          <w:rFonts w:eastAsia="Arial"/>
        </w:rPr>
        <w:t> 2023</w:t>
      </w:r>
      <w:r w:rsidRPr="00D12C6F">
        <w:rPr>
          <w:rFonts w:eastAsia="Arial"/>
        </w:rPr>
        <w:t>) for VET FEE</w:t>
      </w:r>
      <w:r w:rsidR="00880FAB">
        <w:rPr>
          <w:rFonts w:eastAsia="Arial"/>
        </w:rPr>
        <w:noBreakHyphen/>
      </w:r>
      <w:r w:rsidRPr="00D12C6F">
        <w:rPr>
          <w:rFonts w:eastAsia="Arial"/>
        </w:rPr>
        <w:t>HELP students who incurred debts under the VET</w:t>
      </w:r>
      <w:r>
        <w:rPr>
          <w:rFonts w:eastAsia="Arial"/>
        </w:rPr>
        <w:t> </w:t>
      </w:r>
      <w:r w:rsidRPr="00D12C6F">
        <w:rPr>
          <w:rFonts w:eastAsia="Arial"/>
        </w:rPr>
        <w:t>FEE</w:t>
      </w:r>
      <w:r w:rsidR="00880FAB">
        <w:rPr>
          <w:rFonts w:eastAsia="Arial"/>
        </w:rPr>
        <w:noBreakHyphen/>
      </w:r>
      <w:r w:rsidRPr="00D12C6F">
        <w:rPr>
          <w:rFonts w:eastAsia="Arial"/>
        </w:rPr>
        <w:t>HELP loan scheme following inappropriate conduct by VET providers. The Government will undertake recovery activities against VET providers in cases where the student was ineligible for a VET</w:t>
      </w:r>
      <w:r>
        <w:rPr>
          <w:rFonts w:eastAsia="Arial"/>
        </w:rPr>
        <w:t> </w:t>
      </w:r>
      <w:r w:rsidRPr="00D12C6F">
        <w:rPr>
          <w:rFonts w:eastAsia="Arial"/>
        </w:rPr>
        <w:t>FEE</w:t>
      </w:r>
      <w:r w:rsidR="00880FAB">
        <w:rPr>
          <w:rFonts w:eastAsia="Arial"/>
        </w:rPr>
        <w:noBreakHyphen/>
      </w:r>
      <w:r w:rsidRPr="00D12C6F">
        <w:rPr>
          <w:rFonts w:eastAsia="Arial"/>
        </w:rPr>
        <w:t>HELP loan.</w:t>
      </w:r>
    </w:p>
    <w:p w14:paraId="2ABFB3BC" w14:textId="77777777" w:rsidR="00AF20DA" w:rsidRPr="00D12C6F" w:rsidRDefault="00AF20DA" w:rsidP="00AF20DA">
      <w:pPr>
        <w:rPr>
          <w:rFonts w:eastAsia="Arial"/>
        </w:rPr>
      </w:pPr>
      <w:r w:rsidRPr="00D12C6F">
        <w:rPr>
          <w:rFonts w:eastAsia="Arial"/>
        </w:rPr>
        <w:t xml:space="preserve">There are financial risks to the Commonwealth </w:t>
      </w:r>
      <w:proofErr w:type="gramStart"/>
      <w:r w:rsidRPr="00D12C6F">
        <w:rPr>
          <w:rFonts w:eastAsia="Arial"/>
        </w:rPr>
        <w:t>in the event that</w:t>
      </w:r>
      <w:proofErr w:type="gramEnd"/>
      <w:r w:rsidRPr="00D12C6F">
        <w:rPr>
          <w:rFonts w:eastAsia="Arial"/>
        </w:rPr>
        <w:t xml:space="preserve"> it cannot recover payments from VET providers where they have closed or entered into administration or liquidation.</w:t>
      </w:r>
    </w:p>
    <w:p w14:paraId="175EF0F8" w14:textId="6B801CE5" w:rsidR="00AF20DA" w:rsidRPr="00D12C6F" w:rsidRDefault="00AF20DA" w:rsidP="00AF20DA">
      <w:pPr>
        <w:rPr>
          <w:rFonts w:eastAsia="Arial"/>
        </w:rPr>
      </w:pPr>
      <w:r w:rsidRPr="00D12C6F">
        <w:rPr>
          <w:rFonts w:eastAsia="Arial"/>
        </w:rPr>
        <w:t>The financial risk to the Commonwealth is currently unquantifiable as it depends on the receipt and assessment of applications from students, as well as outcomes from the Government</w:t>
      </w:r>
      <w:r w:rsidR="00880FAB">
        <w:rPr>
          <w:rFonts w:eastAsia="Arial"/>
        </w:rPr>
        <w:t>’</w:t>
      </w:r>
      <w:r w:rsidRPr="00D12C6F">
        <w:rPr>
          <w:rFonts w:eastAsia="Arial"/>
        </w:rPr>
        <w:t>s investigations into VET providers</w:t>
      </w:r>
      <w:r w:rsidR="00880FAB">
        <w:rPr>
          <w:rFonts w:eastAsia="Arial"/>
        </w:rPr>
        <w:t>’</w:t>
      </w:r>
      <w:r w:rsidRPr="00D12C6F">
        <w:rPr>
          <w:rFonts w:eastAsia="Arial"/>
        </w:rPr>
        <w:t xml:space="preserve"> conduct.</w:t>
      </w:r>
    </w:p>
    <w:p w14:paraId="304F0584" w14:textId="3E55A603" w:rsidR="00AF20DA" w:rsidRPr="00D12C6F" w:rsidRDefault="00AF20DA" w:rsidP="00AF20DA">
      <w:pPr>
        <w:pStyle w:val="Heading3"/>
      </w:pPr>
      <w:bookmarkStart w:id="78" w:name="_Toc223077553"/>
      <w:bookmarkStart w:id="79" w:name="_Toc228987392"/>
      <w:r w:rsidRPr="00D12C6F">
        <w:t>Contingent liabilities – unquantifiable</w:t>
      </w:r>
      <w:bookmarkEnd w:id="78"/>
      <w:bookmarkEnd w:id="79"/>
    </w:p>
    <w:p w14:paraId="6293699D" w14:textId="77777777" w:rsidR="00AF20DA" w:rsidRPr="00D12C6F" w:rsidRDefault="00AF20DA" w:rsidP="00AF20DA">
      <w:pPr>
        <w:pStyle w:val="Heading4"/>
        <w:rPr>
          <w:rFonts w:eastAsia="Arial"/>
        </w:rPr>
      </w:pPr>
      <w:r w:rsidRPr="00D12C6F">
        <w:rPr>
          <w:rFonts w:eastAsia="Arial"/>
        </w:rPr>
        <w:t xml:space="preserve">Compensation for unlawful decisions under the Targeted Compliance </w:t>
      </w:r>
      <w:r w:rsidRPr="00673DCA">
        <w:rPr>
          <w:rFonts w:eastAsia="Arial"/>
        </w:rPr>
        <w:t>Framework</w:t>
      </w:r>
      <w:r w:rsidRPr="00D12C6F">
        <w:rPr>
          <w:rFonts w:eastAsia="Arial"/>
        </w:rPr>
        <w:t xml:space="preserve"> </w:t>
      </w:r>
    </w:p>
    <w:p w14:paraId="4C478743" w14:textId="77777777" w:rsidR="00AF20DA" w:rsidRPr="00D12C6F" w:rsidRDefault="00AF20DA" w:rsidP="00AF20DA">
      <w:pPr>
        <w:rPr>
          <w:rFonts w:eastAsia="Arial"/>
          <w:lang w:val="en-US"/>
        </w:rPr>
      </w:pPr>
      <w:r w:rsidRPr="00D12C6F">
        <w:rPr>
          <w:rFonts w:eastAsia="Arial"/>
          <w:lang w:val="en-US"/>
        </w:rPr>
        <w:t xml:space="preserve">Since 2020, some decisions to cancel social security payments under the Targeted Compliance Framework (TCF) have been found to be invalid. Individuals affected by these decisions may have experienced financial or other forms of detriment. </w:t>
      </w:r>
    </w:p>
    <w:p w14:paraId="6F1CE19D" w14:textId="77777777" w:rsidR="00AF20DA" w:rsidRPr="00D12C6F" w:rsidRDefault="00AF20DA" w:rsidP="00AF20DA">
      <w:pPr>
        <w:rPr>
          <w:rFonts w:eastAsia="Arial"/>
          <w:lang w:val="en-US"/>
        </w:rPr>
      </w:pPr>
      <w:r w:rsidRPr="00D12C6F">
        <w:rPr>
          <w:rFonts w:eastAsia="Arial"/>
          <w:lang w:val="en-US"/>
        </w:rPr>
        <w:t xml:space="preserve">Affected individuals may be eligible for compensation through an application based process administered under the Scheme for Compensation for Detriment caused by Defective Administration (CDDA). The CDDA scheme would support individuals to receive compensation owing to defective administration of the TCF. </w:t>
      </w:r>
    </w:p>
    <w:p w14:paraId="420840CA" w14:textId="77777777" w:rsidR="00AF20DA" w:rsidRPr="00D12C6F" w:rsidRDefault="00AF20DA" w:rsidP="00AF20DA">
      <w:pPr>
        <w:rPr>
          <w:rFonts w:eastAsia="Arial"/>
          <w:lang w:val="en-US"/>
        </w:rPr>
      </w:pPr>
      <w:r w:rsidRPr="00D12C6F">
        <w:rPr>
          <w:rFonts w:eastAsia="Arial"/>
          <w:lang w:val="en-US"/>
        </w:rPr>
        <w:t xml:space="preserve">The total fiscal impact of these payments is currently unquantifiable, as it will depend on the number of applications received and the outcome of individual assessments. </w:t>
      </w:r>
    </w:p>
    <w:p w14:paraId="51AA6FDB" w14:textId="77777777" w:rsidR="00AF20DA" w:rsidRPr="00D12C6F" w:rsidRDefault="00AF20DA" w:rsidP="00AF20DA">
      <w:pPr>
        <w:pStyle w:val="Heading3"/>
      </w:pPr>
      <w:bookmarkStart w:id="80" w:name="_Toc223077554"/>
      <w:bookmarkStart w:id="81" w:name="_Toc228987393"/>
      <w:r w:rsidRPr="00D12C6F">
        <w:t>Contingent liabilities – quantifiable</w:t>
      </w:r>
      <w:bookmarkEnd w:id="80"/>
      <w:bookmarkEnd w:id="81"/>
    </w:p>
    <w:p w14:paraId="129202AC" w14:textId="77777777" w:rsidR="00AF20DA" w:rsidRPr="00D12C6F" w:rsidRDefault="00AF20DA" w:rsidP="00AF20DA">
      <w:pPr>
        <w:pStyle w:val="Heading4"/>
        <w:rPr>
          <w:rFonts w:eastAsia="Calibri"/>
          <w:lang w:eastAsia="en-US"/>
        </w:rPr>
      </w:pPr>
      <w:r w:rsidRPr="00D12C6F">
        <w:rPr>
          <w:rFonts w:eastAsia="Calibri"/>
          <w:lang w:eastAsia="en-US"/>
        </w:rPr>
        <w:t>Parent Pathways service</w:t>
      </w:r>
    </w:p>
    <w:p w14:paraId="067D395C" w14:textId="40DE2119" w:rsidR="00AF20DA" w:rsidRPr="00D12C6F" w:rsidRDefault="00AF20DA" w:rsidP="00AF20DA">
      <w:pPr>
        <w:rPr>
          <w:rFonts w:eastAsia="Book Antiqua"/>
        </w:rPr>
      </w:pPr>
      <w:r w:rsidRPr="00D12C6F">
        <w:rPr>
          <w:rFonts w:eastAsia="Book Antiqua"/>
        </w:rPr>
        <w:t>Parent Pathways is a voluntary pre</w:t>
      </w:r>
      <w:r w:rsidR="00880FAB">
        <w:rPr>
          <w:rFonts w:eastAsia="Book Antiqua"/>
        </w:rPr>
        <w:noBreakHyphen/>
      </w:r>
      <w:r w:rsidRPr="00D12C6F">
        <w:rPr>
          <w:rFonts w:eastAsia="Book Antiqua"/>
        </w:rPr>
        <w:t>employment service which commenced on 1 November 2024. Parent Pathways supports parents and carers of children under six to work towards their employment and education goals, while valuing the important role of caring for children.</w:t>
      </w:r>
    </w:p>
    <w:p w14:paraId="0D0E2CBB" w14:textId="3E1CCF0E" w:rsidR="00AF20DA" w:rsidRPr="00D12C6F" w:rsidRDefault="00AF20DA" w:rsidP="00AF20DA">
      <w:pPr>
        <w:rPr>
          <w:rFonts w:eastAsia="Book Antiqua"/>
        </w:rPr>
      </w:pPr>
      <w:r w:rsidRPr="00D12C6F">
        <w:rPr>
          <w:rFonts w:eastAsia="Book Antiqua"/>
        </w:rPr>
        <w:lastRenderedPageBreak/>
        <w:t>Participants can access financial assistance through the Individual and Pooled Funds. The</w:t>
      </w:r>
      <w:r>
        <w:rPr>
          <w:rFonts w:eastAsia="Book Antiqua"/>
        </w:rPr>
        <w:t> </w:t>
      </w:r>
      <w:r w:rsidRPr="00D12C6F">
        <w:rPr>
          <w:rFonts w:eastAsia="Book Antiqua"/>
        </w:rPr>
        <w:t>Individual Fund provides participants with financial assistance to build their skills and capabilities and to attend appointments or activities. A notional amount of $1,250 is credited to each participant</w:t>
      </w:r>
      <w:r w:rsidR="00880FAB">
        <w:rPr>
          <w:rFonts w:eastAsia="Book Antiqua"/>
        </w:rPr>
        <w:t>’</w:t>
      </w:r>
      <w:r w:rsidRPr="00D12C6F">
        <w:rPr>
          <w:rFonts w:eastAsia="Book Antiqua"/>
        </w:rPr>
        <w:t>s Individual Fund on their commencement in the service. Every</w:t>
      </w:r>
      <w:r>
        <w:rPr>
          <w:rFonts w:eastAsia="Book Antiqua"/>
        </w:rPr>
        <w:t> </w:t>
      </w:r>
      <w:r w:rsidRPr="00D12C6F">
        <w:rPr>
          <w:rFonts w:eastAsia="Book Antiqua"/>
        </w:rPr>
        <w:t>12 months unused credits will lapse, and a new $1,250 credit will be applied to the participant</w:t>
      </w:r>
      <w:r w:rsidR="00880FAB">
        <w:rPr>
          <w:rFonts w:eastAsia="Book Antiqua"/>
        </w:rPr>
        <w:t>’</w:t>
      </w:r>
      <w:r w:rsidRPr="00D12C6F">
        <w:rPr>
          <w:rFonts w:eastAsia="Book Antiqua"/>
        </w:rPr>
        <w:t>s Individual Fund. The Pooled Fund supplements the Individual Fund and supports a broad range of purchases for participants who are in most need of assistance. When a participant commences, $600 is allocated to the provider</w:t>
      </w:r>
      <w:r w:rsidR="00880FAB">
        <w:rPr>
          <w:rFonts w:eastAsia="Book Antiqua"/>
        </w:rPr>
        <w:t>’</w:t>
      </w:r>
      <w:r w:rsidRPr="00D12C6F">
        <w:rPr>
          <w:rFonts w:eastAsia="Book Antiqua"/>
        </w:rPr>
        <w:t>s Pooled Fund.</w:t>
      </w:r>
    </w:p>
    <w:p w14:paraId="73D6BF26" w14:textId="23CCC36E" w:rsidR="00AF20DA" w:rsidRPr="00D12C6F" w:rsidRDefault="00AF20DA" w:rsidP="00AF20DA">
      <w:pPr>
        <w:rPr>
          <w:rFonts w:eastAsia="Book Antiqua"/>
        </w:rPr>
      </w:pPr>
      <w:r w:rsidRPr="00D12C6F">
        <w:rPr>
          <w:rFonts w:eastAsia="Book Antiqua"/>
        </w:rPr>
        <w:t xml:space="preserve">As the service commenced fully in early 2025 (allowing clients and services to transition from </w:t>
      </w:r>
      <w:proofErr w:type="spellStart"/>
      <w:r w:rsidRPr="00D12C6F">
        <w:rPr>
          <w:rFonts w:eastAsia="Book Antiqua"/>
        </w:rPr>
        <w:t>ParentsNext</w:t>
      </w:r>
      <w:proofErr w:type="spellEnd"/>
      <w:r w:rsidRPr="00D12C6F">
        <w:rPr>
          <w:rFonts w:eastAsia="Book Antiqua"/>
        </w:rPr>
        <w:t xml:space="preserve"> which ceased on 31 October 2024), providers are forecast to spend less than the value of the available credits, creating a surplus of credits that present a contingent liability. As </w:t>
      </w:r>
      <w:proofErr w:type="gramStart"/>
      <w:r w:rsidRPr="00D12C6F">
        <w:rPr>
          <w:rFonts w:eastAsia="Book Antiqua"/>
        </w:rPr>
        <w:t>at</w:t>
      </w:r>
      <w:proofErr w:type="gramEnd"/>
      <w:r w:rsidRPr="00D12C6F">
        <w:rPr>
          <w:rFonts w:eastAsia="Book Antiqua"/>
        </w:rPr>
        <w:t xml:space="preserve"> 31 January</w:t>
      </w:r>
      <w:r w:rsidR="004341C4">
        <w:rPr>
          <w:rFonts w:eastAsia="Book Antiqua"/>
        </w:rPr>
        <w:t> </w:t>
      </w:r>
      <w:r w:rsidRPr="00D12C6F">
        <w:rPr>
          <w:rFonts w:eastAsia="Book Antiqua"/>
        </w:rPr>
        <w:t>2026, there was $35.8 million in unspent credits in the Individual and Pooled Fund notional banks.</w:t>
      </w:r>
    </w:p>
    <w:p w14:paraId="106FFE02" w14:textId="77777777" w:rsidR="00AF20DA" w:rsidRPr="00D12C6F" w:rsidRDefault="00AF20DA" w:rsidP="00AF20DA">
      <w:pPr>
        <w:pStyle w:val="Heading4"/>
        <w:rPr>
          <w:rFonts w:eastAsia="Arial"/>
        </w:rPr>
      </w:pPr>
      <w:r w:rsidRPr="00D12C6F">
        <w:rPr>
          <w:rFonts w:eastAsia="Arial"/>
        </w:rPr>
        <w:t>Workforce Australia – Employment Fund </w:t>
      </w:r>
    </w:p>
    <w:p w14:paraId="3370471A" w14:textId="0713D5A3" w:rsidR="00AF20DA" w:rsidRPr="00D12C6F" w:rsidRDefault="00AF20DA" w:rsidP="00AF20DA">
      <w:pPr>
        <w:rPr>
          <w:rFonts w:eastAsia="Arial"/>
        </w:rPr>
      </w:pPr>
      <w:r w:rsidRPr="00D12C6F">
        <w:rPr>
          <w:rFonts w:eastAsia="Arial"/>
        </w:rPr>
        <w:t>Since July 2022, with the introduction of Workforce Australia, contracted service providers and the Digital Services Contact Centre have had access to the Employment Fund, which can be used to purchase goods and services to help participants to get and keep a job.</w:t>
      </w:r>
    </w:p>
    <w:p w14:paraId="75648902" w14:textId="798541A4" w:rsidR="00AF20DA" w:rsidRPr="00D12C6F" w:rsidRDefault="00AF20DA" w:rsidP="00AF20DA">
      <w:pPr>
        <w:pStyle w:val="Bullet"/>
      </w:pPr>
      <w:r w:rsidRPr="00D12C6F">
        <w:t>Providers accumulate an Employment Fund credit upon commencement of each participant in Workforce Australia Provider Services. This was reduced from $1,600 to $1,500 from 1 July</w:t>
      </w:r>
      <w:r>
        <w:t> </w:t>
      </w:r>
      <w:r w:rsidRPr="00D12C6F">
        <w:t xml:space="preserve">2025 as part of the 2024–25 Budget measure </w:t>
      </w:r>
      <w:r w:rsidRPr="00D12C6F">
        <w:rPr>
          <w:i/>
          <w:iCs/>
        </w:rPr>
        <w:t>Employment Services Reform – Supporting Jobseekers Through Paid Employment Pathways Package</w:t>
      </w:r>
      <w:r w:rsidRPr="00D12C6F">
        <w:t>. The Employment Fund credit remains at $1,600 for Broome Employment Services and Yarrabah Employment Services as these two services have different policy and program</w:t>
      </w:r>
      <w:r>
        <w:t> </w:t>
      </w:r>
      <w:r w:rsidRPr="00D12C6F">
        <w:t>settings.</w:t>
      </w:r>
    </w:p>
    <w:p w14:paraId="2CE90664" w14:textId="4E14BD10" w:rsidR="00AF20DA" w:rsidRPr="00D12C6F" w:rsidRDefault="00AF20DA" w:rsidP="00AF20DA">
      <w:pPr>
        <w:pStyle w:val="Bullet"/>
      </w:pPr>
      <w:r w:rsidRPr="00D12C6F">
        <w:t>Participants in Workforce Australia Online attract an Employment Fund credit, credited after a participant has been in Digital Services for two months. The credit amount reduced from $300 to $250 from 1</w:t>
      </w:r>
      <w:r>
        <w:t> </w:t>
      </w:r>
      <w:r w:rsidRPr="00D12C6F">
        <w:t>June</w:t>
      </w:r>
      <w:r>
        <w:t> </w:t>
      </w:r>
      <w:r w:rsidRPr="00D12C6F">
        <w:t xml:space="preserve">2024 as part of the 2024–25 Budget measure </w:t>
      </w:r>
      <w:r w:rsidRPr="00D12C6F">
        <w:rPr>
          <w:i/>
          <w:iCs/>
        </w:rPr>
        <w:t xml:space="preserve">Employment Services Reform – </w:t>
      </w:r>
      <w:r w:rsidRPr="00D12C6F">
        <w:rPr>
          <w:i/>
        </w:rPr>
        <w:t>Rebasing the Digital Services Contact Centre Funding</w:t>
      </w:r>
      <w:r w:rsidRPr="00D12C6F">
        <w:t>. New</w:t>
      </w:r>
      <w:r>
        <w:t> </w:t>
      </w:r>
      <w:r w:rsidRPr="00D12C6F">
        <w:t>credits were paused for the duration of the 2025 calendar year as part of the 2024–</w:t>
      </w:r>
      <w:r w:rsidRPr="00D12C6F">
        <w:rPr>
          <w:rFonts w:ascii="Times New Roman" w:hAnsi="Times New Roman" w:hint="eastAsia"/>
          <w:rtl/>
        </w:rPr>
        <w:t>‍</w:t>
      </w:r>
      <w:r w:rsidRPr="00D12C6F">
        <w:t xml:space="preserve">25 MYEFO measure </w:t>
      </w:r>
      <w:r w:rsidRPr="00D12C6F">
        <w:rPr>
          <w:i/>
          <w:iCs/>
        </w:rPr>
        <w:t xml:space="preserve">Temporarily Pausing Workforce Australia Online Employment Fund Credits </w:t>
      </w:r>
      <w:r w:rsidRPr="00D12C6F">
        <w:t>but recommenced from January</w:t>
      </w:r>
      <w:r w:rsidR="004341C4">
        <w:t> </w:t>
      </w:r>
      <w:r w:rsidRPr="00D12C6F">
        <w:t>2026.</w:t>
      </w:r>
    </w:p>
    <w:p w14:paraId="02A6FD21" w14:textId="09E45F73" w:rsidR="00FA3C27" w:rsidRPr="00D12C6F" w:rsidRDefault="00AF20DA" w:rsidP="00AF20DA">
      <w:pPr>
        <w:rPr>
          <w:rFonts w:eastAsia="Arial"/>
        </w:rPr>
      </w:pPr>
      <w:r w:rsidRPr="00D12C6F">
        <w:rPr>
          <w:rFonts w:eastAsia="Arial"/>
        </w:rPr>
        <w:t xml:space="preserve">Currently, Employment Fund expenditure is expected to be less than the value of the available credits, creating an accumulating surplus of credits that present a contingent liability. As </w:t>
      </w:r>
      <w:proofErr w:type="gramStart"/>
      <w:r w:rsidRPr="00D12C6F">
        <w:rPr>
          <w:rFonts w:eastAsia="Arial"/>
        </w:rPr>
        <w:t>at</w:t>
      </w:r>
      <w:proofErr w:type="gramEnd"/>
      <w:r w:rsidRPr="00D12C6F">
        <w:rPr>
          <w:rFonts w:eastAsia="Arial"/>
        </w:rPr>
        <w:t xml:space="preserve"> 31</w:t>
      </w:r>
      <w:r>
        <w:rPr>
          <w:rFonts w:eastAsia="Arial"/>
        </w:rPr>
        <w:t> </w:t>
      </w:r>
      <w:r w:rsidRPr="00D12C6F">
        <w:rPr>
          <w:rFonts w:eastAsia="Arial"/>
        </w:rPr>
        <w:t>January</w:t>
      </w:r>
      <w:r>
        <w:rPr>
          <w:rFonts w:eastAsia="Arial"/>
        </w:rPr>
        <w:t> </w:t>
      </w:r>
      <w:r w:rsidRPr="00D12C6F">
        <w:rPr>
          <w:rFonts w:eastAsia="Arial"/>
        </w:rPr>
        <w:t>2026, there was $684.4</w:t>
      </w:r>
      <w:r>
        <w:rPr>
          <w:rFonts w:eastAsia="Arial"/>
        </w:rPr>
        <w:t> </w:t>
      </w:r>
      <w:r w:rsidRPr="00D12C6F">
        <w:rPr>
          <w:rFonts w:eastAsia="Arial"/>
        </w:rPr>
        <w:t>million in unspent Employment Fund Credits in the Workforce Australia Employment Fund notional bank (this includes Workforce Australia Online Employment Fund, Workforce Australia Services Employment Fund, Broome Employment Services Employment Fund and Yarrabah Employment Services Employment Fund).</w:t>
      </w:r>
    </w:p>
    <w:p w14:paraId="790B3428" w14:textId="77777777" w:rsidR="00F32FD0" w:rsidRDefault="00F32FD0" w:rsidP="00F32FD0">
      <w:pPr>
        <w:pStyle w:val="Heading2"/>
      </w:pPr>
      <w:bookmarkStart w:id="82" w:name="_Toc228987394"/>
      <w:bookmarkStart w:id="83" w:name="_Toc99141874"/>
      <w:bookmarkStart w:id="84" w:name="_Toc184039485"/>
      <w:bookmarkEnd w:id="71"/>
      <w:bookmarkEnd w:id="72"/>
      <w:r w:rsidRPr="00D12C6F">
        <w:lastRenderedPageBreak/>
        <w:t>Finance</w:t>
      </w:r>
      <w:bookmarkEnd w:id="82"/>
    </w:p>
    <w:p w14:paraId="3DDCD1BA" w14:textId="77777777" w:rsidR="00F32FD0" w:rsidRDefault="00F32FD0" w:rsidP="00F32FD0">
      <w:pPr>
        <w:pStyle w:val="Heading3"/>
      </w:pPr>
      <w:bookmarkStart w:id="85" w:name="_Toc228987395"/>
      <w:r>
        <w:t>Fiscal Risks</w:t>
      </w:r>
      <w:bookmarkEnd w:id="85"/>
      <w:r>
        <w:t xml:space="preserve"> </w:t>
      </w:r>
    </w:p>
    <w:p w14:paraId="5B669553" w14:textId="77777777" w:rsidR="00F32FD0" w:rsidRDefault="00F32FD0" w:rsidP="00F32FD0">
      <w:pPr>
        <w:pStyle w:val="Heading4"/>
      </w:pPr>
      <w:r>
        <w:t xml:space="preserve">Defence Estate </w:t>
      </w:r>
    </w:p>
    <w:p w14:paraId="097B794E" w14:textId="1EABCCEC" w:rsidR="00F32FD0" w:rsidRDefault="00F32FD0" w:rsidP="00F32FD0">
      <w:bookmarkStart w:id="86" w:name="_Toc71117794"/>
      <w:bookmarkStart w:id="87" w:name="_Toc99141866"/>
      <w:bookmarkStart w:id="88" w:name="_Toc166165506"/>
      <w:bookmarkStart w:id="89" w:name="_Toc223077556"/>
      <w:r>
        <w:t xml:space="preserve">Expected </w:t>
      </w:r>
      <w:r w:rsidRPr="00AF12EC">
        <w:t xml:space="preserve">receipts from the divestment of </w:t>
      </w:r>
      <w:r>
        <w:t xml:space="preserve">selected properties in the </w:t>
      </w:r>
      <w:r w:rsidRPr="00D12C6F">
        <w:rPr>
          <w:rFonts w:eastAsia="Arial"/>
        </w:rPr>
        <w:t xml:space="preserve">Department of Defence </w:t>
      </w:r>
      <w:r>
        <w:rPr>
          <w:rFonts w:eastAsia="Arial"/>
        </w:rPr>
        <w:t>(</w:t>
      </w:r>
      <w:r w:rsidRPr="00AF12EC">
        <w:t>Defence</w:t>
      </w:r>
      <w:r>
        <w:t>)</w:t>
      </w:r>
      <w:r w:rsidRPr="00AF12EC">
        <w:t xml:space="preserve"> estate, based on initial Defence estimates, are reflected in the forward estimates. There are financial risks to the Commonwealth </w:t>
      </w:r>
      <w:proofErr w:type="gramStart"/>
      <w:r w:rsidRPr="00AF12EC">
        <w:t>in the event that</w:t>
      </w:r>
      <w:proofErr w:type="gramEnd"/>
      <w:r w:rsidRPr="00AF12EC">
        <w:t xml:space="preserve"> divestment of the properties results in lower</w:t>
      </w:r>
      <w:r w:rsidR="00880FAB">
        <w:noBreakHyphen/>
      </w:r>
      <w:r w:rsidRPr="00AF12EC">
        <w:t>than</w:t>
      </w:r>
      <w:r w:rsidR="00880FAB">
        <w:noBreakHyphen/>
      </w:r>
      <w:r w:rsidRPr="00AF12EC">
        <w:t>expected receipts. The quantum of this risk is not for publication due to commercial sensitivities and to avoid prejudicing the Commonwealth</w:t>
      </w:r>
      <w:r w:rsidR="00880FAB">
        <w:t>’</w:t>
      </w:r>
      <w:r w:rsidRPr="00AF12EC">
        <w:t>s negotiating</w:t>
      </w:r>
      <w:r>
        <w:t xml:space="preserve"> position.</w:t>
      </w:r>
    </w:p>
    <w:p w14:paraId="60E96B3E" w14:textId="77777777" w:rsidR="00F32FD0" w:rsidRPr="00D12C6F" w:rsidRDefault="00F32FD0" w:rsidP="00F32FD0">
      <w:pPr>
        <w:pStyle w:val="Heading3"/>
      </w:pPr>
      <w:bookmarkStart w:id="90" w:name="_Toc228987396"/>
      <w:r w:rsidRPr="00D12C6F">
        <w:t xml:space="preserve">Significant but remote </w:t>
      </w:r>
      <w:bookmarkEnd w:id="86"/>
      <w:bookmarkEnd w:id="87"/>
      <w:bookmarkEnd w:id="88"/>
      <w:bookmarkEnd w:id="89"/>
      <w:r w:rsidRPr="00D12C6F">
        <w:t>contingencies</w:t>
      </w:r>
      <w:bookmarkEnd w:id="90"/>
      <w:r>
        <w:t xml:space="preserve"> </w:t>
      </w:r>
    </w:p>
    <w:p w14:paraId="75C4156B" w14:textId="77777777" w:rsidR="00F32FD0" w:rsidRPr="00D12C6F" w:rsidRDefault="00F32FD0" w:rsidP="00F32FD0">
      <w:pPr>
        <w:pStyle w:val="Heading4"/>
        <w:rPr>
          <w:rFonts w:eastAsia="Arial"/>
        </w:rPr>
      </w:pPr>
      <w:bookmarkStart w:id="91" w:name="_Toc71117795"/>
      <w:r w:rsidRPr="00D12C6F">
        <w:rPr>
          <w:rFonts w:eastAsia="Arial"/>
        </w:rPr>
        <w:t>Australian Naval Infrastructure Pty Ltd – Termination of the Equity Funding Agreement</w:t>
      </w:r>
      <w:bookmarkEnd w:id="91"/>
    </w:p>
    <w:p w14:paraId="7E769949" w14:textId="77777777" w:rsidR="00F32FD0" w:rsidRPr="00D12C6F" w:rsidRDefault="00F32FD0" w:rsidP="00F32FD0">
      <w:pPr>
        <w:rPr>
          <w:rFonts w:eastAsia="Arial"/>
        </w:rPr>
      </w:pPr>
      <w:bookmarkStart w:id="92" w:name="_Toc71117796"/>
      <w:bookmarkStart w:id="93" w:name="_Toc99141867"/>
      <w:bookmarkStart w:id="94" w:name="_Toc166165507"/>
      <w:bookmarkStart w:id="95" w:name="_Toc223077557"/>
      <w:r w:rsidRPr="00D12C6F">
        <w:rPr>
          <w:rFonts w:eastAsia="Arial"/>
        </w:rPr>
        <w:t xml:space="preserve">The Government will provide sufficient funding to enable Australian Naval Infrastructure Pty Ltd (ANI) to meet the direct costs that may be incurred by ANI </w:t>
      </w:r>
      <w:proofErr w:type="gramStart"/>
      <w:r w:rsidRPr="00D12C6F">
        <w:rPr>
          <w:rFonts w:eastAsia="Arial"/>
        </w:rPr>
        <w:t>in the event that</w:t>
      </w:r>
      <w:proofErr w:type="gramEnd"/>
      <w:r w:rsidRPr="00D12C6F">
        <w:rPr>
          <w:rFonts w:eastAsia="Arial"/>
        </w:rPr>
        <w:t xml:space="preserve"> the Commonwealth terminates the Equity Funding Agreement entered into in October 2017 between the Commonwealth and ANI.</w:t>
      </w:r>
    </w:p>
    <w:p w14:paraId="26E3899F" w14:textId="77777777" w:rsidR="00F32FD0" w:rsidRPr="00D12C6F" w:rsidRDefault="00F32FD0" w:rsidP="00F32FD0">
      <w:pPr>
        <w:pStyle w:val="Heading3"/>
      </w:pPr>
      <w:bookmarkStart w:id="96" w:name="_Toc228987397"/>
      <w:r w:rsidRPr="00D12C6F">
        <w:t>Contingent liabilities – unquantifiable</w:t>
      </w:r>
      <w:bookmarkEnd w:id="92"/>
      <w:bookmarkEnd w:id="93"/>
      <w:bookmarkEnd w:id="94"/>
      <w:bookmarkEnd w:id="95"/>
      <w:bookmarkEnd w:id="96"/>
    </w:p>
    <w:p w14:paraId="0223553C" w14:textId="48245438" w:rsidR="00F32FD0" w:rsidRPr="00D12C6F" w:rsidRDefault="00F32FD0" w:rsidP="00F32FD0">
      <w:pPr>
        <w:pStyle w:val="Heading4"/>
        <w:rPr>
          <w:rFonts w:eastAsia="Arial"/>
        </w:rPr>
      </w:pPr>
      <w:bookmarkStart w:id="97" w:name="_Toc71117797"/>
      <w:r w:rsidRPr="00D12C6F">
        <w:rPr>
          <w:rFonts w:eastAsia="Arial"/>
        </w:rPr>
        <w:t>ASC Pty Ltd – Directors</w:t>
      </w:r>
      <w:r w:rsidR="00880FAB">
        <w:rPr>
          <w:rFonts w:eastAsia="Arial"/>
        </w:rPr>
        <w:t>’</w:t>
      </w:r>
      <w:r w:rsidRPr="00D12C6F">
        <w:rPr>
          <w:rFonts w:eastAsia="Arial"/>
        </w:rPr>
        <w:t xml:space="preserve"> and Executives</w:t>
      </w:r>
      <w:r w:rsidR="00880FAB">
        <w:rPr>
          <w:rFonts w:eastAsia="Arial"/>
        </w:rPr>
        <w:t>’</w:t>
      </w:r>
      <w:r w:rsidRPr="00D12C6F">
        <w:rPr>
          <w:rFonts w:eastAsia="Arial"/>
        </w:rPr>
        <w:t xml:space="preserve"> indemnities</w:t>
      </w:r>
      <w:bookmarkEnd w:id="97"/>
    </w:p>
    <w:p w14:paraId="20898251" w14:textId="77777777" w:rsidR="00F32FD0" w:rsidRPr="00D12C6F" w:rsidRDefault="00F32FD0" w:rsidP="00F32FD0">
      <w:pPr>
        <w:rPr>
          <w:rFonts w:eastAsia="Arial"/>
        </w:rPr>
      </w:pPr>
      <w:r w:rsidRPr="00D12C6F">
        <w:rPr>
          <w:rFonts w:eastAsia="Arial"/>
        </w:rPr>
        <w:t>In 2002, the Government provided former directors of the then Australian Submarine Corporation Pty Ltd</w:t>
      </w:r>
      <w:r>
        <w:rPr>
          <w:rFonts w:eastAsia="Arial"/>
        </w:rPr>
        <w:t>,</w:t>
      </w:r>
      <w:r w:rsidRPr="00D12C6F">
        <w:rPr>
          <w:rFonts w:eastAsia="Arial"/>
        </w:rPr>
        <w:t xml:space="preserve"> now known as ASC Pty Ltd (ASC)</w:t>
      </w:r>
      <w:r>
        <w:rPr>
          <w:rFonts w:eastAsia="Arial"/>
        </w:rPr>
        <w:t>,</w:t>
      </w:r>
      <w:r w:rsidRPr="00D12C6F">
        <w:rPr>
          <w:rFonts w:eastAsia="Arial"/>
        </w:rPr>
        <w:t xml:space="preserve"> with indemnities for: </w:t>
      </w:r>
    </w:p>
    <w:p w14:paraId="565914A6" w14:textId="07A3EB1B" w:rsidR="00F32FD0" w:rsidRPr="00D12C6F" w:rsidRDefault="00F32FD0" w:rsidP="00F32FD0">
      <w:pPr>
        <w:pStyle w:val="Bullet"/>
      </w:pPr>
      <w:r w:rsidRPr="00D12C6F">
        <w:t xml:space="preserve">any claim against them </w:t>
      </w:r>
      <w:proofErr w:type="gramStart"/>
      <w:r w:rsidRPr="00D12C6F">
        <w:t>as a result of</w:t>
      </w:r>
      <w:proofErr w:type="gramEnd"/>
      <w:r w:rsidRPr="00D12C6F">
        <w:t xml:space="preserve"> complying with ASC</w:t>
      </w:r>
      <w:r w:rsidR="00880FAB">
        <w:t>’</w:t>
      </w:r>
      <w:r w:rsidRPr="00D12C6F">
        <w:t>s obligations under the Process Agreement between the Electric Boat Corporation (EBC), the Government and</w:t>
      </w:r>
      <w:r w:rsidR="00751FB2">
        <w:t> </w:t>
      </w:r>
      <w:r w:rsidRPr="00D12C6F">
        <w:t xml:space="preserve">ASC </w:t>
      </w:r>
    </w:p>
    <w:p w14:paraId="327A1021" w14:textId="5EAB9E13" w:rsidR="00F32FD0" w:rsidRPr="00D12C6F" w:rsidRDefault="00F32FD0" w:rsidP="00F32FD0">
      <w:pPr>
        <w:pStyle w:val="Bullet"/>
      </w:pPr>
      <w:r w:rsidRPr="00D12C6F">
        <w:t xml:space="preserve">any claim against them </w:t>
      </w:r>
      <w:proofErr w:type="gramStart"/>
      <w:r w:rsidRPr="00D12C6F">
        <w:t>as a result of</w:t>
      </w:r>
      <w:proofErr w:type="gramEnd"/>
      <w:r w:rsidRPr="00D12C6F">
        <w:t xml:space="preserve"> complying with ASC</w:t>
      </w:r>
      <w:r w:rsidR="00880FAB">
        <w:t>’</w:t>
      </w:r>
      <w:r w:rsidRPr="00D12C6F">
        <w:t xml:space="preserve">s obligations under the Service Level Agreement between ASC, the Department of Defence, EBC and Electric Boat Australia </w:t>
      </w:r>
    </w:p>
    <w:p w14:paraId="0FC98414" w14:textId="30856D7D" w:rsidR="00F32FD0" w:rsidRPr="00D12C6F" w:rsidRDefault="00F32FD0" w:rsidP="00F32FD0">
      <w:pPr>
        <w:pStyle w:val="Bullet"/>
      </w:pPr>
      <w:r w:rsidRPr="00D12C6F">
        <w:t xml:space="preserve">any claims and legal costs arising from the directors acting in accordance with the </w:t>
      </w:r>
      <w:r>
        <w:t>b</w:t>
      </w:r>
      <w:r w:rsidRPr="00D12C6F">
        <w:t>oard</w:t>
      </w:r>
      <w:r w:rsidR="00880FAB">
        <w:t>’</w:t>
      </w:r>
      <w:r w:rsidRPr="00D12C6F">
        <w:t>s tasks and responsibilities, as defined under the indemnity.</w:t>
      </w:r>
    </w:p>
    <w:p w14:paraId="40DCAEAF" w14:textId="77777777" w:rsidR="00F32FD0" w:rsidRPr="00D12C6F" w:rsidRDefault="00F32FD0" w:rsidP="00F32FD0">
      <w:pPr>
        <w:rPr>
          <w:rFonts w:eastAsia="Arial"/>
        </w:rPr>
      </w:pPr>
      <w:r w:rsidRPr="00D12C6F">
        <w:rPr>
          <w:rFonts w:eastAsia="Arial"/>
        </w:rPr>
        <w:t>In 2018, the Government provided directors and senior executives of ASC with indemnities to mitigate personal risk and provide coverage for legal costs related to any legal proceedings that may arise in relation to the transaction to separate ASC Shipbuilding Pty Limited from ASC.</w:t>
      </w:r>
    </w:p>
    <w:p w14:paraId="6D264AFC" w14:textId="77777777" w:rsidR="00F32FD0" w:rsidRPr="00D12C6F" w:rsidRDefault="00F32FD0" w:rsidP="00F32FD0">
      <w:pPr>
        <w:pStyle w:val="Heading4"/>
      </w:pPr>
      <w:bookmarkStart w:id="98" w:name="_Toc71117799"/>
      <w:bookmarkStart w:id="99" w:name="_Toc71117800"/>
      <w:bookmarkEnd w:id="98"/>
      <w:r w:rsidRPr="00D12C6F">
        <w:lastRenderedPageBreak/>
        <w:t xml:space="preserve">Australian Government general insurance fund – </w:t>
      </w:r>
      <w:proofErr w:type="spellStart"/>
      <w:r w:rsidRPr="00D12C6F">
        <w:t>Comcover</w:t>
      </w:r>
      <w:bookmarkEnd w:id="99"/>
      <w:proofErr w:type="spellEnd"/>
    </w:p>
    <w:p w14:paraId="71179676" w14:textId="77777777" w:rsidR="00F32FD0" w:rsidRPr="00D12C6F" w:rsidRDefault="00F32FD0" w:rsidP="00F32FD0">
      <w:pPr>
        <w:rPr>
          <w:rFonts w:eastAsia="Calibri"/>
        </w:rPr>
      </w:pPr>
      <w:r w:rsidRPr="00D12C6F">
        <w:rPr>
          <w:rFonts w:eastAsia="Calibri"/>
        </w:rPr>
        <w:t>The Department of Finance provides insurance and risk management services to Australian</w:t>
      </w:r>
      <w:r>
        <w:rPr>
          <w:rFonts w:eastAsia="Calibri"/>
        </w:rPr>
        <w:t> </w:t>
      </w:r>
      <w:r w:rsidRPr="00D12C6F">
        <w:rPr>
          <w:rFonts w:eastAsia="Calibri"/>
        </w:rPr>
        <w:t>Government general government sector entities. Insurance liabilities are subject to potential revisions as the total number and size of claims covered is subject to unforeseen future events.</w:t>
      </w:r>
    </w:p>
    <w:p w14:paraId="30F422E1" w14:textId="77777777" w:rsidR="00F32FD0" w:rsidRPr="00D12C6F" w:rsidRDefault="00F32FD0" w:rsidP="00F32FD0">
      <w:pPr>
        <w:rPr>
          <w:rFonts w:eastAsia="Calibri"/>
        </w:rPr>
      </w:pPr>
      <w:r w:rsidRPr="00D12C6F">
        <w:rPr>
          <w:rFonts w:eastAsia="Calibri"/>
        </w:rPr>
        <w:t>The Department of Finance takes all reasonable steps to ensure it has appropriate information regarding its claims exposure, including regularly updating estimates and parameters based on analysis of claim experience, actuarial calculations and other relevant</w:t>
      </w:r>
      <w:r>
        <w:rPr>
          <w:rFonts w:eastAsia="Calibri"/>
        </w:rPr>
        <w:t> </w:t>
      </w:r>
      <w:r w:rsidRPr="00D12C6F">
        <w:rPr>
          <w:rFonts w:eastAsia="Calibri"/>
        </w:rPr>
        <w:t>factors.</w:t>
      </w:r>
    </w:p>
    <w:p w14:paraId="20EAEEE0" w14:textId="77777777" w:rsidR="00F32FD0" w:rsidRPr="00D12C6F" w:rsidRDefault="00F32FD0" w:rsidP="00F32FD0">
      <w:pPr>
        <w:pStyle w:val="Heading4"/>
      </w:pPr>
      <w:r w:rsidRPr="00D12C6F">
        <w:t>Commonwealth Superannuation Corporation – immunity and indemnity</w:t>
      </w:r>
    </w:p>
    <w:p w14:paraId="6FDAD8BF" w14:textId="77777777" w:rsidR="00F32FD0" w:rsidRPr="00D12C6F" w:rsidRDefault="00F32FD0" w:rsidP="00F32FD0">
      <w:pPr>
        <w:rPr>
          <w:rFonts w:eastAsia="Calibri"/>
        </w:rPr>
      </w:pPr>
      <w:r w:rsidRPr="00D12C6F">
        <w:rPr>
          <w:rFonts w:eastAsia="Calibri"/>
        </w:rPr>
        <w:t xml:space="preserve">The </w:t>
      </w:r>
      <w:r w:rsidRPr="00D12C6F">
        <w:rPr>
          <w:rFonts w:eastAsia="Calibri"/>
          <w:i/>
          <w:iCs/>
        </w:rPr>
        <w:t>Governance of Australian Government Superannuation Schemes Act 2011</w:t>
      </w:r>
      <w:r w:rsidRPr="00D12C6F">
        <w:rPr>
          <w:rFonts w:eastAsia="Calibri"/>
        </w:rPr>
        <w:t xml:space="preserve"> (the Governance Act) provides specific immunities for activities undertaken in good faith by directors and delegates of the Board of the Commonwealth Superannuation Corporation (CSC), provided these activities relate to the performance of their functions. </w:t>
      </w:r>
      <w:r w:rsidRPr="00D12C6F">
        <w:rPr>
          <w:rFonts w:eastAsia="Calibri"/>
          <w:lang w:val="en-US"/>
        </w:rPr>
        <w:t xml:space="preserve">Ancillary liability for individuals that contravene the </w:t>
      </w:r>
      <w:r w:rsidRPr="00D12C6F">
        <w:rPr>
          <w:rFonts w:eastAsia="Calibri"/>
          <w:i/>
          <w:iCs/>
          <w:lang w:val="en-US"/>
        </w:rPr>
        <w:t>Financial Accountability Regime Act 2023</w:t>
      </w:r>
      <w:r w:rsidRPr="00D12C6F">
        <w:rPr>
          <w:rFonts w:eastAsia="Calibri"/>
          <w:lang w:val="en-US"/>
        </w:rPr>
        <w:t> is considered separately.</w:t>
      </w:r>
    </w:p>
    <w:p w14:paraId="39B9FB44" w14:textId="77777777" w:rsidR="00F32FD0" w:rsidRPr="00D12C6F" w:rsidRDefault="00F32FD0" w:rsidP="00F32FD0">
      <w:pPr>
        <w:rPr>
          <w:rFonts w:eastAsia="Calibri"/>
        </w:rPr>
      </w:pPr>
      <w:r w:rsidRPr="00D12C6F">
        <w:rPr>
          <w:rFonts w:eastAsia="Calibri"/>
          <w:lang w:val="en-US"/>
        </w:rPr>
        <w:t xml:space="preserve">Other than where not permitted by the </w:t>
      </w:r>
      <w:r w:rsidRPr="00D12C6F">
        <w:rPr>
          <w:rFonts w:eastAsia="Calibri"/>
          <w:i/>
          <w:iCs/>
          <w:lang w:val="en-US"/>
        </w:rPr>
        <w:t>Superannuation Industry (Supervision) Act 1993</w:t>
      </w:r>
      <w:r w:rsidRPr="00D12C6F">
        <w:rPr>
          <w:rFonts w:eastAsia="Calibri"/>
          <w:lang w:val="en-US"/>
        </w:rPr>
        <w:t xml:space="preserve">, the </w:t>
      </w:r>
      <w:r w:rsidRPr="00D12C6F">
        <w:rPr>
          <w:rFonts w:eastAsia="Calibri"/>
          <w:i/>
          <w:iCs/>
          <w:lang w:val="en-US"/>
        </w:rPr>
        <w:t>Financial Accountability Regime Act 2023</w:t>
      </w:r>
      <w:r w:rsidRPr="00D12C6F">
        <w:rPr>
          <w:rFonts w:eastAsia="Calibri"/>
          <w:lang w:val="en-US"/>
        </w:rPr>
        <w:t xml:space="preserve">, or regulations under those Acts, </w:t>
      </w:r>
      <w:r w:rsidRPr="00D12C6F">
        <w:rPr>
          <w:rFonts w:eastAsia="Calibri"/>
        </w:rPr>
        <w:t xml:space="preserve">the Governance Act </w:t>
      </w:r>
      <w:r w:rsidRPr="00D12C6F">
        <w:rPr>
          <w:rFonts w:eastAsia="Calibri"/>
          <w:lang w:val="en-US"/>
        </w:rPr>
        <w:t>provides that any money that becomes payable by CSC in respect of an action, liability claim, or demand that relates to the superannuation schemes or funds for which it is responsible, is to be paid out of the relevant</w:t>
      </w:r>
      <w:r w:rsidRPr="00D12C6F">
        <w:rPr>
          <w:rFonts w:eastAsia="Calibri"/>
        </w:rPr>
        <w:t xml:space="preserve"> superannuation fund or, if there is no fund, the</w:t>
      </w:r>
      <w:r>
        <w:rPr>
          <w:rFonts w:eastAsia="Calibri"/>
        </w:rPr>
        <w:t> </w:t>
      </w:r>
      <w:r w:rsidRPr="00D12C6F">
        <w:rPr>
          <w:rFonts w:eastAsia="Calibri"/>
        </w:rPr>
        <w:t>Consolidated Revenue Fund (CRF). Amounts paid from a superannuation fund are reimbursed to the fund from the CRF.</w:t>
      </w:r>
    </w:p>
    <w:p w14:paraId="2EE93E7D" w14:textId="77777777" w:rsidR="00F32FD0" w:rsidRPr="00D12C6F" w:rsidRDefault="00F32FD0" w:rsidP="00F32FD0">
      <w:pPr>
        <w:pStyle w:val="Heading4"/>
      </w:pPr>
      <w:r w:rsidRPr="00D12C6F">
        <w:t xml:space="preserve">Finance owned estate </w:t>
      </w:r>
    </w:p>
    <w:p w14:paraId="450F12A2" w14:textId="0F51484F" w:rsidR="00F32FD0" w:rsidRPr="00D12C6F" w:rsidRDefault="00F32FD0" w:rsidP="00F32FD0">
      <w:bookmarkStart w:id="100" w:name="_Toc71117803"/>
      <w:r w:rsidRPr="00D12C6F">
        <w:t>The Department of Finance owns and is responsible for managing properties in the Government</w:t>
      </w:r>
      <w:r w:rsidR="00880FAB">
        <w:t>’</w:t>
      </w:r>
      <w:r w:rsidRPr="00D12C6F">
        <w:t>s domestic non</w:t>
      </w:r>
      <w:r w:rsidR="00880FAB">
        <w:noBreakHyphen/>
      </w:r>
      <w:r w:rsidRPr="00D12C6F">
        <w:t xml:space="preserve">Defence portfolio, including </w:t>
      </w:r>
      <w:r w:rsidRPr="00D12C6F">
        <w:rPr>
          <w:lang w:val="en-US"/>
        </w:rPr>
        <w:t xml:space="preserve">properties with materials containing asbestos and properties requiring </w:t>
      </w:r>
      <w:r w:rsidRPr="00D12C6F">
        <w:t xml:space="preserve">remediation to ensure there is no threat to human health and the environment. A small number of properties may require remediation and are subject to further investigation. </w:t>
      </w:r>
    </w:p>
    <w:p w14:paraId="6E4AA6CB" w14:textId="77777777" w:rsidR="00F32FD0" w:rsidRPr="00D12C6F" w:rsidRDefault="00F32FD0" w:rsidP="00F32FD0">
      <w:r w:rsidRPr="00D12C6F">
        <w:t xml:space="preserve">Except for property at Lucas Heights in New South Wales, none of the properties with potential remediation issues has had a provision for remediation recognised, as neither the conditions for legal nor constructive obligations have been met, nor is a reliable estimate of the obligation currently possible. </w:t>
      </w:r>
      <w:r w:rsidRPr="00D12C6F">
        <w:rPr>
          <w:lang w:val="en-US"/>
        </w:rPr>
        <w:t>Finance maintains hazardous materials registers for its properties and takes the opportunity to remove materials containing asbestos and other contaminants via maintenance and project works where possible. The full extent of these materials is unknown and the cost to remediate cannot be quantified.</w:t>
      </w:r>
    </w:p>
    <w:p w14:paraId="40EDA0B3" w14:textId="77777777" w:rsidR="00F32FD0" w:rsidRPr="00D12C6F" w:rsidRDefault="00F32FD0" w:rsidP="00F32FD0">
      <w:pPr>
        <w:pStyle w:val="Heading4"/>
      </w:pPr>
      <w:r w:rsidRPr="00D12C6F">
        <w:lastRenderedPageBreak/>
        <w:t>Future Fund Management Agency and Future Fund Board of Guardians – indemnity</w:t>
      </w:r>
      <w:bookmarkEnd w:id="100"/>
    </w:p>
    <w:p w14:paraId="773ABCAE" w14:textId="23782432" w:rsidR="00F32FD0" w:rsidRDefault="00F32FD0" w:rsidP="00F32FD0">
      <w:pPr>
        <w:rPr>
          <w:rFonts w:eastAsia="Calibri"/>
        </w:rPr>
      </w:pPr>
      <w:r w:rsidRPr="00D12C6F">
        <w:rPr>
          <w:rFonts w:eastAsia="Calibri"/>
        </w:rPr>
        <w:t xml:space="preserve">The Government has provided certain staff members of the Future Fund Management Agency (the Agency) and the members (board members) of the Future Fund Board of Guardians (the Board) with deeds of indemnity. The indemnities are intended to cover liabilities </w:t>
      </w:r>
      <w:proofErr w:type="gramStart"/>
      <w:r w:rsidRPr="00D12C6F">
        <w:rPr>
          <w:rFonts w:eastAsia="Calibri"/>
        </w:rPr>
        <w:t>in excess of</w:t>
      </w:r>
      <w:proofErr w:type="gramEnd"/>
      <w:r w:rsidRPr="00D12C6F">
        <w:rPr>
          <w:rFonts w:eastAsia="Calibri"/>
        </w:rPr>
        <w:t xml:space="preserve"> the insurance cover (including </w:t>
      </w:r>
      <w:proofErr w:type="spellStart"/>
      <w:r w:rsidRPr="00D12C6F">
        <w:rPr>
          <w:rFonts w:eastAsia="Calibri"/>
        </w:rPr>
        <w:t>Comcover</w:t>
      </w:r>
      <w:proofErr w:type="spellEnd"/>
      <w:r w:rsidRPr="00D12C6F">
        <w:rPr>
          <w:rFonts w:eastAsia="Calibri"/>
        </w:rPr>
        <w:t>) of the Board, its subsidiary entities and the Agency. Board members are indemnified for liabilities incurred arising out of an act, omission or breach of statutory duty by the Board or a board member that relates to the performance of the Board</w:t>
      </w:r>
      <w:r w:rsidR="00880FAB">
        <w:rPr>
          <w:rFonts w:eastAsia="Calibri"/>
        </w:rPr>
        <w:t>’</w:t>
      </w:r>
      <w:r w:rsidRPr="00D12C6F">
        <w:rPr>
          <w:rFonts w:eastAsia="Calibri"/>
        </w:rPr>
        <w:t>s functions or the exercise of the Board</w:t>
      </w:r>
      <w:r w:rsidR="00880FAB">
        <w:rPr>
          <w:rFonts w:eastAsia="Calibri"/>
        </w:rPr>
        <w:t>’</w:t>
      </w:r>
      <w:r w:rsidRPr="00D12C6F">
        <w:rPr>
          <w:rFonts w:eastAsia="Calibri"/>
        </w:rPr>
        <w:t>s powers or that relates to any act, omission or breach of statutory duty by a board member as a director or officer of a wholly</w:t>
      </w:r>
      <w:r w:rsidR="00880FAB">
        <w:rPr>
          <w:rFonts w:eastAsia="Calibri"/>
        </w:rPr>
        <w:noBreakHyphen/>
      </w:r>
      <w:r w:rsidRPr="00D12C6F">
        <w:rPr>
          <w:rFonts w:eastAsia="Calibri"/>
        </w:rPr>
        <w:t>owned Australian subsidiary of the Board.</w:t>
      </w:r>
    </w:p>
    <w:p w14:paraId="23654E42" w14:textId="77777777" w:rsidR="00F32FD0" w:rsidRPr="00D12C6F" w:rsidRDefault="00F32FD0" w:rsidP="00F32FD0">
      <w:pPr>
        <w:rPr>
          <w:rFonts w:eastAsia="Calibri"/>
        </w:rPr>
      </w:pPr>
      <w:r w:rsidRPr="00D12C6F">
        <w:rPr>
          <w:rFonts w:eastAsia="Calibri"/>
        </w:rPr>
        <w:t>Certain Agency staff members are indemnified in connection with the performance of functions or the exercise of powers in their capacity as a director or officer of investee companies or subsidiaries of the Board. Subject to certain exceptions or qualifications, board members and Agency staff members are indemnified for amounts up to the value of the relevant funds.</w:t>
      </w:r>
    </w:p>
    <w:p w14:paraId="0077F4F3" w14:textId="77777777" w:rsidR="00F32FD0" w:rsidRPr="00D12C6F" w:rsidRDefault="00F32FD0" w:rsidP="00F32FD0">
      <w:pPr>
        <w:rPr>
          <w:rFonts w:eastAsia="Calibri"/>
        </w:rPr>
      </w:pPr>
      <w:r w:rsidRPr="00D12C6F">
        <w:rPr>
          <w:rFonts w:eastAsia="Calibri"/>
        </w:rPr>
        <w:t xml:space="preserve">Board members are not indemnified in respect of any liability owed by them to the Board or its subsidiary, or which results from a contravention of a civil penalty provision of the </w:t>
      </w:r>
      <w:r w:rsidRPr="00D12C6F">
        <w:rPr>
          <w:rStyle w:val="Emphasis"/>
          <w:rFonts w:eastAsia="Calibri"/>
        </w:rPr>
        <w:t xml:space="preserve">Future Fund Act 2006 </w:t>
      </w:r>
      <w:r w:rsidRPr="00D12C6F">
        <w:rPr>
          <w:rFonts w:eastAsia="Calibri"/>
        </w:rPr>
        <w:t>or the</w:t>
      </w:r>
      <w:r w:rsidRPr="00D12C6F">
        <w:rPr>
          <w:rFonts w:eastAsia="Calibri"/>
          <w:i/>
          <w:iCs/>
        </w:rPr>
        <w:t xml:space="preserve"> </w:t>
      </w:r>
      <w:r w:rsidRPr="00D12C6F">
        <w:rPr>
          <w:rStyle w:val="Emphasis"/>
          <w:rFonts w:eastAsia="Calibri"/>
        </w:rPr>
        <w:t>Corporations Act 2001.</w:t>
      </w:r>
      <w:r w:rsidRPr="00D12C6F">
        <w:rPr>
          <w:rFonts w:eastAsia="Calibri"/>
        </w:rPr>
        <w:t xml:space="preserve"> Agency staff members are not indemnified to the extent they are indemnified by the relevant investee company or subsidiary, in respect of any liability owed to the Board or the Commonwealth, or to the extent that they are granted and receive financial assistance under Appendix E of the</w:t>
      </w:r>
      <w:r w:rsidRPr="00D12C6F">
        <w:rPr>
          <w:rFonts w:eastAsia="Calibri"/>
          <w:i/>
          <w:iCs/>
        </w:rPr>
        <w:t xml:space="preserve"> </w:t>
      </w:r>
      <w:r w:rsidRPr="00D12C6F">
        <w:rPr>
          <w:rStyle w:val="Emphasis"/>
          <w:rFonts w:eastAsia="Calibri"/>
        </w:rPr>
        <w:t>Legal Services Directions 2017</w:t>
      </w:r>
      <w:r w:rsidRPr="00D12C6F">
        <w:rPr>
          <w:rFonts w:eastAsia="Calibri"/>
        </w:rPr>
        <w:t xml:space="preserve">. Both board members and Agency staff members are not indemnified for any liability resulting from conduct they engage in other than in good faith, to the extent they recover a liability under a Directors and Officers insurance policy (including </w:t>
      </w:r>
      <w:proofErr w:type="spellStart"/>
      <w:r w:rsidRPr="00D12C6F">
        <w:rPr>
          <w:rFonts w:eastAsia="Calibri"/>
        </w:rPr>
        <w:t>Comcover</w:t>
      </w:r>
      <w:proofErr w:type="spellEnd"/>
      <w:r w:rsidRPr="00D12C6F">
        <w:rPr>
          <w:rFonts w:eastAsia="Calibri"/>
        </w:rPr>
        <w:t>) or in respect of legal costs incurred by them in unsuccessfully defending or resisting criminal proceedings or proceedings regarding a contravention of a civil penalty provision.</w:t>
      </w:r>
    </w:p>
    <w:p w14:paraId="14FCBFE2" w14:textId="77777777" w:rsidR="00F32FD0" w:rsidRPr="00D12C6F" w:rsidRDefault="00F32FD0" w:rsidP="00F32FD0">
      <w:pPr>
        <w:pStyle w:val="Heading4"/>
      </w:pPr>
      <w:bookmarkStart w:id="101" w:name="_Toc71117804"/>
      <w:proofErr w:type="spellStart"/>
      <w:r w:rsidRPr="00D12C6F">
        <w:t>Googong</w:t>
      </w:r>
      <w:proofErr w:type="spellEnd"/>
      <w:r w:rsidRPr="00D12C6F">
        <w:t xml:space="preserve"> Dam</w:t>
      </w:r>
      <w:bookmarkEnd w:id="101"/>
    </w:p>
    <w:p w14:paraId="3F59FE05" w14:textId="536D6D7B" w:rsidR="00F32FD0" w:rsidRPr="00D12C6F" w:rsidRDefault="00F32FD0" w:rsidP="00F32FD0">
      <w:pPr>
        <w:rPr>
          <w:rFonts w:eastAsia="Calibri"/>
        </w:rPr>
      </w:pPr>
      <w:r w:rsidRPr="00D12C6F">
        <w:rPr>
          <w:rFonts w:eastAsia="Calibri"/>
        </w:rPr>
        <w:t>On 4</w:t>
      </w:r>
      <w:r w:rsidRPr="00D12C6F">
        <w:rPr>
          <w:rFonts w:eastAsia="Calibri" w:hint="eastAsia"/>
        </w:rPr>
        <w:t> </w:t>
      </w:r>
      <w:r w:rsidRPr="00D12C6F">
        <w:rPr>
          <w:rFonts w:eastAsia="Calibri"/>
        </w:rPr>
        <w:t>September</w:t>
      </w:r>
      <w:r w:rsidRPr="00D12C6F">
        <w:rPr>
          <w:rFonts w:eastAsia="Calibri" w:hint="eastAsia"/>
        </w:rPr>
        <w:t> </w:t>
      </w:r>
      <w:r w:rsidRPr="00D12C6F">
        <w:rPr>
          <w:rFonts w:eastAsia="Calibri"/>
        </w:rPr>
        <w:t>2008, a 150</w:t>
      </w:r>
      <w:r w:rsidR="00880FAB">
        <w:rPr>
          <w:rFonts w:eastAsia="Calibri"/>
        </w:rPr>
        <w:noBreakHyphen/>
      </w:r>
      <w:r w:rsidRPr="00D12C6F">
        <w:rPr>
          <w:rFonts w:eastAsia="Calibri"/>
        </w:rPr>
        <w:t xml:space="preserve">year lease for </w:t>
      </w:r>
      <w:proofErr w:type="spellStart"/>
      <w:r w:rsidRPr="00D12C6F">
        <w:rPr>
          <w:rFonts w:eastAsia="Calibri"/>
        </w:rPr>
        <w:t>Googong</w:t>
      </w:r>
      <w:proofErr w:type="spellEnd"/>
      <w:r w:rsidRPr="00D12C6F">
        <w:rPr>
          <w:rFonts w:eastAsia="Calibri"/>
        </w:rPr>
        <w:t xml:space="preserve"> Dam was signed between the Australian Government and the Australian Capital Territory (ACT) Government. The</w:t>
      </w:r>
      <w:r>
        <w:rPr>
          <w:rFonts w:eastAsia="Calibri"/>
        </w:rPr>
        <w:t> </w:t>
      </w:r>
      <w:r w:rsidRPr="00D12C6F">
        <w:rPr>
          <w:rFonts w:eastAsia="Calibri"/>
        </w:rPr>
        <w:t xml:space="preserve">Australian Government is liable to pay just terms compensation if the terms of the lease are breached by introducing new legislation or changing the </w:t>
      </w:r>
      <w:r w:rsidRPr="00D12C6F">
        <w:rPr>
          <w:rStyle w:val="Emphasis"/>
          <w:rFonts w:eastAsia="Calibri"/>
        </w:rPr>
        <w:t>Canberra Water Supply (</w:t>
      </w:r>
      <w:proofErr w:type="spellStart"/>
      <w:r w:rsidRPr="00D12C6F">
        <w:rPr>
          <w:rStyle w:val="Emphasis"/>
          <w:rFonts w:eastAsia="Calibri"/>
        </w:rPr>
        <w:t>Googong</w:t>
      </w:r>
      <w:proofErr w:type="spellEnd"/>
      <w:r w:rsidRPr="00D12C6F">
        <w:rPr>
          <w:rStyle w:val="Emphasis"/>
          <w:rFonts w:eastAsia="Calibri"/>
        </w:rPr>
        <w:t> Dam) Act 1974</w:t>
      </w:r>
      <w:r w:rsidRPr="00D12C6F">
        <w:rPr>
          <w:rFonts w:eastAsia="Calibri"/>
        </w:rPr>
        <w:t xml:space="preserve"> in a way that impacts on the rights of the ACT. The lease includes a requirement for the Australian Government to undertake rectification of easements or any defects in title in relation to </w:t>
      </w:r>
      <w:proofErr w:type="spellStart"/>
      <w:r w:rsidRPr="00D12C6F">
        <w:rPr>
          <w:rFonts w:eastAsia="Calibri"/>
        </w:rPr>
        <w:t>Googong</w:t>
      </w:r>
      <w:proofErr w:type="spellEnd"/>
      <w:r w:rsidRPr="00D12C6F">
        <w:rPr>
          <w:rFonts w:eastAsia="Calibri"/>
        </w:rPr>
        <w:t xml:space="preserve"> Dam, and remediation of any contamination it may have caused to the</w:t>
      </w:r>
      <w:r w:rsidRPr="00D12C6F">
        <w:rPr>
          <w:rFonts w:eastAsia="Calibri" w:hint="eastAsia"/>
        </w:rPr>
        <w:t> </w:t>
      </w:r>
      <w:r w:rsidRPr="00D12C6F">
        <w:rPr>
          <w:rFonts w:eastAsia="Calibri"/>
        </w:rPr>
        <w:t>site. It also gives an indemnity in relation to acts or omissions by the Australian Government.</w:t>
      </w:r>
    </w:p>
    <w:p w14:paraId="1991C8A0" w14:textId="77777777" w:rsidR="00081CA0" w:rsidRDefault="00081CA0">
      <w:pPr>
        <w:spacing w:before="0" w:after="160" w:line="259" w:lineRule="auto"/>
        <w:rPr>
          <w:rFonts w:eastAsia="Calibri"/>
        </w:rPr>
      </w:pPr>
      <w:r>
        <w:rPr>
          <w:rFonts w:eastAsia="Calibri"/>
        </w:rPr>
        <w:br w:type="page"/>
      </w:r>
    </w:p>
    <w:p w14:paraId="7A72DEA4" w14:textId="77777777" w:rsidR="00F32FD0" w:rsidRPr="00D12C6F" w:rsidRDefault="00F32FD0" w:rsidP="00F32FD0">
      <w:pPr>
        <w:pStyle w:val="Heading4"/>
      </w:pPr>
      <w:r w:rsidRPr="00D12C6F">
        <w:lastRenderedPageBreak/>
        <w:t>Indemnities for the Reserve Bank of Australia and private sector banks</w:t>
      </w:r>
    </w:p>
    <w:p w14:paraId="23D4336A" w14:textId="5BE55101" w:rsidR="00F32FD0" w:rsidRPr="00D12C6F" w:rsidRDefault="00F32FD0" w:rsidP="00F32FD0">
      <w:pPr>
        <w:rPr>
          <w:rFonts w:eastAsia="Calibri"/>
        </w:rPr>
      </w:pPr>
      <w:r w:rsidRPr="00D12C6F">
        <w:rPr>
          <w:rFonts w:eastAsia="Calibri"/>
        </w:rPr>
        <w:t xml:space="preserve">In accordance with </w:t>
      </w:r>
      <w:r>
        <w:rPr>
          <w:rFonts w:eastAsia="Calibri"/>
        </w:rPr>
        <w:t>g</w:t>
      </w:r>
      <w:r w:rsidRPr="00D12C6F">
        <w:rPr>
          <w:rFonts w:eastAsia="Calibri"/>
        </w:rPr>
        <w:t>overnment entities</w:t>
      </w:r>
      <w:r w:rsidR="00880FAB">
        <w:rPr>
          <w:rFonts w:eastAsia="Calibri"/>
        </w:rPr>
        <w:t>’</w:t>
      </w:r>
      <w:r w:rsidRPr="00D12C6F">
        <w:rPr>
          <w:rFonts w:eastAsia="Calibri"/>
        </w:rPr>
        <w:t xml:space="preserve"> contracts for transactional banking services, the Government has indemnified the Reserve Bank of Australia and contracted private sector banks against loss and damage arising from error or fraud by an entity, or transactions made by a bank with the authority of an entity.</w:t>
      </w:r>
    </w:p>
    <w:p w14:paraId="1EC52A79" w14:textId="77777777" w:rsidR="00F32FD0" w:rsidRPr="00D12C6F" w:rsidRDefault="00F32FD0" w:rsidP="00F32FD0">
      <w:pPr>
        <w:pStyle w:val="Heading4"/>
      </w:pPr>
      <w:bookmarkStart w:id="102" w:name="_Toc71117806"/>
      <w:r w:rsidRPr="00D12C6F">
        <w:t>Indemnities relating to other former asset sales, privatisations and information technology outsourcing projects</w:t>
      </w:r>
      <w:bookmarkEnd w:id="102"/>
    </w:p>
    <w:p w14:paraId="0CFB29F2" w14:textId="77777777" w:rsidR="00F32FD0" w:rsidRPr="00D12C6F" w:rsidRDefault="00F32FD0" w:rsidP="00F32FD0">
      <w:pPr>
        <w:rPr>
          <w:rFonts w:eastAsia="Calibri"/>
        </w:rPr>
      </w:pPr>
      <w:r w:rsidRPr="00D12C6F">
        <w:rPr>
          <w:rFonts w:eastAsia="Calibri"/>
        </w:rPr>
        <w:t>Ongoing and terminating indemnities have been given in respect of a range of asset sales, privatisations and information technology outsourcing projects that have been conducted by the Department of Finance and the former Office of Asset Sales and Commercial Support and its predecessors. The probability of an action being brought under one of these indemnities diminishes over time.</w:t>
      </w:r>
    </w:p>
    <w:p w14:paraId="1A84CF0E" w14:textId="1E56539E" w:rsidR="007C1B5E" w:rsidRDefault="00F32FD0" w:rsidP="00F32FD0">
      <w:pPr>
        <w:rPr>
          <w:rFonts w:eastAsia="Calibri"/>
        </w:rPr>
      </w:pPr>
      <w:r w:rsidRPr="00D12C6F">
        <w:rPr>
          <w:rFonts w:eastAsia="Calibri"/>
        </w:rPr>
        <w:t>Details of indemnities in respect of other asset sales and privatisations have been provided in previous Budget and MYEFO papers, and previous Annual Reports of the Department of Finance and the Office of Asset Sales and Commercial Support.</w:t>
      </w:r>
    </w:p>
    <w:p w14:paraId="70D28925" w14:textId="77777777" w:rsidR="007C1B5E" w:rsidRDefault="007C1B5E">
      <w:pPr>
        <w:spacing w:before="0" w:after="160" w:line="259" w:lineRule="auto"/>
        <w:rPr>
          <w:rFonts w:eastAsia="Calibri"/>
        </w:rPr>
      </w:pPr>
      <w:r>
        <w:rPr>
          <w:rFonts w:eastAsia="Calibri"/>
        </w:rPr>
        <w:br w:type="page"/>
      </w:r>
    </w:p>
    <w:p w14:paraId="37B70F1A" w14:textId="74081104" w:rsidR="000A7656" w:rsidRPr="00D12C6F" w:rsidRDefault="00F32FD0" w:rsidP="00F32FD0">
      <w:pPr>
        <w:rPr>
          <w:rFonts w:eastAsia="Calibri"/>
        </w:rPr>
      </w:pPr>
      <w:r w:rsidRPr="00D12C6F">
        <w:rPr>
          <w:rFonts w:eastAsia="Calibri"/>
        </w:rPr>
        <w:lastRenderedPageBreak/>
        <w:t>Indemnified bodies are listed below. Apart from instances noted elsewhere, the Department of Finance does not currently expect any other action to be taken in respect of these indemnities.</w:t>
      </w:r>
    </w:p>
    <w:tbl>
      <w:tblPr>
        <w:tblW w:w="5000" w:type="pct"/>
        <w:tblCellMar>
          <w:left w:w="0" w:type="dxa"/>
          <w:right w:w="28" w:type="dxa"/>
        </w:tblCellMar>
        <w:tblLook w:val="04A0" w:firstRow="1" w:lastRow="0" w:firstColumn="1" w:lastColumn="0" w:noHBand="0" w:noVBand="1"/>
      </w:tblPr>
      <w:tblGrid>
        <w:gridCol w:w="5840"/>
        <w:gridCol w:w="1871"/>
      </w:tblGrid>
      <w:tr w:rsidR="000A7656" w:rsidRPr="00880FAB" w14:paraId="5FFA4B7B" w14:textId="77777777" w:rsidTr="00290F6F">
        <w:trPr>
          <w:trHeight w:hRule="exact" w:val="300"/>
        </w:trPr>
        <w:tc>
          <w:tcPr>
            <w:tcW w:w="3787" w:type="pct"/>
            <w:tcBorders>
              <w:top w:val="single" w:sz="4" w:space="0" w:color="293F5B"/>
              <w:left w:val="nil"/>
              <w:bottom w:val="single" w:sz="4" w:space="0" w:color="293F5B"/>
              <w:right w:val="nil"/>
            </w:tcBorders>
            <w:shd w:val="clear" w:color="000000" w:fill="E6F2FF"/>
            <w:tcMar>
              <w:left w:w="108" w:type="dxa"/>
              <w:right w:w="108" w:type="dxa"/>
            </w:tcMar>
            <w:vAlign w:val="center"/>
            <w:hideMark/>
          </w:tcPr>
          <w:p w14:paraId="04CB2720" w14:textId="77777777" w:rsidR="000A7656" w:rsidRPr="00880FAB" w:rsidRDefault="000A7656" w:rsidP="000C3629">
            <w:pPr>
              <w:pStyle w:val="TableColumnHeadingLeft"/>
              <w:rPr>
                <w:rFonts w:ascii="Arial" w:hAnsi="Arial" w:cs="Arial"/>
                <w:b w:val="0"/>
                <w:bCs/>
                <w:color w:val="000000"/>
                <w:szCs w:val="16"/>
              </w:rPr>
            </w:pPr>
            <w:r w:rsidRPr="00880FAB">
              <w:t>Indemnified body</w:t>
            </w:r>
          </w:p>
        </w:tc>
        <w:tc>
          <w:tcPr>
            <w:tcW w:w="1213" w:type="pct"/>
            <w:tcBorders>
              <w:top w:val="single" w:sz="4" w:space="0" w:color="293F5B"/>
              <w:left w:val="nil"/>
              <w:bottom w:val="nil"/>
              <w:right w:val="nil"/>
            </w:tcBorders>
            <w:shd w:val="clear" w:color="000000" w:fill="E6F2FF"/>
            <w:tcMar>
              <w:left w:w="108" w:type="dxa"/>
              <w:right w:w="108" w:type="dxa"/>
            </w:tcMar>
            <w:vAlign w:val="center"/>
            <w:hideMark/>
          </w:tcPr>
          <w:p w14:paraId="00A89F77" w14:textId="77777777" w:rsidR="000A7656" w:rsidRPr="00880FAB" w:rsidRDefault="000A7656" w:rsidP="000C3629">
            <w:pPr>
              <w:pStyle w:val="TableColumnHeadingLeft"/>
              <w:rPr>
                <w:rFonts w:ascii="Arial" w:hAnsi="Arial" w:cs="Arial"/>
                <w:b w:val="0"/>
                <w:bCs/>
                <w:color w:val="000000"/>
                <w:szCs w:val="16"/>
              </w:rPr>
            </w:pPr>
            <w:r w:rsidRPr="00880FAB">
              <w:t>Year(s) raised</w:t>
            </w:r>
          </w:p>
        </w:tc>
      </w:tr>
      <w:tr w:rsidR="000A7656" w:rsidRPr="00880FAB" w14:paraId="1B37F9BE"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202E90D1" w14:textId="77777777" w:rsidR="000A7656" w:rsidRPr="00880FAB" w:rsidRDefault="000A7656" w:rsidP="00290F6F">
            <w:pPr>
              <w:pStyle w:val="TableTextLeft"/>
              <w:rPr>
                <w:rFonts w:cs="Arial"/>
                <w:color w:val="000000"/>
                <w:szCs w:val="16"/>
              </w:rPr>
            </w:pPr>
            <w:r w:rsidRPr="00880FAB">
              <w:t>ADI Ltd</w:t>
            </w:r>
          </w:p>
        </w:tc>
        <w:tc>
          <w:tcPr>
            <w:tcW w:w="1213" w:type="pct"/>
            <w:tcBorders>
              <w:top w:val="single" w:sz="4" w:space="0" w:color="293F5B"/>
              <w:left w:val="nil"/>
              <w:bottom w:val="nil"/>
              <w:right w:val="nil"/>
            </w:tcBorders>
            <w:tcMar>
              <w:left w:w="108" w:type="dxa"/>
              <w:right w:w="108" w:type="dxa"/>
            </w:tcMar>
            <w:vAlign w:val="center"/>
            <w:hideMark/>
          </w:tcPr>
          <w:p w14:paraId="35766CC8" w14:textId="77777777" w:rsidR="000A7656" w:rsidRPr="00880FAB" w:rsidRDefault="000A7656" w:rsidP="00290F6F">
            <w:pPr>
              <w:pStyle w:val="TableTextLeft"/>
              <w:rPr>
                <w:rFonts w:cs="Arial"/>
                <w:color w:val="000000"/>
                <w:szCs w:val="16"/>
              </w:rPr>
            </w:pPr>
            <w:r w:rsidRPr="00880FAB">
              <w:t>1998</w:t>
            </w:r>
          </w:p>
        </w:tc>
      </w:tr>
      <w:tr w:rsidR="000A7656" w:rsidRPr="00880FAB" w14:paraId="7EB2F3E9"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4D74B3A2" w14:textId="77777777" w:rsidR="000A7656" w:rsidRPr="00880FAB" w:rsidRDefault="000A7656" w:rsidP="00290F6F">
            <w:pPr>
              <w:pStyle w:val="TableTextLeft"/>
              <w:rPr>
                <w:rFonts w:cs="Arial"/>
                <w:color w:val="000000"/>
                <w:szCs w:val="16"/>
              </w:rPr>
            </w:pPr>
            <w:r w:rsidRPr="00880FAB">
              <w:t>Albury–Wodonga Development Corporation</w:t>
            </w:r>
          </w:p>
        </w:tc>
        <w:tc>
          <w:tcPr>
            <w:tcW w:w="1213" w:type="pct"/>
            <w:tcBorders>
              <w:top w:val="single" w:sz="4" w:space="0" w:color="293F5B"/>
              <w:left w:val="nil"/>
              <w:bottom w:val="nil"/>
              <w:right w:val="nil"/>
            </w:tcBorders>
            <w:tcMar>
              <w:left w:w="108" w:type="dxa"/>
              <w:right w:w="108" w:type="dxa"/>
            </w:tcMar>
            <w:vAlign w:val="center"/>
            <w:hideMark/>
          </w:tcPr>
          <w:p w14:paraId="111C1DE1" w14:textId="77777777" w:rsidR="000A7656" w:rsidRPr="00880FAB" w:rsidRDefault="000A7656" w:rsidP="00290F6F">
            <w:pPr>
              <w:pStyle w:val="TableTextLeft"/>
              <w:rPr>
                <w:rFonts w:cs="Arial"/>
                <w:color w:val="000000"/>
                <w:szCs w:val="16"/>
              </w:rPr>
            </w:pPr>
            <w:r w:rsidRPr="00880FAB">
              <w:t>2014</w:t>
            </w:r>
          </w:p>
        </w:tc>
      </w:tr>
      <w:tr w:rsidR="000A7656" w:rsidRPr="00880FAB" w14:paraId="6EA0779A"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3244342C" w14:textId="77777777" w:rsidR="000A7656" w:rsidRPr="00880FAB" w:rsidRDefault="000A7656" w:rsidP="00290F6F">
            <w:pPr>
              <w:pStyle w:val="TableTextLeft"/>
              <w:rPr>
                <w:rFonts w:cs="Arial"/>
                <w:color w:val="000000"/>
                <w:szCs w:val="16"/>
              </w:rPr>
            </w:pPr>
            <w:r w:rsidRPr="00880FAB">
              <w:t>Australian Airlines</w:t>
            </w:r>
          </w:p>
        </w:tc>
        <w:tc>
          <w:tcPr>
            <w:tcW w:w="1213" w:type="pct"/>
            <w:tcBorders>
              <w:top w:val="single" w:sz="4" w:space="0" w:color="293F5B"/>
              <w:left w:val="nil"/>
              <w:bottom w:val="nil"/>
              <w:right w:val="nil"/>
            </w:tcBorders>
            <w:tcMar>
              <w:left w:w="108" w:type="dxa"/>
              <w:right w:w="108" w:type="dxa"/>
            </w:tcMar>
            <w:vAlign w:val="center"/>
            <w:hideMark/>
          </w:tcPr>
          <w:p w14:paraId="7D923FA4" w14:textId="77777777" w:rsidR="000A7656" w:rsidRPr="00880FAB" w:rsidRDefault="000A7656" w:rsidP="00290F6F">
            <w:pPr>
              <w:pStyle w:val="TableTextLeft"/>
              <w:rPr>
                <w:rFonts w:cs="Arial"/>
                <w:color w:val="000000"/>
                <w:szCs w:val="16"/>
              </w:rPr>
            </w:pPr>
            <w:r w:rsidRPr="00880FAB">
              <w:t>1991</w:t>
            </w:r>
          </w:p>
        </w:tc>
      </w:tr>
      <w:tr w:rsidR="000A7656" w:rsidRPr="00880FAB" w14:paraId="23CAF364"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1D19470F" w14:textId="77777777" w:rsidR="000A7656" w:rsidRPr="00880FAB" w:rsidRDefault="000A7656" w:rsidP="00290F6F">
            <w:pPr>
              <w:pStyle w:val="TableTextLeft"/>
              <w:rPr>
                <w:rFonts w:cs="Arial"/>
                <w:color w:val="000000"/>
                <w:szCs w:val="16"/>
              </w:rPr>
            </w:pPr>
            <w:r w:rsidRPr="00880FAB">
              <w:t>Australian Industry Development Corporation</w:t>
            </w:r>
          </w:p>
        </w:tc>
        <w:tc>
          <w:tcPr>
            <w:tcW w:w="1213" w:type="pct"/>
            <w:tcBorders>
              <w:top w:val="single" w:sz="4" w:space="0" w:color="293F5B"/>
              <w:left w:val="nil"/>
              <w:bottom w:val="nil"/>
              <w:right w:val="nil"/>
            </w:tcBorders>
            <w:tcMar>
              <w:left w:w="108" w:type="dxa"/>
              <w:right w:w="108" w:type="dxa"/>
            </w:tcMar>
            <w:vAlign w:val="center"/>
            <w:hideMark/>
          </w:tcPr>
          <w:p w14:paraId="6DC7C484" w14:textId="77777777" w:rsidR="000A7656" w:rsidRPr="00880FAB" w:rsidRDefault="000A7656" w:rsidP="00290F6F">
            <w:pPr>
              <w:pStyle w:val="TableTextLeft"/>
              <w:rPr>
                <w:rFonts w:cs="Arial"/>
                <w:color w:val="000000"/>
                <w:szCs w:val="16"/>
              </w:rPr>
            </w:pPr>
            <w:r w:rsidRPr="00880FAB">
              <w:t>1996</w:t>
            </w:r>
          </w:p>
        </w:tc>
      </w:tr>
      <w:tr w:rsidR="000A7656" w:rsidRPr="00880FAB" w14:paraId="2DC79471"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3BE80B7C" w14:textId="77777777" w:rsidR="000A7656" w:rsidRPr="00880FAB" w:rsidRDefault="000A7656" w:rsidP="00290F6F">
            <w:pPr>
              <w:pStyle w:val="TableTextLeft"/>
              <w:rPr>
                <w:rFonts w:cs="Arial"/>
                <w:color w:val="000000"/>
                <w:szCs w:val="16"/>
              </w:rPr>
            </w:pPr>
            <w:r w:rsidRPr="00880FAB">
              <w:t>Australian Multimedia Enterprise</w:t>
            </w:r>
          </w:p>
        </w:tc>
        <w:tc>
          <w:tcPr>
            <w:tcW w:w="1213" w:type="pct"/>
            <w:tcBorders>
              <w:top w:val="single" w:sz="4" w:space="0" w:color="293F5B"/>
              <w:left w:val="nil"/>
              <w:bottom w:val="nil"/>
              <w:right w:val="nil"/>
            </w:tcBorders>
            <w:tcMar>
              <w:left w:w="108" w:type="dxa"/>
              <w:right w:w="108" w:type="dxa"/>
            </w:tcMar>
            <w:vAlign w:val="center"/>
            <w:hideMark/>
          </w:tcPr>
          <w:p w14:paraId="500D6AD0" w14:textId="77777777" w:rsidR="000A7656" w:rsidRPr="00880FAB" w:rsidRDefault="000A7656" w:rsidP="00290F6F">
            <w:pPr>
              <w:pStyle w:val="TableTextLeft"/>
              <w:rPr>
                <w:rFonts w:cs="Arial"/>
                <w:color w:val="000000"/>
                <w:szCs w:val="16"/>
              </w:rPr>
            </w:pPr>
            <w:r w:rsidRPr="00880FAB">
              <w:t>1997</w:t>
            </w:r>
          </w:p>
        </w:tc>
      </w:tr>
      <w:tr w:rsidR="000A7656" w:rsidRPr="00880FAB" w14:paraId="489EDBE5"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5C967596" w14:textId="77777777" w:rsidR="000A7656" w:rsidRPr="00880FAB" w:rsidRDefault="000A7656" w:rsidP="00290F6F">
            <w:pPr>
              <w:pStyle w:val="TableTextLeft"/>
              <w:rPr>
                <w:rFonts w:cs="Arial"/>
                <w:color w:val="000000"/>
                <w:szCs w:val="16"/>
              </w:rPr>
            </w:pPr>
            <w:r w:rsidRPr="00880FAB">
              <w:t xml:space="preserve">Australian National Rail Commission and National Rail </w:t>
            </w:r>
            <w:r w:rsidRPr="00880FAB">
              <w:rPr>
                <w:rFonts w:cs="Arial"/>
                <w:color w:val="000000"/>
                <w:szCs w:val="16"/>
              </w:rPr>
              <w:t>Corporation Ltd</w:t>
            </w:r>
          </w:p>
        </w:tc>
        <w:tc>
          <w:tcPr>
            <w:tcW w:w="1213" w:type="pct"/>
            <w:tcBorders>
              <w:top w:val="single" w:sz="4" w:space="0" w:color="293F5B"/>
              <w:left w:val="nil"/>
              <w:bottom w:val="nil"/>
              <w:right w:val="nil"/>
            </w:tcBorders>
            <w:tcMar>
              <w:left w:w="108" w:type="dxa"/>
              <w:right w:w="108" w:type="dxa"/>
            </w:tcMar>
            <w:vAlign w:val="center"/>
            <w:hideMark/>
          </w:tcPr>
          <w:p w14:paraId="1329E0B9" w14:textId="77777777" w:rsidR="000A7656" w:rsidRPr="00880FAB" w:rsidRDefault="000A7656" w:rsidP="00290F6F">
            <w:pPr>
              <w:pStyle w:val="TableTextLeft"/>
              <w:rPr>
                <w:rFonts w:cs="Arial"/>
                <w:color w:val="000000"/>
                <w:szCs w:val="16"/>
              </w:rPr>
            </w:pPr>
            <w:r w:rsidRPr="00880FAB">
              <w:t>1997 and 2000</w:t>
            </w:r>
          </w:p>
        </w:tc>
      </w:tr>
      <w:tr w:rsidR="000A7656" w:rsidRPr="00880FAB" w14:paraId="56F08C2E"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1166ACFF" w14:textId="77777777" w:rsidR="000A7656" w:rsidRPr="00880FAB" w:rsidRDefault="000A7656" w:rsidP="00290F6F">
            <w:pPr>
              <w:pStyle w:val="TableTextLeft"/>
              <w:rPr>
                <w:rFonts w:cs="Arial"/>
                <w:color w:val="000000"/>
                <w:szCs w:val="16"/>
              </w:rPr>
            </w:pPr>
            <w:r w:rsidRPr="00880FAB">
              <w:t>Australian River Co Ltd</w:t>
            </w:r>
          </w:p>
        </w:tc>
        <w:tc>
          <w:tcPr>
            <w:tcW w:w="1213" w:type="pct"/>
            <w:tcBorders>
              <w:top w:val="single" w:sz="4" w:space="0" w:color="293F5B"/>
              <w:left w:val="nil"/>
              <w:bottom w:val="nil"/>
              <w:right w:val="nil"/>
            </w:tcBorders>
            <w:tcMar>
              <w:left w:w="108" w:type="dxa"/>
              <w:right w:w="108" w:type="dxa"/>
            </w:tcMar>
            <w:vAlign w:val="center"/>
            <w:hideMark/>
          </w:tcPr>
          <w:p w14:paraId="2B076D15" w14:textId="77777777" w:rsidR="000A7656" w:rsidRPr="00880FAB" w:rsidRDefault="000A7656" w:rsidP="00290F6F">
            <w:pPr>
              <w:pStyle w:val="TableTextLeft"/>
              <w:rPr>
                <w:rFonts w:cs="Arial"/>
                <w:color w:val="000000"/>
                <w:szCs w:val="16"/>
              </w:rPr>
            </w:pPr>
            <w:r w:rsidRPr="00880FAB">
              <w:t>1999</w:t>
            </w:r>
          </w:p>
        </w:tc>
      </w:tr>
      <w:tr w:rsidR="000A7656" w:rsidRPr="00880FAB" w14:paraId="2E0294B1"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653E9A79" w14:textId="77777777" w:rsidR="000A7656" w:rsidRPr="00880FAB" w:rsidRDefault="000A7656" w:rsidP="00290F6F">
            <w:pPr>
              <w:pStyle w:val="TableTextLeft"/>
              <w:rPr>
                <w:rFonts w:cs="Arial"/>
                <w:color w:val="000000"/>
                <w:szCs w:val="16"/>
              </w:rPr>
            </w:pPr>
            <w:r w:rsidRPr="00880FAB">
              <w:t>Australian Submarine Corporation Pty Ltd</w:t>
            </w:r>
          </w:p>
        </w:tc>
        <w:tc>
          <w:tcPr>
            <w:tcW w:w="1213" w:type="pct"/>
            <w:tcBorders>
              <w:top w:val="single" w:sz="4" w:space="0" w:color="293F5B"/>
              <w:left w:val="nil"/>
              <w:bottom w:val="nil"/>
              <w:right w:val="nil"/>
            </w:tcBorders>
            <w:tcMar>
              <w:left w:w="108" w:type="dxa"/>
              <w:right w:w="108" w:type="dxa"/>
            </w:tcMar>
            <w:vAlign w:val="center"/>
            <w:hideMark/>
          </w:tcPr>
          <w:p w14:paraId="2DB90506" w14:textId="77777777" w:rsidR="000A7656" w:rsidRPr="00880FAB" w:rsidRDefault="000A7656" w:rsidP="00290F6F">
            <w:pPr>
              <w:pStyle w:val="TableTextLeft"/>
              <w:rPr>
                <w:rFonts w:cs="Arial"/>
                <w:color w:val="000000"/>
                <w:szCs w:val="16"/>
              </w:rPr>
            </w:pPr>
            <w:r w:rsidRPr="00880FAB">
              <w:t>2000</w:t>
            </w:r>
          </w:p>
        </w:tc>
      </w:tr>
      <w:tr w:rsidR="000A7656" w:rsidRPr="00880FAB" w14:paraId="224052A3"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340F1827" w14:textId="77777777" w:rsidR="000A7656" w:rsidRPr="00880FAB" w:rsidRDefault="000A7656" w:rsidP="00290F6F">
            <w:pPr>
              <w:pStyle w:val="TableTextLeft"/>
              <w:rPr>
                <w:rFonts w:cs="Arial"/>
                <w:color w:val="000000"/>
                <w:szCs w:val="16"/>
              </w:rPr>
            </w:pPr>
            <w:r w:rsidRPr="00880FAB">
              <w:t>Bankstown Airport Ltd</w:t>
            </w:r>
          </w:p>
        </w:tc>
        <w:tc>
          <w:tcPr>
            <w:tcW w:w="1213" w:type="pct"/>
            <w:tcBorders>
              <w:top w:val="single" w:sz="4" w:space="0" w:color="293F5B"/>
              <w:left w:val="nil"/>
              <w:bottom w:val="nil"/>
              <w:right w:val="nil"/>
            </w:tcBorders>
            <w:tcMar>
              <w:left w:w="108" w:type="dxa"/>
              <w:right w:w="108" w:type="dxa"/>
            </w:tcMar>
            <w:vAlign w:val="center"/>
            <w:hideMark/>
          </w:tcPr>
          <w:p w14:paraId="421E5F71" w14:textId="77777777" w:rsidR="000A7656" w:rsidRPr="00880FAB" w:rsidRDefault="000A7656" w:rsidP="00290F6F">
            <w:pPr>
              <w:pStyle w:val="TableTextLeft"/>
              <w:rPr>
                <w:rFonts w:cs="Arial"/>
                <w:color w:val="000000"/>
                <w:szCs w:val="16"/>
              </w:rPr>
            </w:pPr>
            <w:r w:rsidRPr="00880FAB">
              <w:t>2002</w:t>
            </w:r>
          </w:p>
        </w:tc>
      </w:tr>
      <w:tr w:rsidR="000A7656" w:rsidRPr="00880FAB" w14:paraId="2279094E"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18AEEFDD" w14:textId="77777777" w:rsidR="000A7656" w:rsidRPr="00880FAB" w:rsidRDefault="000A7656" w:rsidP="00290F6F">
            <w:pPr>
              <w:pStyle w:val="TableTextLeft"/>
              <w:rPr>
                <w:rFonts w:cs="Arial"/>
                <w:color w:val="000000"/>
                <w:szCs w:val="16"/>
              </w:rPr>
            </w:pPr>
            <w:r w:rsidRPr="00880FAB">
              <w:t>Camden Airport Ltd</w:t>
            </w:r>
          </w:p>
        </w:tc>
        <w:tc>
          <w:tcPr>
            <w:tcW w:w="1213" w:type="pct"/>
            <w:tcBorders>
              <w:top w:val="single" w:sz="4" w:space="0" w:color="293F5B"/>
              <w:left w:val="nil"/>
              <w:bottom w:val="nil"/>
              <w:right w:val="nil"/>
            </w:tcBorders>
            <w:tcMar>
              <w:left w:w="108" w:type="dxa"/>
              <w:right w:w="108" w:type="dxa"/>
            </w:tcMar>
            <w:vAlign w:val="center"/>
            <w:hideMark/>
          </w:tcPr>
          <w:p w14:paraId="0A34B10E" w14:textId="77777777" w:rsidR="000A7656" w:rsidRPr="00880FAB" w:rsidRDefault="000A7656" w:rsidP="00290F6F">
            <w:pPr>
              <w:pStyle w:val="TableTextLeft"/>
              <w:rPr>
                <w:rFonts w:cs="Arial"/>
                <w:color w:val="000000"/>
                <w:szCs w:val="16"/>
              </w:rPr>
            </w:pPr>
            <w:r w:rsidRPr="00880FAB">
              <w:t>2002</w:t>
            </w:r>
          </w:p>
        </w:tc>
      </w:tr>
      <w:tr w:rsidR="000A7656" w:rsidRPr="00880FAB" w14:paraId="24833F6A"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1866B70D" w14:textId="77777777" w:rsidR="000A7656" w:rsidRPr="00880FAB" w:rsidRDefault="000A7656" w:rsidP="00290F6F">
            <w:pPr>
              <w:pStyle w:val="TableTextLeft"/>
              <w:rPr>
                <w:rFonts w:cs="Arial"/>
                <w:color w:val="000000"/>
                <w:szCs w:val="16"/>
              </w:rPr>
            </w:pPr>
            <w:proofErr w:type="spellStart"/>
            <w:r w:rsidRPr="00880FAB">
              <w:t>ComLand</w:t>
            </w:r>
            <w:proofErr w:type="spellEnd"/>
            <w:r w:rsidRPr="00880FAB">
              <w:t xml:space="preserve"> Ltd</w:t>
            </w:r>
          </w:p>
        </w:tc>
        <w:tc>
          <w:tcPr>
            <w:tcW w:w="1213" w:type="pct"/>
            <w:tcBorders>
              <w:top w:val="single" w:sz="4" w:space="0" w:color="293F5B"/>
              <w:left w:val="nil"/>
              <w:bottom w:val="nil"/>
              <w:right w:val="nil"/>
            </w:tcBorders>
            <w:tcMar>
              <w:left w:w="108" w:type="dxa"/>
              <w:right w:w="108" w:type="dxa"/>
            </w:tcMar>
            <w:vAlign w:val="center"/>
            <w:hideMark/>
          </w:tcPr>
          <w:p w14:paraId="37892CAA" w14:textId="77777777" w:rsidR="000A7656" w:rsidRPr="00880FAB" w:rsidRDefault="000A7656" w:rsidP="00290F6F">
            <w:pPr>
              <w:pStyle w:val="TableTextLeft"/>
              <w:rPr>
                <w:rFonts w:cs="Arial"/>
                <w:color w:val="000000"/>
                <w:szCs w:val="16"/>
              </w:rPr>
            </w:pPr>
            <w:r w:rsidRPr="00880FAB">
              <w:t>2004</w:t>
            </w:r>
          </w:p>
        </w:tc>
      </w:tr>
      <w:tr w:rsidR="000A7656" w:rsidRPr="00880FAB" w14:paraId="21A4A5CB"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5A248E30" w14:textId="77777777" w:rsidR="000A7656" w:rsidRPr="00880FAB" w:rsidRDefault="000A7656" w:rsidP="00290F6F">
            <w:pPr>
              <w:pStyle w:val="TableTextLeft"/>
              <w:rPr>
                <w:rFonts w:cs="Arial"/>
                <w:color w:val="000000"/>
                <w:szCs w:val="16"/>
              </w:rPr>
            </w:pPr>
            <w:r w:rsidRPr="00880FAB">
              <w:t>Commonwealth Accommodation and Catering Services</w:t>
            </w:r>
          </w:p>
        </w:tc>
        <w:tc>
          <w:tcPr>
            <w:tcW w:w="1213" w:type="pct"/>
            <w:tcBorders>
              <w:top w:val="single" w:sz="4" w:space="0" w:color="293F5B"/>
              <w:left w:val="nil"/>
              <w:bottom w:val="nil"/>
              <w:right w:val="nil"/>
            </w:tcBorders>
            <w:tcMar>
              <w:left w:w="108" w:type="dxa"/>
              <w:right w:w="108" w:type="dxa"/>
            </w:tcMar>
            <w:vAlign w:val="center"/>
            <w:hideMark/>
          </w:tcPr>
          <w:p w14:paraId="476FA89F" w14:textId="77777777" w:rsidR="000A7656" w:rsidRPr="00880FAB" w:rsidRDefault="000A7656" w:rsidP="00290F6F">
            <w:pPr>
              <w:pStyle w:val="TableTextLeft"/>
              <w:rPr>
                <w:rFonts w:cs="Arial"/>
                <w:color w:val="000000"/>
                <w:szCs w:val="16"/>
              </w:rPr>
            </w:pPr>
            <w:r w:rsidRPr="00880FAB">
              <w:t>1988</w:t>
            </w:r>
          </w:p>
        </w:tc>
      </w:tr>
      <w:tr w:rsidR="000A7656" w:rsidRPr="00880FAB" w14:paraId="5A4CFCD3"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447921E8" w14:textId="77777777" w:rsidR="000A7656" w:rsidRPr="00880FAB" w:rsidRDefault="000A7656" w:rsidP="00290F6F">
            <w:pPr>
              <w:pStyle w:val="TableTextLeft"/>
              <w:rPr>
                <w:rFonts w:cs="Arial"/>
                <w:color w:val="000000"/>
                <w:szCs w:val="16"/>
              </w:rPr>
            </w:pPr>
            <w:r w:rsidRPr="00880FAB">
              <w:t>Commonwealth Bank of Australia</w:t>
            </w:r>
          </w:p>
        </w:tc>
        <w:tc>
          <w:tcPr>
            <w:tcW w:w="1213" w:type="pct"/>
            <w:tcBorders>
              <w:top w:val="single" w:sz="4" w:space="0" w:color="293F5B"/>
              <w:left w:val="nil"/>
              <w:bottom w:val="nil"/>
              <w:right w:val="nil"/>
            </w:tcBorders>
            <w:tcMar>
              <w:left w:w="108" w:type="dxa"/>
              <w:right w:w="108" w:type="dxa"/>
            </w:tcMar>
            <w:vAlign w:val="center"/>
            <w:hideMark/>
          </w:tcPr>
          <w:p w14:paraId="76168DDB" w14:textId="77777777" w:rsidR="000A7656" w:rsidRPr="00880FAB" w:rsidRDefault="000A7656" w:rsidP="00290F6F">
            <w:pPr>
              <w:pStyle w:val="TableTextLeft"/>
              <w:rPr>
                <w:rFonts w:cs="Arial"/>
                <w:color w:val="000000"/>
                <w:szCs w:val="16"/>
              </w:rPr>
            </w:pPr>
            <w:r w:rsidRPr="00880FAB">
              <w:t>1993 to 1996</w:t>
            </w:r>
          </w:p>
        </w:tc>
      </w:tr>
      <w:tr w:rsidR="000A7656" w:rsidRPr="00880FAB" w14:paraId="55A3ED95"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568C04A4" w14:textId="77777777" w:rsidR="000A7656" w:rsidRPr="00880FAB" w:rsidRDefault="000A7656" w:rsidP="00290F6F">
            <w:pPr>
              <w:pStyle w:val="TableTextLeft"/>
              <w:rPr>
                <w:rFonts w:cs="Arial"/>
                <w:color w:val="000000"/>
                <w:szCs w:val="16"/>
              </w:rPr>
            </w:pPr>
            <w:r w:rsidRPr="00880FAB">
              <w:t>Commonwealth Funds Management and Total Risk Management</w:t>
            </w:r>
          </w:p>
        </w:tc>
        <w:tc>
          <w:tcPr>
            <w:tcW w:w="1213" w:type="pct"/>
            <w:tcBorders>
              <w:top w:val="single" w:sz="4" w:space="0" w:color="293F5B"/>
              <w:left w:val="nil"/>
              <w:bottom w:val="nil"/>
              <w:right w:val="nil"/>
            </w:tcBorders>
            <w:tcMar>
              <w:left w:w="108" w:type="dxa"/>
              <w:right w:w="108" w:type="dxa"/>
            </w:tcMar>
            <w:vAlign w:val="center"/>
            <w:hideMark/>
          </w:tcPr>
          <w:p w14:paraId="549AE730" w14:textId="77777777" w:rsidR="000A7656" w:rsidRPr="00880FAB" w:rsidRDefault="000A7656" w:rsidP="00290F6F">
            <w:pPr>
              <w:pStyle w:val="TableTextLeft"/>
              <w:rPr>
                <w:rFonts w:cs="Arial"/>
                <w:color w:val="000000"/>
                <w:szCs w:val="16"/>
              </w:rPr>
            </w:pPr>
            <w:r w:rsidRPr="00880FAB">
              <w:t>1996 to 1997</w:t>
            </w:r>
          </w:p>
        </w:tc>
      </w:tr>
      <w:tr w:rsidR="000A7656" w:rsidRPr="00880FAB" w14:paraId="6CB92B77"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0CDE6278" w14:textId="77777777" w:rsidR="000A7656" w:rsidRPr="00880FAB" w:rsidRDefault="000A7656" w:rsidP="00290F6F">
            <w:pPr>
              <w:pStyle w:val="TableTextLeft"/>
              <w:rPr>
                <w:rFonts w:cs="Arial"/>
                <w:color w:val="000000"/>
                <w:szCs w:val="16"/>
              </w:rPr>
            </w:pPr>
            <w:r w:rsidRPr="00880FAB">
              <w:t>Employment National Ltd</w:t>
            </w:r>
          </w:p>
        </w:tc>
        <w:tc>
          <w:tcPr>
            <w:tcW w:w="1213" w:type="pct"/>
            <w:tcBorders>
              <w:top w:val="single" w:sz="4" w:space="0" w:color="293F5B"/>
              <w:left w:val="nil"/>
              <w:bottom w:val="nil"/>
              <w:right w:val="nil"/>
            </w:tcBorders>
            <w:tcMar>
              <w:left w:w="108" w:type="dxa"/>
              <w:right w:w="108" w:type="dxa"/>
            </w:tcMar>
            <w:vAlign w:val="center"/>
            <w:hideMark/>
          </w:tcPr>
          <w:p w14:paraId="4A745A4D" w14:textId="77777777" w:rsidR="000A7656" w:rsidRPr="00880FAB" w:rsidRDefault="000A7656" w:rsidP="00290F6F">
            <w:pPr>
              <w:pStyle w:val="TableTextLeft"/>
              <w:rPr>
                <w:rFonts w:cs="Arial"/>
                <w:color w:val="000000"/>
                <w:szCs w:val="16"/>
              </w:rPr>
            </w:pPr>
            <w:r w:rsidRPr="00880FAB">
              <w:t>2003</w:t>
            </w:r>
          </w:p>
        </w:tc>
      </w:tr>
      <w:tr w:rsidR="000A7656" w:rsidRPr="00880FAB" w14:paraId="026E9323"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16C558DD" w14:textId="77777777" w:rsidR="000A7656" w:rsidRPr="00880FAB" w:rsidRDefault="000A7656" w:rsidP="00290F6F">
            <w:pPr>
              <w:pStyle w:val="TableTextLeft"/>
              <w:rPr>
                <w:rFonts w:cs="Arial"/>
                <w:color w:val="000000"/>
                <w:szCs w:val="16"/>
              </w:rPr>
            </w:pPr>
            <w:r w:rsidRPr="00880FAB">
              <w:t>Essendon Airport Ltd</w:t>
            </w:r>
          </w:p>
        </w:tc>
        <w:tc>
          <w:tcPr>
            <w:tcW w:w="1213" w:type="pct"/>
            <w:tcBorders>
              <w:top w:val="single" w:sz="4" w:space="0" w:color="293F5B"/>
              <w:left w:val="nil"/>
              <w:bottom w:val="nil"/>
              <w:right w:val="nil"/>
            </w:tcBorders>
            <w:tcMar>
              <w:left w:w="108" w:type="dxa"/>
              <w:right w:w="108" w:type="dxa"/>
            </w:tcMar>
            <w:vAlign w:val="center"/>
            <w:hideMark/>
          </w:tcPr>
          <w:p w14:paraId="2BEEC7AA" w14:textId="77777777" w:rsidR="000A7656" w:rsidRPr="00880FAB" w:rsidRDefault="000A7656" w:rsidP="00290F6F">
            <w:pPr>
              <w:pStyle w:val="TableTextLeft"/>
              <w:rPr>
                <w:rFonts w:cs="Arial"/>
                <w:color w:val="000000"/>
                <w:szCs w:val="16"/>
              </w:rPr>
            </w:pPr>
            <w:r w:rsidRPr="00880FAB">
              <w:t>2001</w:t>
            </w:r>
          </w:p>
        </w:tc>
      </w:tr>
      <w:tr w:rsidR="000A7656" w:rsidRPr="00880FAB" w14:paraId="39BD0492"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670F590A" w14:textId="77777777" w:rsidR="000A7656" w:rsidRPr="00880FAB" w:rsidRDefault="000A7656" w:rsidP="00290F6F">
            <w:pPr>
              <w:pStyle w:val="TableTextLeft"/>
              <w:rPr>
                <w:rFonts w:cs="Arial"/>
                <w:color w:val="000000"/>
                <w:szCs w:val="16"/>
              </w:rPr>
            </w:pPr>
            <w:r w:rsidRPr="00880FAB">
              <w:t>Federal Airports Corporation’s Airports</w:t>
            </w:r>
          </w:p>
        </w:tc>
        <w:tc>
          <w:tcPr>
            <w:tcW w:w="1213" w:type="pct"/>
            <w:tcBorders>
              <w:top w:val="single" w:sz="4" w:space="0" w:color="293F5B"/>
              <w:left w:val="nil"/>
              <w:bottom w:val="nil"/>
              <w:right w:val="nil"/>
            </w:tcBorders>
            <w:tcMar>
              <w:left w:w="108" w:type="dxa"/>
              <w:right w:w="108" w:type="dxa"/>
            </w:tcMar>
            <w:vAlign w:val="center"/>
            <w:hideMark/>
          </w:tcPr>
          <w:p w14:paraId="52D7BEBC" w14:textId="77777777" w:rsidR="000A7656" w:rsidRPr="00880FAB" w:rsidRDefault="000A7656" w:rsidP="00290F6F">
            <w:pPr>
              <w:pStyle w:val="TableTextLeft"/>
              <w:rPr>
                <w:rFonts w:cs="Arial"/>
                <w:color w:val="000000"/>
                <w:szCs w:val="16"/>
              </w:rPr>
            </w:pPr>
            <w:r w:rsidRPr="00880FAB">
              <w:t>1995 to 1997</w:t>
            </w:r>
          </w:p>
        </w:tc>
      </w:tr>
      <w:tr w:rsidR="000A7656" w:rsidRPr="00880FAB" w14:paraId="00172BCF"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23651973" w14:textId="77777777" w:rsidR="000A7656" w:rsidRPr="00880FAB" w:rsidRDefault="000A7656" w:rsidP="00290F6F">
            <w:pPr>
              <w:pStyle w:val="TableTextLeft"/>
              <w:rPr>
                <w:rFonts w:cs="Arial"/>
                <w:color w:val="000000"/>
                <w:szCs w:val="16"/>
              </w:rPr>
            </w:pPr>
            <w:r w:rsidRPr="00880FAB">
              <w:t xml:space="preserve">Health Insurance </w:t>
            </w:r>
            <w:r w:rsidRPr="00880FAB">
              <w:rPr>
                <w:rFonts w:cs="Arial"/>
                <w:color w:val="000000"/>
                <w:szCs w:val="16"/>
              </w:rPr>
              <w:t>Commission</w:t>
            </w:r>
          </w:p>
        </w:tc>
        <w:tc>
          <w:tcPr>
            <w:tcW w:w="1213" w:type="pct"/>
            <w:tcBorders>
              <w:top w:val="single" w:sz="4" w:space="0" w:color="293F5B"/>
              <w:left w:val="nil"/>
              <w:bottom w:val="nil"/>
              <w:right w:val="nil"/>
            </w:tcBorders>
            <w:tcMar>
              <w:left w:w="108" w:type="dxa"/>
              <w:right w:w="108" w:type="dxa"/>
            </w:tcMar>
            <w:vAlign w:val="center"/>
            <w:hideMark/>
          </w:tcPr>
          <w:p w14:paraId="788E2465" w14:textId="77777777" w:rsidR="000A7656" w:rsidRPr="00880FAB" w:rsidRDefault="000A7656" w:rsidP="00290F6F">
            <w:pPr>
              <w:pStyle w:val="TableTextLeft"/>
              <w:rPr>
                <w:rFonts w:cs="Arial"/>
                <w:color w:val="000000"/>
                <w:szCs w:val="16"/>
              </w:rPr>
            </w:pPr>
            <w:r w:rsidRPr="00880FAB">
              <w:t>2000</w:t>
            </w:r>
          </w:p>
        </w:tc>
      </w:tr>
      <w:tr w:rsidR="000A7656" w:rsidRPr="00880FAB" w14:paraId="7A6B4F9B"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13F85415" w14:textId="77777777" w:rsidR="000A7656" w:rsidRPr="00880FAB" w:rsidRDefault="000A7656" w:rsidP="00290F6F">
            <w:pPr>
              <w:pStyle w:val="TableTextLeft"/>
              <w:rPr>
                <w:rFonts w:cs="Arial"/>
                <w:color w:val="000000"/>
                <w:szCs w:val="16"/>
              </w:rPr>
            </w:pPr>
            <w:r w:rsidRPr="00880FAB">
              <w:t xml:space="preserve">Housing Loans Insurance </w:t>
            </w:r>
            <w:r w:rsidRPr="00880FAB">
              <w:rPr>
                <w:rFonts w:cs="Arial"/>
                <w:color w:val="000000"/>
                <w:szCs w:val="16"/>
              </w:rPr>
              <w:t>Corporation Ltd</w:t>
            </w:r>
          </w:p>
        </w:tc>
        <w:tc>
          <w:tcPr>
            <w:tcW w:w="1213" w:type="pct"/>
            <w:tcBorders>
              <w:top w:val="single" w:sz="4" w:space="0" w:color="293F5B"/>
              <w:left w:val="nil"/>
              <w:bottom w:val="nil"/>
              <w:right w:val="nil"/>
            </w:tcBorders>
            <w:tcMar>
              <w:left w:w="108" w:type="dxa"/>
              <w:right w:w="108" w:type="dxa"/>
            </w:tcMar>
            <w:vAlign w:val="center"/>
            <w:hideMark/>
          </w:tcPr>
          <w:p w14:paraId="38BE5FBB" w14:textId="77777777" w:rsidR="000A7656" w:rsidRPr="00880FAB" w:rsidRDefault="000A7656" w:rsidP="00290F6F">
            <w:pPr>
              <w:pStyle w:val="TableTextLeft"/>
              <w:rPr>
                <w:rFonts w:cs="Arial"/>
                <w:color w:val="000000"/>
                <w:szCs w:val="16"/>
              </w:rPr>
            </w:pPr>
            <w:r w:rsidRPr="00880FAB">
              <w:t>1996</w:t>
            </w:r>
          </w:p>
        </w:tc>
      </w:tr>
      <w:tr w:rsidR="000A7656" w:rsidRPr="00880FAB" w14:paraId="0996FF04"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01D9F0A9" w14:textId="77777777" w:rsidR="000A7656" w:rsidRPr="00880FAB" w:rsidRDefault="000A7656" w:rsidP="00290F6F">
            <w:pPr>
              <w:pStyle w:val="TableTextLeft"/>
              <w:rPr>
                <w:rFonts w:cs="Arial"/>
                <w:color w:val="000000"/>
                <w:szCs w:val="16"/>
              </w:rPr>
            </w:pPr>
            <w:r w:rsidRPr="00880FAB">
              <w:t>Hoxton Park Airport Limited</w:t>
            </w:r>
          </w:p>
        </w:tc>
        <w:tc>
          <w:tcPr>
            <w:tcW w:w="1213" w:type="pct"/>
            <w:tcBorders>
              <w:top w:val="single" w:sz="4" w:space="0" w:color="293F5B"/>
              <w:left w:val="nil"/>
              <w:bottom w:val="nil"/>
              <w:right w:val="nil"/>
            </w:tcBorders>
            <w:tcMar>
              <w:left w:w="108" w:type="dxa"/>
              <w:right w:w="108" w:type="dxa"/>
            </w:tcMar>
            <w:vAlign w:val="center"/>
            <w:hideMark/>
          </w:tcPr>
          <w:p w14:paraId="20F246E8" w14:textId="77777777" w:rsidR="000A7656" w:rsidRPr="00880FAB" w:rsidRDefault="000A7656" w:rsidP="00290F6F">
            <w:pPr>
              <w:pStyle w:val="TableTextLeft"/>
              <w:rPr>
                <w:rFonts w:cs="Arial"/>
                <w:color w:val="000000"/>
                <w:szCs w:val="16"/>
              </w:rPr>
            </w:pPr>
            <w:r w:rsidRPr="00880FAB">
              <w:t>2002</w:t>
            </w:r>
          </w:p>
        </w:tc>
      </w:tr>
      <w:tr w:rsidR="000A7656" w:rsidRPr="00880FAB" w14:paraId="766BD927"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00C1E093" w14:textId="77777777" w:rsidR="000A7656" w:rsidRPr="00880FAB" w:rsidRDefault="000A7656" w:rsidP="00290F6F">
            <w:pPr>
              <w:pStyle w:val="TableTextLeft"/>
              <w:rPr>
                <w:rFonts w:cs="Arial"/>
                <w:color w:val="000000"/>
                <w:szCs w:val="16"/>
              </w:rPr>
            </w:pPr>
            <w:r w:rsidRPr="00880FAB">
              <w:t>Medibank Private Limited</w:t>
            </w:r>
          </w:p>
        </w:tc>
        <w:tc>
          <w:tcPr>
            <w:tcW w:w="1213" w:type="pct"/>
            <w:tcBorders>
              <w:top w:val="single" w:sz="4" w:space="0" w:color="293F5B"/>
              <w:left w:val="nil"/>
              <w:bottom w:val="nil"/>
              <w:right w:val="nil"/>
            </w:tcBorders>
            <w:tcMar>
              <w:left w:w="108" w:type="dxa"/>
              <w:right w:w="108" w:type="dxa"/>
            </w:tcMar>
            <w:vAlign w:val="center"/>
            <w:hideMark/>
          </w:tcPr>
          <w:p w14:paraId="28D109A5" w14:textId="77777777" w:rsidR="000A7656" w:rsidRPr="00880FAB" w:rsidRDefault="000A7656" w:rsidP="00290F6F">
            <w:pPr>
              <w:pStyle w:val="TableTextLeft"/>
              <w:rPr>
                <w:rFonts w:cs="Arial"/>
                <w:color w:val="000000"/>
                <w:szCs w:val="16"/>
              </w:rPr>
            </w:pPr>
            <w:r w:rsidRPr="00880FAB">
              <w:t>2014</w:t>
            </w:r>
          </w:p>
        </w:tc>
      </w:tr>
      <w:tr w:rsidR="000A7656" w:rsidRPr="00880FAB" w14:paraId="2437168C"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2276AD2F" w14:textId="77777777" w:rsidR="000A7656" w:rsidRPr="00880FAB" w:rsidRDefault="000A7656" w:rsidP="00290F6F">
            <w:pPr>
              <w:pStyle w:val="TableTextLeft"/>
              <w:rPr>
                <w:rFonts w:cs="Arial"/>
                <w:color w:val="000000"/>
                <w:szCs w:val="16"/>
              </w:rPr>
            </w:pPr>
            <w:r w:rsidRPr="00880FAB">
              <w:t>National Transmission Network</w:t>
            </w:r>
          </w:p>
        </w:tc>
        <w:tc>
          <w:tcPr>
            <w:tcW w:w="1213" w:type="pct"/>
            <w:tcBorders>
              <w:top w:val="single" w:sz="4" w:space="0" w:color="293F5B"/>
              <w:left w:val="nil"/>
              <w:bottom w:val="nil"/>
              <w:right w:val="nil"/>
            </w:tcBorders>
            <w:tcMar>
              <w:left w:w="108" w:type="dxa"/>
              <w:right w:w="108" w:type="dxa"/>
            </w:tcMar>
            <w:vAlign w:val="center"/>
            <w:hideMark/>
          </w:tcPr>
          <w:p w14:paraId="3DDEB79F" w14:textId="77777777" w:rsidR="000A7656" w:rsidRPr="00880FAB" w:rsidRDefault="000A7656" w:rsidP="00290F6F">
            <w:pPr>
              <w:pStyle w:val="TableTextLeft"/>
              <w:rPr>
                <w:rFonts w:cs="Arial"/>
                <w:color w:val="000000"/>
                <w:szCs w:val="16"/>
              </w:rPr>
            </w:pPr>
            <w:r w:rsidRPr="00880FAB">
              <w:t>1999</w:t>
            </w:r>
          </w:p>
        </w:tc>
      </w:tr>
      <w:tr w:rsidR="000A7656" w:rsidRPr="00880FAB" w14:paraId="370FD5BE"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7068ACC8" w14:textId="77777777" w:rsidR="000A7656" w:rsidRPr="00880FAB" w:rsidRDefault="000A7656" w:rsidP="00290F6F">
            <w:pPr>
              <w:pStyle w:val="TableTextLeft"/>
              <w:rPr>
                <w:rFonts w:cs="Arial"/>
                <w:color w:val="000000"/>
                <w:szCs w:val="16"/>
              </w:rPr>
            </w:pPr>
            <w:r w:rsidRPr="00880FAB">
              <w:t>Sydney Airports Corporation Ltd</w:t>
            </w:r>
          </w:p>
        </w:tc>
        <w:tc>
          <w:tcPr>
            <w:tcW w:w="1213" w:type="pct"/>
            <w:tcBorders>
              <w:top w:val="single" w:sz="4" w:space="0" w:color="293F5B"/>
              <w:left w:val="nil"/>
              <w:bottom w:val="nil"/>
              <w:right w:val="nil"/>
            </w:tcBorders>
            <w:tcMar>
              <w:left w:w="108" w:type="dxa"/>
              <w:right w:w="108" w:type="dxa"/>
            </w:tcMar>
            <w:vAlign w:val="center"/>
            <w:hideMark/>
          </w:tcPr>
          <w:p w14:paraId="7AB97023" w14:textId="77777777" w:rsidR="000A7656" w:rsidRPr="00880FAB" w:rsidRDefault="000A7656" w:rsidP="00290F6F">
            <w:pPr>
              <w:pStyle w:val="TableTextLeft"/>
              <w:rPr>
                <w:rFonts w:cs="Arial"/>
                <w:color w:val="000000"/>
                <w:szCs w:val="16"/>
              </w:rPr>
            </w:pPr>
            <w:r w:rsidRPr="00880FAB">
              <w:t>2001</w:t>
            </w:r>
          </w:p>
        </w:tc>
      </w:tr>
      <w:tr w:rsidR="000A7656" w:rsidRPr="00880FAB" w14:paraId="65F2A419"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7587AA92" w14:textId="77777777" w:rsidR="000A7656" w:rsidRPr="00880FAB" w:rsidRDefault="000A7656" w:rsidP="00290F6F">
            <w:pPr>
              <w:pStyle w:val="TableTextLeft"/>
              <w:rPr>
                <w:rFonts w:cs="Arial"/>
                <w:color w:val="000000"/>
                <w:szCs w:val="16"/>
              </w:rPr>
            </w:pPr>
            <w:r w:rsidRPr="00880FAB">
              <w:t>Telstra</w:t>
            </w:r>
          </w:p>
        </w:tc>
        <w:tc>
          <w:tcPr>
            <w:tcW w:w="1213" w:type="pct"/>
            <w:tcBorders>
              <w:top w:val="single" w:sz="4" w:space="0" w:color="293F5B"/>
              <w:left w:val="nil"/>
              <w:bottom w:val="nil"/>
              <w:right w:val="nil"/>
            </w:tcBorders>
            <w:tcMar>
              <w:left w:w="108" w:type="dxa"/>
              <w:right w:w="108" w:type="dxa"/>
            </w:tcMar>
            <w:vAlign w:val="center"/>
            <w:hideMark/>
          </w:tcPr>
          <w:p w14:paraId="70A786FE" w14:textId="77777777" w:rsidR="000A7656" w:rsidRPr="00880FAB" w:rsidRDefault="000A7656" w:rsidP="00290F6F">
            <w:pPr>
              <w:pStyle w:val="TableTextLeft"/>
              <w:rPr>
                <w:rFonts w:cs="Arial"/>
                <w:color w:val="000000"/>
                <w:szCs w:val="16"/>
              </w:rPr>
            </w:pPr>
            <w:r w:rsidRPr="00880FAB">
              <w:t>1996, 1999 and 2006</w:t>
            </w:r>
          </w:p>
        </w:tc>
      </w:tr>
      <w:tr w:rsidR="000A7656" w:rsidRPr="00880FAB" w14:paraId="14A06681" w14:textId="77777777" w:rsidTr="00290F6F">
        <w:trPr>
          <w:trHeight w:hRule="exact" w:val="300"/>
        </w:trPr>
        <w:tc>
          <w:tcPr>
            <w:tcW w:w="3787" w:type="pct"/>
            <w:tcBorders>
              <w:top w:val="nil"/>
              <w:left w:val="nil"/>
              <w:bottom w:val="single" w:sz="4" w:space="0" w:color="293F5B"/>
              <w:right w:val="nil"/>
            </w:tcBorders>
            <w:tcMar>
              <w:left w:w="108" w:type="dxa"/>
              <w:right w:w="108" w:type="dxa"/>
            </w:tcMar>
            <w:vAlign w:val="center"/>
            <w:hideMark/>
          </w:tcPr>
          <w:p w14:paraId="288E4D97" w14:textId="77777777" w:rsidR="000A7656" w:rsidRPr="00880FAB" w:rsidRDefault="000A7656" w:rsidP="00290F6F">
            <w:pPr>
              <w:pStyle w:val="TableTextLeft"/>
              <w:rPr>
                <w:rFonts w:cs="Arial"/>
                <w:color w:val="000000"/>
                <w:szCs w:val="16"/>
              </w:rPr>
            </w:pPr>
            <w:r w:rsidRPr="00880FAB">
              <w:t xml:space="preserve">Wool </w:t>
            </w:r>
            <w:r w:rsidRPr="00880FAB">
              <w:rPr>
                <w:rFonts w:cs="Arial"/>
                <w:color w:val="000000"/>
                <w:szCs w:val="16"/>
              </w:rPr>
              <w:t>International</w:t>
            </w:r>
          </w:p>
        </w:tc>
        <w:tc>
          <w:tcPr>
            <w:tcW w:w="1213" w:type="pct"/>
            <w:tcBorders>
              <w:top w:val="single" w:sz="4" w:space="0" w:color="293F5B"/>
              <w:left w:val="nil"/>
              <w:bottom w:val="single" w:sz="4" w:space="0" w:color="293F5B"/>
              <w:right w:val="nil"/>
            </w:tcBorders>
            <w:tcMar>
              <w:left w:w="108" w:type="dxa"/>
              <w:right w:w="108" w:type="dxa"/>
            </w:tcMar>
            <w:vAlign w:val="center"/>
            <w:hideMark/>
          </w:tcPr>
          <w:p w14:paraId="76437304" w14:textId="77777777" w:rsidR="000A7656" w:rsidRPr="00880FAB" w:rsidRDefault="000A7656" w:rsidP="00290F6F">
            <w:pPr>
              <w:pStyle w:val="TableTextLeft"/>
              <w:rPr>
                <w:rFonts w:cs="Arial"/>
                <w:color w:val="000000"/>
                <w:szCs w:val="16"/>
              </w:rPr>
            </w:pPr>
            <w:r w:rsidRPr="00880FAB">
              <w:t>1999</w:t>
            </w:r>
          </w:p>
        </w:tc>
      </w:tr>
    </w:tbl>
    <w:p w14:paraId="5DCF8116" w14:textId="77777777" w:rsidR="000E1ED2" w:rsidRPr="00D12C6F" w:rsidRDefault="000E1ED2" w:rsidP="00D12C6F">
      <w:pPr>
        <w:pStyle w:val="SingleParagraph"/>
        <w:rPr>
          <w:rFonts w:eastAsia="Calibri"/>
          <w:lang w:eastAsia="en-US"/>
        </w:rPr>
      </w:pPr>
    </w:p>
    <w:p w14:paraId="7C98072C" w14:textId="77777777" w:rsidR="00E60297" w:rsidRPr="00D12C6F" w:rsidRDefault="00E60297" w:rsidP="00E60297">
      <w:pPr>
        <w:pStyle w:val="Heading4"/>
        <w:rPr>
          <w:rFonts w:eastAsia="Calibri"/>
        </w:rPr>
      </w:pPr>
      <w:proofErr w:type="spellStart"/>
      <w:r w:rsidRPr="00D12C6F">
        <w:rPr>
          <w:rFonts w:eastAsia="Calibri"/>
        </w:rPr>
        <w:t>Kenbi</w:t>
      </w:r>
      <w:proofErr w:type="spellEnd"/>
      <w:r w:rsidRPr="00D12C6F">
        <w:rPr>
          <w:rFonts w:eastAsia="Calibri"/>
        </w:rPr>
        <w:t xml:space="preserve"> Land Claim No. 37, Cox Peninsula, Northern Territory</w:t>
      </w:r>
    </w:p>
    <w:p w14:paraId="6F582F8C" w14:textId="5A0C7812" w:rsidR="00E60297" w:rsidRPr="00D12C6F" w:rsidRDefault="00E60297" w:rsidP="00E60297">
      <w:pPr>
        <w:rPr>
          <w:rFonts w:eastAsia="Book Antiqua"/>
        </w:rPr>
      </w:pPr>
      <w:r w:rsidRPr="00D12C6F">
        <w:rPr>
          <w:rFonts w:eastAsia="Book Antiqua"/>
        </w:rPr>
        <w:t>On 5 December</w:t>
      </w:r>
      <w:r w:rsidR="001370F4">
        <w:rPr>
          <w:rFonts w:eastAsia="Book Antiqua"/>
        </w:rPr>
        <w:t> 2024</w:t>
      </w:r>
      <w:r w:rsidRPr="00D12C6F">
        <w:rPr>
          <w:rFonts w:eastAsia="Book Antiqua"/>
        </w:rPr>
        <w:t xml:space="preserve">, the Department of Finance, on behalf of the Commonwealth, finalised the transfer of the final Commonwealth parcels of land under </w:t>
      </w:r>
      <w:proofErr w:type="spellStart"/>
      <w:r w:rsidRPr="00D12C6F">
        <w:rPr>
          <w:rFonts w:eastAsia="Book Antiqua"/>
        </w:rPr>
        <w:t>Kenbi</w:t>
      </w:r>
      <w:proofErr w:type="spellEnd"/>
      <w:r w:rsidRPr="00D12C6F">
        <w:rPr>
          <w:rFonts w:eastAsia="Book Antiqua"/>
        </w:rPr>
        <w:t xml:space="preserve"> Land Claim No. 37 at Cox Peninsula, Northern Territory to the Traditional Owners. The Transfer of Deed Arrangement was agreed to and signed by the Commonwealth, the Northern Territory Government, the Northern Land Council and the </w:t>
      </w:r>
      <w:proofErr w:type="spellStart"/>
      <w:r w:rsidRPr="00D12C6F">
        <w:rPr>
          <w:rFonts w:eastAsia="Book Antiqua"/>
        </w:rPr>
        <w:t>Kenbi</w:t>
      </w:r>
      <w:proofErr w:type="spellEnd"/>
      <w:r w:rsidRPr="00D12C6F">
        <w:rPr>
          <w:rFonts w:eastAsia="Book Antiqua"/>
        </w:rPr>
        <w:t xml:space="preserve"> Land Trust, and included provisions of two uncapped indemnities and three warranties.</w:t>
      </w:r>
    </w:p>
    <w:p w14:paraId="2707BCC2" w14:textId="3FF1F233" w:rsidR="000E1ED2" w:rsidRPr="00D12C6F" w:rsidRDefault="00E60297" w:rsidP="00E60297">
      <w:pPr>
        <w:rPr>
          <w:rFonts w:eastAsia="Book Antiqua"/>
        </w:rPr>
      </w:pPr>
      <w:r w:rsidRPr="00D12C6F">
        <w:rPr>
          <w:rFonts w:eastAsia="Book Antiqua"/>
        </w:rPr>
        <w:lastRenderedPageBreak/>
        <w:t xml:space="preserve">Under the </w:t>
      </w:r>
      <w:r w:rsidRPr="00D12C6F">
        <w:rPr>
          <w:rStyle w:val="Emphasis"/>
          <w:rFonts w:eastAsia="Book Antiqua"/>
        </w:rPr>
        <w:t>Public Governance, Performance and Accountability Act 2013</w:t>
      </w:r>
      <w:r w:rsidRPr="00D12C6F">
        <w:rPr>
          <w:rFonts w:eastAsia="Book Antiqua"/>
          <w:i/>
        </w:rPr>
        <w:t>,</w:t>
      </w:r>
      <w:r w:rsidRPr="00D12C6F">
        <w:rPr>
          <w:rFonts w:eastAsia="Book Antiqua"/>
        </w:rPr>
        <w:t xml:space="preserve"> the uncapped indemnities and warranties were granted by the Minister for Finance for the contingent liabilities that may arise from the Commonwealth</w:t>
      </w:r>
      <w:r w:rsidR="00880FAB">
        <w:rPr>
          <w:rFonts w:eastAsia="Book Antiqua"/>
        </w:rPr>
        <w:t>’</w:t>
      </w:r>
      <w:r w:rsidRPr="00D12C6F">
        <w:rPr>
          <w:rFonts w:eastAsia="Book Antiqua"/>
        </w:rPr>
        <w:t>s historic use and ownership of the site, including potential future health claims, resulting from contamination of the site.</w:t>
      </w:r>
    </w:p>
    <w:p w14:paraId="308CDA23" w14:textId="77777777" w:rsidR="00937836" w:rsidRDefault="00937836">
      <w:pPr>
        <w:spacing w:before="0" w:after="160" w:line="259" w:lineRule="auto"/>
        <w:rPr>
          <w:rFonts w:ascii="Arial Bold" w:hAnsi="Arial Bold"/>
          <w:b/>
          <w:sz w:val="26"/>
        </w:rPr>
      </w:pPr>
      <w:bookmarkStart w:id="103" w:name="_Toc223077558"/>
      <w:bookmarkStart w:id="104" w:name="_Toc228987398"/>
      <w:r>
        <w:br w:type="page"/>
      </w:r>
    </w:p>
    <w:p w14:paraId="68912044" w14:textId="54ADF495" w:rsidR="00702A59" w:rsidRPr="00D12C6F" w:rsidRDefault="00702A59" w:rsidP="00702A59">
      <w:pPr>
        <w:pStyle w:val="Heading2"/>
      </w:pPr>
      <w:r w:rsidRPr="00D12C6F">
        <w:lastRenderedPageBreak/>
        <w:t>Foreign Affairs and Trade</w:t>
      </w:r>
      <w:bookmarkEnd w:id="103"/>
      <w:bookmarkEnd w:id="104"/>
    </w:p>
    <w:p w14:paraId="5D2F7571" w14:textId="01DB3B87" w:rsidR="00702A59" w:rsidRDefault="00702A59" w:rsidP="00702A59">
      <w:pPr>
        <w:pStyle w:val="Heading3"/>
      </w:pPr>
      <w:bookmarkStart w:id="105" w:name="_Toc71117807"/>
      <w:bookmarkStart w:id="106" w:name="_Toc99141869"/>
      <w:bookmarkStart w:id="107" w:name="_Toc184039483"/>
      <w:bookmarkStart w:id="108" w:name="_Toc223077559"/>
      <w:bookmarkStart w:id="109" w:name="_Toc228987399"/>
      <w:r w:rsidRPr="00D12C6F">
        <w:t xml:space="preserve">Fiscal </w:t>
      </w:r>
      <w:bookmarkEnd w:id="105"/>
      <w:bookmarkEnd w:id="106"/>
      <w:bookmarkEnd w:id="107"/>
      <w:bookmarkEnd w:id="108"/>
      <w:r w:rsidRPr="00D12C6F">
        <w:t>Risks</w:t>
      </w:r>
      <w:bookmarkEnd w:id="109"/>
    </w:p>
    <w:p w14:paraId="00B95CED" w14:textId="77777777" w:rsidR="00702A59" w:rsidRPr="00D12C6F" w:rsidRDefault="00702A59" w:rsidP="00702A59">
      <w:pPr>
        <w:pStyle w:val="Heading4"/>
        <w:rPr>
          <w:rFonts w:eastAsia="Arial"/>
        </w:rPr>
      </w:pPr>
      <w:bookmarkStart w:id="110" w:name="_Toc71117808"/>
      <w:bookmarkStart w:id="111" w:name="_Toc71117811"/>
      <w:bookmarkStart w:id="112" w:name="_Toc99141870"/>
      <w:r w:rsidRPr="00D12C6F">
        <w:rPr>
          <w:rFonts w:eastAsia="Arial"/>
        </w:rPr>
        <w:t xml:space="preserve">Export Finance Australia </w:t>
      </w:r>
      <w:r w:rsidRPr="00D12C6F">
        <w:rPr>
          <w:rFonts w:eastAsia="Calibri"/>
        </w:rPr>
        <w:t>–</w:t>
      </w:r>
      <w:r w:rsidRPr="00D12C6F">
        <w:rPr>
          <w:rFonts w:eastAsia="Arial"/>
        </w:rPr>
        <w:t xml:space="preserve"> National Interest Account</w:t>
      </w:r>
      <w:bookmarkEnd w:id="110"/>
    </w:p>
    <w:p w14:paraId="622EA0A6" w14:textId="600122E3" w:rsidR="00702A59" w:rsidRPr="00D12C6F" w:rsidRDefault="00702A59" w:rsidP="00702A59">
      <w:pPr>
        <w:rPr>
          <w:rFonts w:eastAsia="Calibri"/>
        </w:rPr>
      </w:pPr>
      <w:r w:rsidRPr="00D12C6F">
        <w:rPr>
          <w:rFonts w:eastAsia="Calibri"/>
        </w:rPr>
        <w:t>There are five financing facilities under the Government</w:t>
      </w:r>
      <w:r w:rsidR="00880FAB">
        <w:rPr>
          <w:rFonts w:eastAsia="Calibri"/>
        </w:rPr>
        <w:t>’</w:t>
      </w:r>
      <w:r w:rsidRPr="00D12C6F">
        <w:rPr>
          <w:rFonts w:eastAsia="Calibri"/>
        </w:rPr>
        <w:t xml:space="preserve">s National Interest Account (NIA), administered by Export Finance Australia (EFA). </w:t>
      </w:r>
    </w:p>
    <w:p w14:paraId="31D5F51F" w14:textId="36488DA9" w:rsidR="00702A59" w:rsidRPr="00D12C6F" w:rsidRDefault="00702A59" w:rsidP="00702A59">
      <w:pPr>
        <w:rPr>
          <w:rFonts w:eastAsia="Calibri"/>
        </w:rPr>
      </w:pPr>
      <w:r w:rsidRPr="00D12C6F">
        <w:rPr>
          <w:rFonts w:eastAsia="Calibri"/>
        </w:rPr>
        <w:t>The Australian Infrastructure Financing Facility for the Pacific (AIFFP) started operation on 1 July</w:t>
      </w:r>
      <w:r>
        <w:rPr>
          <w:rFonts w:eastAsia="Calibri"/>
        </w:rPr>
        <w:t> </w:t>
      </w:r>
      <w:r w:rsidRPr="00D12C6F">
        <w:rPr>
          <w:rFonts w:eastAsia="Calibri"/>
        </w:rPr>
        <w:t>2019. The AIFFP can provide up to $4.55</w:t>
      </w:r>
      <w:r>
        <w:rPr>
          <w:rFonts w:eastAsia="Calibri"/>
        </w:rPr>
        <w:t> </w:t>
      </w:r>
      <w:r w:rsidRPr="00D12C6F">
        <w:rPr>
          <w:rFonts w:eastAsia="Calibri"/>
        </w:rPr>
        <w:t>billion in financing, including up to $1.55 billion in grants and the balance in loans and guarantees, to support high priority infrastructure development in Pacific countries and Timor</w:t>
      </w:r>
      <w:r w:rsidR="00880FAB">
        <w:rPr>
          <w:rFonts w:eastAsia="Calibri"/>
        </w:rPr>
        <w:noBreakHyphen/>
      </w:r>
      <w:r w:rsidRPr="00D12C6F">
        <w:rPr>
          <w:rFonts w:eastAsia="Calibri"/>
        </w:rPr>
        <w:t xml:space="preserve">Leste. As </w:t>
      </w:r>
      <w:proofErr w:type="gramStart"/>
      <w:r w:rsidRPr="00D12C6F">
        <w:rPr>
          <w:rFonts w:eastAsia="Calibri"/>
        </w:rPr>
        <w:t>at</w:t>
      </w:r>
      <w:proofErr w:type="gramEnd"/>
      <w:r w:rsidRPr="00D12C6F">
        <w:rPr>
          <w:rFonts w:eastAsia="Calibri"/>
        </w:rPr>
        <w:t xml:space="preserve"> 28</w:t>
      </w:r>
      <w:r>
        <w:rPr>
          <w:rFonts w:eastAsia="Calibri"/>
        </w:rPr>
        <w:t> </w:t>
      </w:r>
      <w:r w:rsidRPr="00D12C6F">
        <w:rPr>
          <w:rFonts w:eastAsia="Calibri"/>
        </w:rPr>
        <w:t>February</w:t>
      </w:r>
      <w:r>
        <w:rPr>
          <w:rFonts w:eastAsia="Calibri"/>
        </w:rPr>
        <w:t> </w:t>
      </w:r>
      <w:r w:rsidRPr="00D12C6F">
        <w:rPr>
          <w:rFonts w:eastAsia="Calibri"/>
        </w:rPr>
        <w:t>2026, the Australian Government has agreed to provide loans and guarantees to support the</w:t>
      </w:r>
      <w:r>
        <w:rPr>
          <w:rFonts w:eastAsia="Calibri"/>
        </w:rPr>
        <w:t xml:space="preserve"> </w:t>
      </w:r>
      <w:r w:rsidRPr="00D12C6F">
        <w:rPr>
          <w:rFonts w:eastAsia="Calibri"/>
        </w:rPr>
        <w:t xml:space="preserve">development of 58 infrastructure projects in 12 countries. </w:t>
      </w:r>
      <w:r w:rsidRPr="00D12C6F">
        <w:t>The</w:t>
      </w:r>
      <w:r w:rsidRPr="00D12C6F">
        <w:rPr>
          <w:rFonts w:eastAsia="Calibri"/>
        </w:rPr>
        <w:t xml:space="preserve"> maximum loan exposure was $1.</w:t>
      </w:r>
      <w:r w:rsidRPr="00D12C6F">
        <w:t>1</w:t>
      </w:r>
      <w:r>
        <w:t> </w:t>
      </w:r>
      <w:r w:rsidRPr="00D12C6F">
        <w:t>billion</w:t>
      </w:r>
      <w:r w:rsidRPr="00D12C6F">
        <w:rPr>
          <w:rFonts w:eastAsia="Calibri"/>
        </w:rPr>
        <w:t>, of which $260.9</w:t>
      </w:r>
      <w:r>
        <w:t> </w:t>
      </w:r>
      <w:r w:rsidRPr="00D12C6F">
        <w:rPr>
          <w:rFonts w:eastAsia="Calibri"/>
        </w:rPr>
        <w:t xml:space="preserve">million </w:t>
      </w:r>
      <w:r w:rsidRPr="00D12C6F">
        <w:t xml:space="preserve">was outstanding. </w:t>
      </w:r>
    </w:p>
    <w:p w14:paraId="78296C04" w14:textId="05CC8519" w:rsidR="00702A59" w:rsidRPr="00D12C6F" w:rsidRDefault="00702A59" w:rsidP="00702A59">
      <w:pPr>
        <w:rPr>
          <w:rFonts w:eastAsia="Calibri"/>
        </w:rPr>
      </w:pPr>
      <w:r w:rsidRPr="00D12C6F">
        <w:rPr>
          <w:rFonts w:eastAsia="Calibri"/>
        </w:rPr>
        <w:t>The Critical Minerals Facility (CMF) was established on 28 September</w:t>
      </w:r>
      <w:r w:rsidR="001370F4">
        <w:rPr>
          <w:rFonts w:eastAsia="Calibri"/>
        </w:rPr>
        <w:t> 2021</w:t>
      </w:r>
      <w:r w:rsidRPr="00D12C6F">
        <w:rPr>
          <w:rFonts w:eastAsia="Calibri"/>
        </w:rPr>
        <w:t xml:space="preserve"> to provide finance to critical minerals projects in Australia where private sector finance is unavailable or insufficient. In the 2025–26 MYEFO, the Government expanded the CMF by $1.0</w:t>
      </w:r>
      <w:r w:rsidR="00081CA0">
        <w:rPr>
          <w:rFonts w:eastAsia="Calibri"/>
        </w:rPr>
        <w:t> </w:t>
      </w:r>
      <w:r w:rsidRPr="00D12C6F">
        <w:rPr>
          <w:rFonts w:eastAsia="Calibri"/>
        </w:rPr>
        <w:t>billion for the purposes of the Critical Minerals Strategic Reserve (CMSR) for a maximum aggregate exposure of $5.0</w:t>
      </w:r>
      <w:r w:rsidR="00AA06F4">
        <w:rPr>
          <w:rFonts w:eastAsia="Calibri"/>
        </w:rPr>
        <w:t> billion</w:t>
      </w:r>
      <w:r w:rsidRPr="00D12C6F">
        <w:rPr>
          <w:rFonts w:eastAsia="Calibri"/>
        </w:rPr>
        <w:t>. The CMSR can provide price support, buy, sell, transport and selectively stockpile minerals. To date, the Government has agreed to provide a total of approximately $3.1</w:t>
      </w:r>
      <w:r>
        <w:rPr>
          <w:rFonts w:eastAsia="Calibri"/>
        </w:rPr>
        <w:t> </w:t>
      </w:r>
      <w:r w:rsidRPr="00D12C6F">
        <w:rPr>
          <w:rFonts w:eastAsia="Calibri"/>
        </w:rPr>
        <w:t xml:space="preserve">billion to support five projects under the CMF. </w:t>
      </w:r>
      <w:r w:rsidRPr="00D12C6F">
        <w:t xml:space="preserve">As </w:t>
      </w:r>
      <w:proofErr w:type="gramStart"/>
      <w:r w:rsidRPr="00D12C6F">
        <w:t>at</w:t>
      </w:r>
      <w:proofErr w:type="gramEnd"/>
      <w:r w:rsidRPr="00D12C6F">
        <w:t xml:space="preserve"> </w:t>
      </w:r>
      <w:r w:rsidRPr="00D12C6F">
        <w:rPr>
          <w:rFonts w:eastAsia="Calibri"/>
        </w:rPr>
        <w:t>28 February</w:t>
      </w:r>
      <w:r w:rsidR="004341C4">
        <w:rPr>
          <w:rFonts w:eastAsia="Calibri"/>
        </w:rPr>
        <w:t> 2026</w:t>
      </w:r>
      <w:r w:rsidRPr="00D12C6F">
        <w:rPr>
          <w:rFonts w:eastAsia="Calibri"/>
        </w:rPr>
        <w:t>, $714</w:t>
      </w:r>
      <w:r w:rsidRPr="00D12C6F">
        <w:t>.7</w:t>
      </w:r>
      <w:r>
        <w:t> </w:t>
      </w:r>
      <w:r w:rsidRPr="00D12C6F">
        <w:t>million was outstanding.</w:t>
      </w:r>
      <w:r w:rsidRPr="00D12C6F">
        <w:rPr>
          <w:rFonts w:eastAsia="Calibri"/>
        </w:rPr>
        <w:t xml:space="preserve"> </w:t>
      </w:r>
    </w:p>
    <w:p w14:paraId="6821D9C6" w14:textId="067B09B7" w:rsidR="00702A59" w:rsidRPr="00D12C6F" w:rsidRDefault="00702A59" w:rsidP="00702A59">
      <w:pPr>
        <w:rPr>
          <w:rFonts w:eastAsia="Calibri"/>
        </w:rPr>
      </w:pPr>
      <w:r w:rsidRPr="00D12C6F">
        <w:rPr>
          <w:rFonts w:eastAsia="Calibri"/>
        </w:rPr>
        <w:t>The Defence Export Facility (DEF) was established on 15</w:t>
      </w:r>
      <w:r>
        <w:rPr>
          <w:rFonts w:eastAsia="Calibri"/>
        </w:rPr>
        <w:t> </w:t>
      </w:r>
      <w:r w:rsidRPr="00D12C6F">
        <w:rPr>
          <w:rFonts w:eastAsia="Calibri"/>
        </w:rPr>
        <w:t>January</w:t>
      </w:r>
      <w:r>
        <w:rPr>
          <w:rFonts w:eastAsia="Calibri"/>
        </w:rPr>
        <w:t> </w:t>
      </w:r>
      <w:r w:rsidRPr="00D12C6F">
        <w:rPr>
          <w:rFonts w:eastAsia="Calibri"/>
        </w:rPr>
        <w:t>2018 to grow Australia</w:t>
      </w:r>
      <w:r w:rsidR="00880FAB">
        <w:rPr>
          <w:rFonts w:eastAsia="Calibri"/>
        </w:rPr>
        <w:t>’</w:t>
      </w:r>
      <w:r w:rsidRPr="00D12C6F">
        <w:rPr>
          <w:rFonts w:eastAsia="Calibri"/>
        </w:rPr>
        <w:t>s defence exports by helping to overcome difficulties in accessing private sector finance. The DEF has a maximum aggregate exposure of US$3.0</w:t>
      </w:r>
      <w:r>
        <w:rPr>
          <w:rFonts w:eastAsia="Calibri"/>
        </w:rPr>
        <w:t> </w:t>
      </w:r>
      <w:r w:rsidRPr="00D12C6F">
        <w:rPr>
          <w:rFonts w:eastAsia="Calibri"/>
        </w:rPr>
        <w:t>billion (approximately A$4.2</w:t>
      </w:r>
      <w:r>
        <w:rPr>
          <w:rFonts w:eastAsia="Calibri"/>
        </w:rPr>
        <w:t> </w:t>
      </w:r>
      <w:r w:rsidRPr="00D12C6F">
        <w:rPr>
          <w:rFonts w:eastAsia="Calibri"/>
        </w:rPr>
        <w:t xml:space="preserve">billion as </w:t>
      </w:r>
      <w:proofErr w:type="gramStart"/>
      <w:r w:rsidRPr="00D12C6F">
        <w:rPr>
          <w:rFonts w:eastAsia="Calibri"/>
        </w:rPr>
        <w:t>at</w:t>
      </w:r>
      <w:proofErr w:type="gramEnd"/>
      <w:r w:rsidRPr="00D12C6F">
        <w:rPr>
          <w:rFonts w:eastAsia="Calibri"/>
        </w:rPr>
        <w:t xml:space="preserve"> 28</w:t>
      </w:r>
      <w:r>
        <w:rPr>
          <w:rFonts w:eastAsia="Calibri"/>
        </w:rPr>
        <w:t> </w:t>
      </w:r>
      <w:r w:rsidRPr="00D12C6F">
        <w:rPr>
          <w:rFonts w:eastAsia="Calibri"/>
        </w:rPr>
        <w:t>February</w:t>
      </w:r>
      <w:r>
        <w:rPr>
          <w:rFonts w:eastAsia="Calibri"/>
        </w:rPr>
        <w:t> </w:t>
      </w:r>
      <w:r w:rsidRPr="00D12C6F">
        <w:rPr>
          <w:rFonts w:eastAsia="Calibri"/>
        </w:rPr>
        <w:t>2026). To date, three loans under the DEF have been agreed for a total signing value of A$228.0</w:t>
      </w:r>
      <w:r>
        <w:rPr>
          <w:rFonts w:eastAsia="Calibri"/>
        </w:rPr>
        <w:t> </w:t>
      </w:r>
      <w:r w:rsidRPr="00D12C6F">
        <w:rPr>
          <w:rFonts w:eastAsia="Calibri"/>
        </w:rPr>
        <w:t>million. The value of loans outstanding was A$141.6 million at 28</w:t>
      </w:r>
      <w:r>
        <w:rPr>
          <w:rFonts w:eastAsia="Calibri"/>
        </w:rPr>
        <w:t> </w:t>
      </w:r>
      <w:r w:rsidRPr="00D12C6F">
        <w:rPr>
          <w:rFonts w:ascii="Times New Roman" w:eastAsia="Calibri" w:hAnsi="Times New Roman" w:hint="eastAsia"/>
          <w:rtl/>
        </w:rPr>
        <w:t>‍</w:t>
      </w:r>
      <w:r w:rsidRPr="00D12C6F">
        <w:rPr>
          <w:rFonts w:eastAsia="Calibri"/>
        </w:rPr>
        <w:t>February</w:t>
      </w:r>
      <w:r>
        <w:rPr>
          <w:rFonts w:eastAsia="Calibri"/>
        </w:rPr>
        <w:t> </w:t>
      </w:r>
      <w:r w:rsidRPr="00D12C6F">
        <w:rPr>
          <w:rFonts w:eastAsia="Calibri"/>
        </w:rPr>
        <w:t>2026.</w:t>
      </w:r>
    </w:p>
    <w:p w14:paraId="75AC78BD" w14:textId="5ABAC414" w:rsidR="00702A59" w:rsidRPr="00D12C6F" w:rsidRDefault="00702A59" w:rsidP="00702A59">
      <w:pPr>
        <w:rPr>
          <w:rFonts w:eastAsia="Calibri"/>
        </w:rPr>
      </w:pPr>
      <w:r w:rsidRPr="00D12C6F">
        <w:rPr>
          <w:rFonts w:eastAsia="Calibri"/>
        </w:rPr>
        <w:t>The Southeast Asia Investment Financing Facility (SEAIFF) was announced on 5 March 2024. The SEAIFF will provide up to $2.0</w:t>
      </w:r>
      <w:r>
        <w:rPr>
          <w:rFonts w:eastAsia="Calibri"/>
        </w:rPr>
        <w:t> </w:t>
      </w:r>
      <w:r w:rsidRPr="00D12C6F">
        <w:rPr>
          <w:rFonts w:eastAsia="Calibri"/>
        </w:rPr>
        <w:t>billion in loans, guarantees, equity and insurance for projects that would boost Australian trade and investment in Southeast Asia, particularly in support of the region</w:t>
      </w:r>
      <w:r w:rsidR="00880FAB">
        <w:rPr>
          <w:rFonts w:eastAsia="Calibri"/>
        </w:rPr>
        <w:t>’</w:t>
      </w:r>
      <w:r w:rsidRPr="00D12C6F">
        <w:rPr>
          <w:rFonts w:eastAsia="Calibri"/>
        </w:rPr>
        <w:t>s clean energy transition and infrastructure development. To date, the Government has agreed to provide a total of approximately $327.0</w:t>
      </w:r>
      <w:r w:rsidR="00AA06F4">
        <w:rPr>
          <w:rFonts w:eastAsia="Calibri"/>
        </w:rPr>
        <w:t> million</w:t>
      </w:r>
      <w:r w:rsidRPr="00D12C6F">
        <w:rPr>
          <w:rFonts w:eastAsia="Calibri"/>
        </w:rPr>
        <w:t xml:space="preserve"> to support three projects under the SEAIFF. The value of loans outstanding was $26.5</w:t>
      </w:r>
      <w:r>
        <w:rPr>
          <w:rFonts w:eastAsia="Calibri"/>
        </w:rPr>
        <w:t> </w:t>
      </w:r>
      <w:r w:rsidRPr="00D12C6F">
        <w:rPr>
          <w:rFonts w:eastAsia="Calibri"/>
        </w:rPr>
        <w:t xml:space="preserve">million </w:t>
      </w:r>
      <w:proofErr w:type="gramStart"/>
      <w:r w:rsidRPr="00D12C6F">
        <w:rPr>
          <w:rFonts w:eastAsia="Calibri"/>
        </w:rPr>
        <w:t>at</w:t>
      </w:r>
      <w:proofErr w:type="gramEnd"/>
      <w:r w:rsidRPr="00D12C6F">
        <w:rPr>
          <w:rFonts w:eastAsia="Calibri"/>
        </w:rPr>
        <w:t xml:space="preserve"> 28 February 2026</w:t>
      </w:r>
      <w:r>
        <w:rPr>
          <w:rFonts w:eastAsia="Calibri"/>
        </w:rPr>
        <w:t xml:space="preserve">. </w:t>
      </w:r>
    </w:p>
    <w:p w14:paraId="6C42C6FE" w14:textId="77777777" w:rsidR="00081CA0" w:rsidRDefault="00081CA0">
      <w:pPr>
        <w:spacing w:before="0" w:after="160" w:line="259" w:lineRule="auto"/>
        <w:rPr>
          <w:rFonts w:eastAsia="Calibri"/>
        </w:rPr>
      </w:pPr>
      <w:r>
        <w:rPr>
          <w:rFonts w:eastAsia="Calibri"/>
        </w:rPr>
        <w:br w:type="page"/>
      </w:r>
    </w:p>
    <w:p w14:paraId="74A0D581" w14:textId="10CC75B7" w:rsidR="00702A59" w:rsidRPr="00D12C6F" w:rsidRDefault="00702A59" w:rsidP="00702A59">
      <w:pPr>
        <w:rPr>
          <w:rFonts w:eastAsia="Calibri"/>
        </w:rPr>
      </w:pPr>
      <w:r w:rsidRPr="00D12C6F">
        <w:rPr>
          <w:rFonts w:eastAsia="Calibri"/>
        </w:rPr>
        <w:lastRenderedPageBreak/>
        <w:t>On 28</w:t>
      </w:r>
      <w:r>
        <w:rPr>
          <w:rFonts w:eastAsia="Calibri"/>
        </w:rPr>
        <w:t> </w:t>
      </w:r>
      <w:r w:rsidRPr="00D12C6F">
        <w:rPr>
          <w:rFonts w:eastAsia="Calibri"/>
        </w:rPr>
        <w:t>March</w:t>
      </w:r>
      <w:r>
        <w:rPr>
          <w:rFonts w:eastAsia="Calibri"/>
        </w:rPr>
        <w:t> </w:t>
      </w:r>
      <w:r w:rsidRPr="00D12C6F">
        <w:rPr>
          <w:rFonts w:eastAsia="Calibri"/>
        </w:rPr>
        <w:t xml:space="preserve">2026, the Government announced that EFA will provide support to help secure fuel and fertiliser supply from international markets. Under the Fuel and Fertiliser Security Facility (FFSF), EFA </w:t>
      </w:r>
      <w:proofErr w:type="gramStart"/>
      <w:r w:rsidRPr="00D12C6F">
        <w:rPr>
          <w:rFonts w:eastAsia="Calibri"/>
        </w:rPr>
        <w:t>is able to</w:t>
      </w:r>
      <w:proofErr w:type="gramEnd"/>
      <w:r w:rsidRPr="00D12C6F">
        <w:rPr>
          <w:rFonts w:eastAsia="Calibri"/>
        </w:rPr>
        <w:t xml:space="preserve"> provide financial support including loans, equity, guarantees, insurance and price support to selectively stockpile fuel and fertiliser, to support the importation of fuel and fertiliser supply to cover uncontracted or additional fuel and fertiliser demand. The FFSF has been established with an exposure cap of US$5.0</w:t>
      </w:r>
      <w:r>
        <w:rPr>
          <w:rFonts w:eastAsia="Calibri"/>
        </w:rPr>
        <w:t> </w:t>
      </w:r>
      <w:r w:rsidRPr="00D12C6F">
        <w:rPr>
          <w:rFonts w:eastAsia="Calibri"/>
        </w:rPr>
        <w:t>billion (approximately A$7.</w:t>
      </w:r>
      <w:r>
        <w:rPr>
          <w:rFonts w:eastAsia="Calibri"/>
        </w:rPr>
        <w:t>5 </w:t>
      </w:r>
      <w:r w:rsidRPr="00D12C6F">
        <w:rPr>
          <w:rFonts w:eastAsia="Calibri"/>
        </w:rPr>
        <w:t>billion) and the expected financial impact of initial transactions have been reflected in the forward estimates, although these are not for publication due to commercial sensitivities. The expected financial impacts of subsequent transactions will be reflected in the forward estimates as these are agreed by</w:t>
      </w:r>
      <w:r>
        <w:rPr>
          <w:rFonts w:eastAsia="Calibri"/>
        </w:rPr>
        <w:t xml:space="preserve"> the</w:t>
      </w:r>
      <w:r w:rsidRPr="00D12C6F">
        <w:rPr>
          <w:rFonts w:eastAsia="Calibri"/>
        </w:rPr>
        <w:t xml:space="preserve"> Government</w:t>
      </w:r>
      <w:r>
        <w:rPr>
          <w:rFonts w:eastAsia="Calibri"/>
        </w:rPr>
        <w:t xml:space="preserve">. </w:t>
      </w:r>
    </w:p>
    <w:p w14:paraId="592BB6F7" w14:textId="77777777" w:rsidR="00702A59" w:rsidRPr="00D12C6F" w:rsidRDefault="00702A59" w:rsidP="00702A59">
      <w:pPr>
        <w:rPr>
          <w:rFonts w:eastAsia="Calibri"/>
        </w:rPr>
      </w:pPr>
      <w:r w:rsidRPr="00D12C6F">
        <w:rPr>
          <w:rFonts w:eastAsia="Calibri"/>
        </w:rPr>
        <w:t>The</w:t>
      </w:r>
      <w:r w:rsidRPr="00D12C6F">
        <w:rPr>
          <w:rFonts w:eastAsia="Calibri"/>
          <w:i/>
          <w:iCs/>
        </w:rPr>
        <w:t xml:space="preserve"> Export Finance and Insurance Corporation Act 1991</w:t>
      </w:r>
      <w:r w:rsidRPr="00D12C6F">
        <w:rPr>
          <w:rFonts w:eastAsia="Calibri"/>
        </w:rPr>
        <w:t xml:space="preserve"> was amended to enable EFA to finance domestic projects in the national interest where they are consistent with the Future Made in Australia National Interest Framework. The Government will be able to consider supporting projects on the National Interest Account through financing including debt or equity, where projects are unable to progress solely through commercial financing.</w:t>
      </w:r>
    </w:p>
    <w:p w14:paraId="7D16FA5E" w14:textId="77777777" w:rsidR="00702A59" w:rsidRPr="00D12C6F" w:rsidRDefault="00702A59" w:rsidP="00702A59">
      <w:pPr>
        <w:pStyle w:val="Heading3"/>
      </w:pPr>
      <w:bookmarkStart w:id="113" w:name="_Toc184039484"/>
      <w:bookmarkStart w:id="114" w:name="_Toc223077560"/>
      <w:bookmarkStart w:id="115" w:name="_Toc228987400"/>
      <w:r w:rsidRPr="00D12C6F">
        <w:t>Contingent liabilities – quantifiable</w:t>
      </w:r>
      <w:bookmarkEnd w:id="111"/>
      <w:bookmarkEnd w:id="112"/>
      <w:bookmarkEnd w:id="113"/>
      <w:bookmarkEnd w:id="114"/>
      <w:bookmarkEnd w:id="115"/>
    </w:p>
    <w:p w14:paraId="758FE3C7" w14:textId="77777777" w:rsidR="00702A59" w:rsidRPr="00D12C6F" w:rsidRDefault="00702A59" w:rsidP="00702A59">
      <w:pPr>
        <w:pStyle w:val="Heading4"/>
        <w:rPr>
          <w:rFonts w:eastAsia="Arial"/>
        </w:rPr>
      </w:pPr>
      <w:bookmarkStart w:id="116" w:name="_Toc71117812"/>
      <w:r w:rsidRPr="00D12C6F">
        <w:rPr>
          <w:rFonts w:eastAsia="Arial"/>
        </w:rPr>
        <w:t>Export Finance Australia</w:t>
      </w:r>
      <w:bookmarkEnd w:id="116"/>
      <w:r w:rsidRPr="00D12C6F">
        <w:rPr>
          <w:rFonts w:eastAsia="Arial"/>
        </w:rPr>
        <w:t xml:space="preserve"> </w:t>
      </w:r>
    </w:p>
    <w:p w14:paraId="2C223E68" w14:textId="27A9A9C4" w:rsidR="00702A59" w:rsidRPr="00D12C6F" w:rsidRDefault="00702A59" w:rsidP="00702A59">
      <w:r w:rsidRPr="00D12C6F">
        <w:t xml:space="preserve">The Government guarantees the due payment of money that is, or may at any time become, payable by Export Finance Australia to anyone other than the Government. As </w:t>
      </w:r>
      <w:proofErr w:type="gramStart"/>
      <w:r w:rsidRPr="00D12C6F">
        <w:t>at</w:t>
      </w:r>
      <w:proofErr w:type="gramEnd"/>
      <w:r w:rsidRPr="00D12C6F">
        <w:t xml:space="preserve"> 28</w:t>
      </w:r>
      <w:r>
        <w:t> </w:t>
      </w:r>
      <w:r w:rsidRPr="00D12C6F">
        <w:t>February</w:t>
      </w:r>
      <w:r>
        <w:t> </w:t>
      </w:r>
      <w:r w:rsidRPr="00D12C6F">
        <w:t>2026, the Government</w:t>
      </w:r>
      <w:r w:rsidR="00880FAB">
        <w:t>’</w:t>
      </w:r>
      <w:r w:rsidRPr="00D12C6F">
        <w:t>s total contingent liability was $7.3</w:t>
      </w:r>
      <w:r w:rsidR="00AA06F4">
        <w:t> billion</w:t>
      </w:r>
      <w:r w:rsidRPr="00D12C6F">
        <w:t>, comprising Export Finance Australia</w:t>
      </w:r>
      <w:r w:rsidR="00880FAB">
        <w:t>’</w:t>
      </w:r>
      <w:r w:rsidRPr="00D12C6F">
        <w:t>s liabilities to third parties ($5.8</w:t>
      </w:r>
      <w:r>
        <w:t> </w:t>
      </w:r>
      <w:r w:rsidRPr="00D12C6F">
        <w:t>billion) and Export Finance Australia</w:t>
      </w:r>
      <w:r w:rsidR="00880FAB">
        <w:t>’</w:t>
      </w:r>
      <w:r w:rsidRPr="00D12C6F">
        <w:t>s overseas investment insurance, contracts of insurance and guarantees ($1.5</w:t>
      </w:r>
      <w:r>
        <w:t> </w:t>
      </w:r>
      <w:r w:rsidRPr="00D12C6F">
        <w:t>billion). Of the total contingent liability, $3.6</w:t>
      </w:r>
      <w:r>
        <w:t> </w:t>
      </w:r>
      <w:r w:rsidRPr="00D12C6F">
        <w:t>billion relates to Export Finance Australia</w:t>
      </w:r>
      <w:r w:rsidR="00880FAB">
        <w:t>’</w:t>
      </w:r>
      <w:r w:rsidRPr="00D12C6F">
        <w:t>s Commercial Account and $3.7</w:t>
      </w:r>
      <w:r w:rsidR="00AA06F4">
        <w:t> billion</w:t>
      </w:r>
      <w:r w:rsidRPr="00D12C6F">
        <w:t xml:space="preserve"> relates to the National Interest Account. </w:t>
      </w:r>
    </w:p>
    <w:p w14:paraId="38C0F206" w14:textId="77777777" w:rsidR="00702A59" w:rsidRPr="00D12C6F" w:rsidRDefault="00702A59" w:rsidP="00702A59">
      <w:pPr>
        <w:pStyle w:val="Heading4"/>
        <w:rPr>
          <w:rFonts w:eastAsia="Arial"/>
        </w:rPr>
      </w:pPr>
      <w:r w:rsidRPr="00D12C6F">
        <w:rPr>
          <w:rFonts w:eastAsia="Arial"/>
        </w:rPr>
        <w:t xml:space="preserve">Papua New Guinea National Rugby League Franchise </w:t>
      </w:r>
    </w:p>
    <w:p w14:paraId="5D11ACA4" w14:textId="77777777" w:rsidR="00702A59" w:rsidRPr="00D12C6F" w:rsidRDefault="00702A59" w:rsidP="00702A59">
      <w:pPr>
        <w:rPr>
          <w:rFonts w:eastAsia="Calibri"/>
        </w:rPr>
      </w:pPr>
      <w:r w:rsidRPr="00D12C6F">
        <w:rPr>
          <w:rFonts w:eastAsia="Calibri"/>
        </w:rPr>
        <w:t xml:space="preserve">The Australian Government has agreed to support the Australian Rugby League Commission and NRL Bid 25 Ltd. to establish and support the operation of the Papua New Guinea National Rugby League franchise. </w:t>
      </w:r>
    </w:p>
    <w:p w14:paraId="0A18EEF7" w14:textId="0A9C5C6B" w:rsidR="000E1ED2" w:rsidRPr="00D12C6F" w:rsidRDefault="00702A59" w:rsidP="00702A59">
      <w:pPr>
        <w:rPr>
          <w:rFonts w:eastAsia="Calibri"/>
        </w:rPr>
      </w:pPr>
      <w:r w:rsidRPr="00D12C6F">
        <w:rPr>
          <w:rFonts w:eastAsia="Calibri"/>
        </w:rPr>
        <w:t>The support will include contingent liabilities for the Commonwealth. Details of these liabilities are not provided as they include commercial</w:t>
      </w:r>
      <w:r w:rsidR="00880FAB">
        <w:rPr>
          <w:rFonts w:eastAsia="Calibri" w:cs="Arial"/>
          <w:szCs w:val="19"/>
          <w:lang w:eastAsia="en-US"/>
        </w:rPr>
        <w:noBreakHyphen/>
      </w:r>
      <w:r w:rsidRPr="00D12C6F">
        <w:rPr>
          <w:rFonts w:eastAsia="Calibri"/>
        </w:rPr>
        <w:t>in</w:t>
      </w:r>
      <w:r w:rsidR="00880FAB">
        <w:rPr>
          <w:rFonts w:eastAsia="Calibri" w:cs="Arial"/>
          <w:szCs w:val="19"/>
          <w:lang w:eastAsia="en-US"/>
        </w:rPr>
        <w:noBreakHyphen/>
      </w:r>
      <w:r w:rsidRPr="00D12C6F">
        <w:rPr>
          <w:rFonts w:eastAsia="Calibri"/>
        </w:rPr>
        <w:t>confidence sensitivities.</w:t>
      </w:r>
      <w:r w:rsidR="000E1ED2" w:rsidRPr="00D12C6F">
        <w:rPr>
          <w:rFonts w:eastAsia="Calibri"/>
        </w:rPr>
        <w:t xml:space="preserve"> </w:t>
      </w:r>
    </w:p>
    <w:p w14:paraId="74438420" w14:textId="77777777" w:rsidR="008C6871" w:rsidRPr="008C6871" w:rsidRDefault="008C6871" w:rsidP="008C6871">
      <w:r>
        <w:br w:type="page"/>
      </w:r>
    </w:p>
    <w:p w14:paraId="3DD20BB1" w14:textId="04ACCD10" w:rsidR="008F4B8B" w:rsidRPr="00D12C6F" w:rsidRDefault="008F4B8B" w:rsidP="008F4B8B">
      <w:pPr>
        <w:pStyle w:val="Heading2"/>
      </w:pPr>
      <w:bookmarkStart w:id="117" w:name="_Toc228987401"/>
      <w:r w:rsidRPr="00D12C6F">
        <w:lastRenderedPageBreak/>
        <w:t>Health, Disability and Ageing</w:t>
      </w:r>
      <w:bookmarkEnd w:id="117"/>
    </w:p>
    <w:p w14:paraId="3E175FBD" w14:textId="77777777" w:rsidR="008F4B8B" w:rsidRPr="00D12C6F" w:rsidRDefault="008F4B8B" w:rsidP="008F4B8B">
      <w:pPr>
        <w:pStyle w:val="Heading3"/>
      </w:pPr>
      <w:bookmarkStart w:id="118" w:name="_Toc228987402"/>
      <w:r w:rsidRPr="00D12C6F">
        <w:t>Fiscal Risks</w:t>
      </w:r>
      <w:bookmarkEnd w:id="118"/>
    </w:p>
    <w:p w14:paraId="3368805E" w14:textId="77777777" w:rsidR="008F4B8B" w:rsidRPr="00D12C6F" w:rsidRDefault="008F4B8B" w:rsidP="008F4B8B">
      <w:pPr>
        <w:pStyle w:val="Heading4"/>
      </w:pPr>
      <w:r w:rsidRPr="00D12C6F">
        <w:t xml:space="preserve">National Disability Insurance Scheme </w:t>
      </w:r>
    </w:p>
    <w:p w14:paraId="7CED415F" w14:textId="77777777" w:rsidR="008F4B8B" w:rsidRPr="00D12C6F" w:rsidRDefault="008F4B8B" w:rsidP="00081CA0">
      <w:pPr>
        <w:spacing w:before="220" w:after="220"/>
      </w:pPr>
      <w:r w:rsidRPr="00D12C6F">
        <w:t xml:space="preserve">The NDIS provides financial support to Australians with permanent and significant disability to build capacity, increase independence and establish stronger connections with their community. </w:t>
      </w:r>
    </w:p>
    <w:p w14:paraId="34F1E747" w14:textId="1F1A676A" w:rsidR="008F4B8B" w:rsidRPr="00D12C6F" w:rsidRDefault="008F4B8B" w:rsidP="00081CA0">
      <w:pPr>
        <w:spacing w:before="220" w:after="220"/>
      </w:pPr>
      <w:r w:rsidRPr="00D12C6F">
        <w:t>As with other demand</w:t>
      </w:r>
      <w:r w:rsidR="00880FAB">
        <w:noBreakHyphen/>
      </w:r>
      <w:r w:rsidRPr="00D12C6F">
        <w:t xml:space="preserve">driven programs, the estimated costs for the </w:t>
      </w:r>
      <w:r>
        <w:t>s</w:t>
      </w:r>
      <w:r w:rsidRPr="00D12C6F">
        <w:t xml:space="preserve">cheme are subject to adjustments to reflect observed changes in actual payments. Scheme projections are liable to change as significant reform initiatives are implemented and the </w:t>
      </w:r>
      <w:r>
        <w:t>s</w:t>
      </w:r>
      <w:r w:rsidRPr="00D12C6F">
        <w:t xml:space="preserve">cheme continues to mature. Reform initiatives may lead to revisions to forecasts of the number of </w:t>
      </w:r>
      <w:r>
        <w:t>s</w:t>
      </w:r>
      <w:r w:rsidRPr="00D12C6F">
        <w:t xml:space="preserve">cheme participants, the funds allocated in participant support packages, the payments by participants from those funds for supports, and the resourcing required by the National Disability Insurance Agency to effectively administer the </w:t>
      </w:r>
      <w:r>
        <w:t>s</w:t>
      </w:r>
      <w:r w:rsidRPr="00D12C6F">
        <w:t>cheme.</w:t>
      </w:r>
    </w:p>
    <w:p w14:paraId="3F425BBF" w14:textId="3911E97B" w:rsidR="008F4B8B" w:rsidRPr="001C2B97" w:rsidRDefault="008F4B8B" w:rsidP="00081CA0">
      <w:pPr>
        <w:spacing w:before="220" w:after="220"/>
      </w:pPr>
      <w:r w:rsidRPr="001C2B97">
        <w:t>National Cabinet has acknowledged the need for continuing reforms to secure the future of the NDIS, ensuring it is sustainable and can continue to provide life</w:t>
      </w:r>
      <w:r w:rsidR="00880FAB">
        <w:noBreakHyphen/>
      </w:r>
      <w:r w:rsidRPr="001C2B97">
        <w:t xml:space="preserve">changing support to future generations of Australians with disability. States and territories have agreed to work with the Government to target annual cost increases to at or below </w:t>
      </w:r>
      <w:r>
        <w:t>five</w:t>
      </w:r>
      <w:r w:rsidRPr="001C2B97">
        <w:t xml:space="preserve"> to </w:t>
      </w:r>
      <w:r>
        <w:t>six</w:t>
      </w:r>
      <w:r w:rsidR="00AA06F4">
        <w:t> per cent</w:t>
      </w:r>
      <w:r w:rsidRPr="001C2B97">
        <w:t xml:space="preserve">, to ensure the longer–term sustainability of the </w:t>
      </w:r>
      <w:r>
        <w:t>s</w:t>
      </w:r>
      <w:r w:rsidRPr="001C2B97">
        <w:t>cheme.</w:t>
      </w:r>
    </w:p>
    <w:p w14:paraId="6FC676C4" w14:textId="335ADBD4" w:rsidR="008F4B8B" w:rsidRPr="00081CA0" w:rsidRDefault="008F4B8B" w:rsidP="00081CA0">
      <w:pPr>
        <w:spacing w:before="220" w:after="220"/>
        <w:rPr>
          <w:spacing w:val="-1"/>
        </w:rPr>
      </w:pPr>
      <w:r w:rsidRPr="00081CA0">
        <w:rPr>
          <w:spacing w:val="-1"/>
        </w:rPr>
        <w:t xml:space="preserve">The </w:t>
      </w:r>
      <w:r w:rsidRPr="00081CA0">
        <w:rPr>
          <w:i/>
          <w:spacing w:val="-1"/>
        </w:rPr>
        <w:t>National Disability Insurance Scheme Amendment (Getting the NDIS Back on Track No. 1) Act 2024</w:t>
      </w:r>
      <w:r w:rsidRPr="00081CA0">
        <w:rPr>
          <w:spacing w:val="-1"/>
        </w:rPr>
        <w:t xml:space="preserve"> commenced on 3 October</w:t>
      </w:r>
      <w:r w:rsidR="001370F4">
        <w:rPr>
          <w:spacing w:val="-1"/>
        </w:rPr>
        <w:t> 2024</w:t>
      </w:r>
      <w:r w:rsidRPr="00081CA0">
        <w:rPr>
          <w:spacing w:val="-1"/>
        </w:rPr>
        <w:t xml:space="preserve">. Changes in the amending Act and subsequent amendments to NDIS rules and other legislative instruments have begun to moderate growth in scheme expenditure. Further moderation is expected from the implementation of reforms included in the 2026–27 Budget measure </w:t>
      </w:r>
      <w:r w:rsidRPr="00081CA0">
        <w:rPr>
          <w:i/>
          <w:spacing w:val="-1"/>
        </w:rPr>
        <w:t>Securing the National Disability Insurance Scheme for future generations</w:t>
      </w:r>
      <w:r w:rsidRPr="00081CA0">
        <w:rPr>
          <w:spacing w:val="-1"/>
        </w:rPr>
        <w:t xml:space="preserve"> and the implementation of new framework planning, which will determine scheme participant plan budgets more consistently based on participant need.</w:t>
      </w:r>
    </w:p>
    <w:p w14:paraId="2BC728E0" w14:textId="73428663" w:rsidR="008F4B8B" w:rsidRPr="00E31F84" w:rsidRDefault="008F4B8B" w:rsidP="00081CA0">
      <w:pPr>
        <w:spacing w:before="220" w:after="220"/>
      </w:pPr>
      <w:bookmarkStart w:id="119" w:name="_Toc223077563"/>
      <w:r w:rsidRPr="00E31F84">
        <w:t xml:space="preserve">The 2026–27 Budget estimates for the </w:t>
      </w:r>
      <w:r>
        <w:t>s</w:t>
      </w:r>
      <w:r w:rsidRPr="00E31F84">
        <w:t xml:space="preserve">cheme are based on actual expenditure as at the end of </w:t>
      </w:r>
      <w:r>
        <w:t>December</w:t>
      </w:r>
      <w:r w:rsidR="004341C4">
        <w:t> </w:t>
      </w:r>
      <w:r w:rsidRPr="00E31F84">
        <w:t>2025 and updated projections from the NDIS Actuary.</w:t>
      </w:r>
    </w:p>
    <w:p w14:paraId="072763A2" w14:textId="77777777" w:rsidR="008F4B8B" w:rsidRPr="00D12C6F" w:rsidRDefault="008F4B8B" w:rsidP="008F4B8B">
      <w:pPr>
        <w:pStyle w:val="Heading3"/>
      </w:pPr>
      <w:bookmarkStart w:id="120" w:name="_Toc228987403"/>
      <w:r w:rsidRPr="00D12C6F">
        <w:t>Contingent liabilities – unquantifiable</w:t>
      </w:r>
      <w:bookmarkEnd w:id="119"/>
      <w:bookmarkEnd w:id="120"/>
    </w:p>
    <w:p w14:paraId="0D25DF93" w14:textId="77777777" w:rsidR="008F4B8B" w:rsidRPr="00D12C6F" w:rsidRDefault="008F4B8B" w:rsidP="008F4B8B">
      <w:pPr>
        <w:pStyle w:val="Heading4"/>
      </w:pPr>
      <w:bookmarkStart w:id="121" w:name="_Toc71117814"/>
      <w:bookmarkStart w:id="122" w:name="_Toc71117815"/>
      <w:r w:rsidRPr="00D12C6F">
        <w:t>Accommodation Payment Guarantee Scheme</w:t>
      </w:r>
      <w:bookmarkEnd w:id="121"/>
    </w:p>
    <w:p w14:paraId="00FEB3D8" w14:textId="443D3E91" w:rsidR="008F4B8B" w:rsidRPr="00D12C6F" w:rsidRDefault="008F4B8B" w:rsidP="008F4B8B">
      <w:r w:rsidRPr="00D12C6F">
        <w:t>The Accommodation Payment Guarantee Scheme guarantees the repayment of aged care residents</w:t>
      </w:r>
      <w:r w:rsidR="00880FAB">
        <w:t>’</w:t>
      </w:r>
      <w:r w:rsidRPr="00D12C6F">
        <w:t xml:space="preserve"> refundable accommodation payments (including refundable deposits and accommodation bonds) if the approved provider becomes insolvent or bankrupt and defaults on its refund obligations. </w:t>
      </w:r>
    </w:p>
    <w:p w14:paraId="464603BD" w14:textId="797C7CC3" w:rsidR="008F4B8B" w:rsidRPr="00D12C6F" w:rsidRDefault="008F4B8B" w:rsidP="008F4B8B">
      <w:r w:rsidRPr="00D12C6F">
        <w:t>From 1</w:t>
      </w:r>
      <w:r>
        <w:t> </w:t>
      </w:r>
      <w:r w:rsidRPr="00D12C6F">
        <w:t>November</w:t>
      </w:r>
      <w:r>
        <w:t> </w:t>
      </w:r>
      <w:r w:rsidRPr="00D12C6F">
        <w:t xml:space="preserve">2025, under the newly commenced </w:t>
      </w:r>
      <w:r w:rsidRPr="00D12C6F">
        <w:rPr>
          <w:i/>
          <w:iCs/>
        </w:rPr>
        <w:t>Aged Care Act 2024</w:t>
      </w:r>
      <w:r w:rsidRPr="00D12C6F">
        <w:t>, aged care providers are required to retain two</w:t>
      </w:r>
      <w:r w:rsidR="00AA06F4">
        <w:t> per cent</w:t>
      </w:r>
      <w:r w:rsidRPr="00D12C6F">
        <w:t xml:space="preserve"> of all new Refundable Accommodation Deposits annually, for a maximum of five years. This retained portion is non</w:t>
      </w:r>
      <w:r w:rsidR="00880FAB">
        <w:noBreakHyphen/>
      </w:r>
      <w:r w:rsidRPr="00D12C6F">
        <w:t>refundable to</w:t>
      </w:r>
      <w:r>
        <w:t> </w:t>
      </w:r>
      <w:r w:rsidRPr="00D12C6F">
        <w:t>residents and is excluded from the Government</w:t>
      </w:r>
      <w:r w:rsidR="00880FAB">
        <w:t>’</w:t>
      </w:r>
      <w:r w:rsidRPr="00D12C6F">
        <w:t>s Accommodation Payment Guarantee Scheme.</w:t>
      </w:r>
    </w:p>
    <w:p w14:paraId="070A5231" w14:textId="0934B1D8" w:rsidR="008F4B8B" w:rsidRPr="00D12C6F" w:rsidRDefault="008F4B8B" w:rsidP="008F4B8B">
      <w:r w:rsidRPr="00D12C6F">
        <w:lastRenderedPageBreak/>
        <w:t>In return for the payment, the rights that the resident had to recover the amount from their approved provider are transferred to the Government so it can pursue the approved provider for the funds. In cases where the funds are unable to be recovered, the Government may levy all approved providers holding bonds, entry contributions and Refundable Accommodation Deposits to meet any shortfall.</w:t>
      </w:r>
    </w:p>
    <w:bookmarkEnd w:id="122"/>
    <w:p w14:paraId="31FFC94A" w14:textId="77777777" w:rsidR="008F4B8B" w:rsidRPr="00D12C6F" w:rsidRDefault="008F4B8B" w:rsidP="008F4B8B">
      <w:pPr>
        <w:pStyle w:val="Heading4"/>
      </w:pPr>
      <w:r w:rsidRPr="00D12C6F">
        <w:t>Australian Red Cross Society – indemnities</w:t>
      </w:r>
    </w:p>
    <w:p w14:paraId="3CD9EB28" w14:textId="3EDDFCD2" w:rsidR="008F4B8B" w:rsidRPr="00D12C6F" w:rsidRDefault="008F4B8B" w:rsidP="008F4B8B">
      <w:pPr>
        <w:rPr>
          <w:rFonts w:eastAsia="Calibri"/>
        </w:rPr>
      </w:pPr>
      <w:bookmarkStart w:id="123" w:name="_Toc71117817"/>
      <w:r w:rsidRPr="00D12C6F">
        <w:rPr>
          <w:rFonts w:eastAsia="Calibri"/>
        </w:rPr>
        <w:t>Various deeds between the Australian Red Cross Society (the Red Cross) and the National Blood Authority in relation to the operation of Australian Red Cross Lifeblood and the development of principal manufacturing sites in Sydney and Melbourne, include certain indemnities and a limitation of liability in favour of the Red Cross. These indemnities cover defined sets of potential business, product and employee risks and liabilities. Certain indemnities for specific risk events that operate within the term of the relevant deed are capped and must meet specified pre</w:t>
      </w:r>
      <w:r w:rsidR="00880FAB">
        <w:rPr>
          <w:rFonts w:eastAsia="Calibri"/>
        </w:rPr>
        <w:noBreakHyphen/>
      </w:r>
      <w:r w:rsidRPr="00D12C6F">
        <w:rPr>
          <w:rFonts w:eastAsia="Calibri"/>
        </w:rPr>
        <w:t>conditions. Other indemnities and the limitation of liability only operate in the event of the expiry and non</w:t>
      </w:r>
      <w:r w:rsidR="00880FAB">
        <w:rPr>
          <w:rFonts w:eastAsia="Calibri"/>
        </w:rPr>
        <w:noBreakHyphen/>
      </w:r>
      <w:r w:rsidRPr="00D12C6F">
        <w:rPr>
          <w:rFonts w:eastAsia="Calibri"/>
        </w:rPr>
        <w:t>renewal, or the earlier termination, of the relevant deed relating to the operation of the Red Cross or the cessation of funding for the principal sites, and only within a certain scope. All indemnities are also subject to appropriate limitations and conditions, including those in relation to mitigation, contributory fault, and the process of handling relevant claims.</w:t>
      </w:r>
    </w:p>
    <w:p w14:paraId="0F1F3E1E" w14:textId="77777777" w:rsidR="008F4B8B" w:rsidRPr="00D12C6F" w:rsidRDefault="008F4B8B" w:rsidP="008F4B8B">
      <w:pPr>
        <w:pStyle w:val="Heading4"/>
      </w:pPr>
      <w:r w:rsidRPr="00D12C6F">
        <w:t>Blood and blood products liability cover</w:t>
      </w:r>
      <w:bookmarkEnd w:id="123"/>
    </w:p>
    <w:p w14:paraId="3C9EBD8B" w14:textId="290BD92D" w:rsidR="008F4B8B" w:rsidRPr="00D12C6F" w:rsidRDefault="008F4B8B" w:rsidP="008F4B8B">
      <w:pPr>
        <w:rPr>
          <w:rFonts w:eastAsia="Calibri"/>
        </w:rPr>
      </w:pPr>
      <w:bookmarkStart w:id="124" w:name="_Toc71117818"/>
      <w:r w:rsidRPr="00D12C6F">
        <w:rPr>
          <w:rFonts w:eastAsia="Calibri"/>
        </w:rPr>
        <w:t>The National Managed Fund (NMF) was established by a Memorandum of Understanding between the Government, Australian Red Cross Lifeblood (Lifeblood) and state and territory governments to cover potential future claims in relation to the supply of blood and blood products by Lifeblood. The NMF provides for liabilities incurred by Lifeblood where other available mitigation or cover is not available. Under certain conditions, the Government and the state and territory governments may jointly provide indemnity for Lifeblood through a cost</w:t>
      </w:r>
      <w:r w:rsidR="00880FAB">
        <w:rPr>
          <w:rFonts w:eastAsia="Calibri"/>
        </w:rPr>
        <w:noBreakHyphen/>
      </w:r>
      <w:r w:rsidRPr="00D12C6F">
        <w:rPr>
          <w:rFonts w:eastAsia="Calibri"/>
        </w:rPr>
        <w:t>sharing arrangement for claims, both current and potential, regarding personal injury and loss or damage suffered by a recipient of certain blood products. If there are insufficient funds in the NMF to cover claim costs, the Jurisdictional Blood Committee will consider a report provided by the National Funds Manager to determine the level of additional funds required. The Government</w:t>
      </w:r>
      <w:r w:rsidR="00880FAB">
        <w:rPr>
          <w:rFonts w:eastAsia="Calibri"/>
        </w:rPr>
        <w:t>’</w:t>
      </w:r>
      <w:r w:rsidRPr="00D12C6F">
        <w:rPr>
          <w:rFonts w:eastAsia="Calibri"/>
        </w:rPr>
        <w:t>s share of any additional liability is limited to 63 per cent of agreed net costs.</w:t>
      </w:r>
    </w:p>
    <w:p w14:paraId="30DA63A0" w14:textId="77777777" w:rsidR="008F4B8B" w:rsidRPr="00D12C6F" w:rsidRDefault="008F4B8B" w:rsidP="008F4B8B">
      <w:pPr>
        <w:pStyle w:val="Heading4"/>
      </w:pPr>
      <w:r w:rsidRPr="00D12C6F">
        <w:t>CSL Ltd</w:t>
      </w:r>
      <w:bookmarkEnd w:id="124"/>
    </w:p>
    <w:p w14:paraId="452CBAB4" w14:textId="6B6C2A7B" w:rsidR="008F4B8B" w:rsidRPr="00D12C6F" w:rsidRDefault="008F4B8B" w:rsidP="008F4B8B">
      <w:pPr>
        <w:rPr>
          <w:rFonts w:eastAsia="Calibri"/>
        </w:rPr>
      </w:pPr>
      <w:r w:rsidRPr="00D12C6F">
        <w:rPr>
          <w:rFonts w:eastAsia="Calibri"/>
        </w:rPr>
        <w:t>CSL Limited (CSL) is indemnified against claims made by individuals who contract specified infections from specified products and against employees contracting asbestos</w:t>
      </w:r>
      <w:r w:rsidR="00880FAB">
        <w:rPr>
          <w:rFonts w:eastAsia="Calibri"/>
        </w:rPr>
        <w:noBreakHyphen/>
      </w:r>
      <w:r w:rsidRPr="00D12C6F">
        <w:rPr>
          <w:rFonts w:eastAsia="Calibri"/>
        </w:rPr>
        <w:t xml:space="preserve">related injuries. CSL has unlimited cover for most events that occurred before the sale of CSL on 1 January 1994, but has more limited cover for a specified range of events that occurred during the operation of the Plasma Fractionation Agreement from 1 January 1994 to 31 December 2004. Where alternative cover was not arranged by CSL, the Government may have a contingent liability. </w:t>
      </w:r>
    </w:p>
    <w:p w14:paraId="107C90BD" w14:textId="77777777" w:rsidR="00081CA0" w:rsidRDefault="00081CA0">
      <w:pPr>
        <w:spacing w:before="0" w:after="160" w:line="259" w:lineRule="auto"/>
        <w:rPr>
          <w:rFonts w:eastAsia="Calibri"/>
        </w:rPr>
      </w:pPr>
      <w:r>
        <w:rPr>
          <w:rFonts w:eastAsia="Calibri"/>
        </w:rPr>
        <w:br w:type="page"/>
      </w:r>
    </w:p>
    <w:p w14:paraId="60037377" w14:textId="77777777" w:rsidR="008F4B8B" w:rsidRPr="00D12C6F" w:rsidRDefault="008F4B8B" w:rsidP="008F4B8B">
      <w:pPr>
        <w:rPr>
          <w:rFonts w:eastAsia="Calibri"/>
        </w:rPr>
      </w:pPr>
      <w:r w:rsidRPr="00D12C6F">
        <w:rPr>
          <w:rFonts w:eastAsia="Calibri"/>
        </w:rPr>
        <w:lastRenderedPageBreak/>
        <w:t>The National Fractionation Agreement for Australia with CSL Behring (Australia) Pty Ltd (a subsidiary of CSL), which has operated since 1 January 2018, includes a requirement that the National Blood Authority make a defined payment to CSL Behring (Australia) Pty Ltd in certain circumstances only, in the event that the volume of plasma supplied annually to CSL Behring (Australia) Pty Ltd is less than a specified amount.</w:t>
      </w:r>
    </w:p>
    <w:p w14:paraId="7F718188" w14:textId="77777777" w:rsidR="008F4B8B" w:rsidRPr="00D12C6F" w:rsidRDefault="008F4B8B" w:rsidP="008F4B8B">
      <w:pPr>
        <w:pStyle w:val="Heading4"/>
      </w:pPr>
      <w:r w:rsidRPr="00D12C6F">
        <w:t>Indemnities relating to vaccines</w:t>
      </w:r>
    </w:p>
    <w:p w14:paraId="40832E6D" w14:textId="08EFCFAC" w:rsidR="008F4B8B" w:rsidRPr="00D12C6F" w:rsidRDefault="008F4B8B" w:rsidP="008F4B8B">
      <w:pPr>
        <w:rPr>
          <w:rFonts w:eastAsia="Calibri"/>
        </w:rPr>
      </w:pPr>
      <w:bookmarkStart w:id="125" w:name="_Toc71117820"/>
      <w:r w:rsidRPr="00D12C6F">
        <w:rPr>
          <w:rFonts w:eastAsia="Calibri"/>
        </w:rPr>
        <w:t xml:space="preserve">The Government has provided indemnities to a manufacturer of a smallpox/monkeypox vaccine held by the Government, covering possible adverse events that could result from the use of the vaccine in </w:t>
      </w:r>
      <w:proofErr w:type="gramStart"/>
      <w:r w:rsidRPr="00D12C6F">
        <w:rPr>
          <w:rFonts w:eastAsia="Calibri"/>
        </w:rPr>
        <w:t>an emergency situation</w:t>
      </w:r>
      <w:proofErr w:type="gramEnd"/>
      <w:r w:rsidRPr="00D12C6F">
        <w:rPr>
          <w:rFonts w:eastAsia="Calibri"/>
        </w:rPr>
        <w:t>. Indemnities have also been provided to a manufacturer of pandemic and pre</w:t>
      </w:r>
      <w:r w:rsidRPr="00D12C6F">
        <w:rPr>
          <w:rFonts w:ascii="Times New Roman" w:eastAsia="Calibri" w:hAnsi="Times New Roman" w:hint="eastAsia"/>
          <w:rtl/>
        </w:rPr>
        <w:t>‍</w:t>
      </w:r>
      <w:r w:rsidR="00880FAB">
        <w:rPr>
          <w:rFonts w:eastAsia="Calibri"/>
        </w:rPr>
        <w:noBreakHyphen/>
      </w:r>
      <w:r w:rsidRPr="00D12C6F">
        <w:rPr>
          <w:rFonts w:ascii="Times New Roman" w:eastAsia="Calibri" w:hAnsi="Times New Roman" w:hint="eastAsia"/>
          <w:rtl/>
        </w:rPr>
        <w:t>‍</w:t>
      </w:r>
      <w:r w:rsidRPr="00D12C6F">
        <w:rPr>
          <w:rFonts w:eastAsia="Calibri"/>
        </w:rPr>
        <w:t>pandemic influenza vaccines for the supply or future supply of influenza vaccines under certain conditions (including H1N1 and H5N1). Indemnities have been provided to suppliers of COVID</w:t>
      </w:r>
      <w:r w:rsidR="00880FAB">
        <w:rPr>
          <w:rFonts w:eastAsia="Calibri"/>
        </w:rPr>
        <w:noBreakHyphen/>
      </w:r>
      <w:r w:rsidRPr="00D12C6F">
        <w:rPr>
          <w:rFonts w:eastAsia="Calibri"/>
        </w:rPr>
        <w:t>19 vaccines, for which the Government has entered into Advance Purchasing Agreements, covering certain liabilities that could result from the use of the vaccines. These agreements relate to vaccines from AstraZeneca Pty Ltd, Pfizer Inc, Moderna Switzerland GmbH and Novavax, Inc.</w:t>
      </w:r>
    </w:p>
    <w:p w14:paraId="0398D45B" w14:textId="77777777" w:rsidR="008F4B8B" w:rsidRPr="00D12C6F" w:rsidRDefault="008F4B8B" w:rsidP="008F4B8B">
      <w:pPr>
        <w:pStyle w:val="Heading4"/>
      </w:pPr>
      <w:r w:rsidRPr="00D12C6F">
        <w:t>Medical Indemnity Exceptional Claims Scheme</w:t>
      </w:r>
      <w:bookmarkEnd w:id="125"/>
    </w:p>
    <w:p w14:paraId="191768D9" w14:textId="36C98434" w:rsidR="008F4B8B" w:rsidRPr="00D12C6F" w:rsidRDefault="008F4B8B" w:rsidP="008F4B8B">
      <w:r w:rsidRPr="00D12C6F">
        <w:t>Under the Medical Indemnity Exceptional Claims Scheme, the Government assumes liability for any damages payable against practitioners practising in a medical profession that exceed a specified level of cover provided by the practitioner</w:t>
      </w:r>
      <w:r w:rsidR="00880FAB">
        <w:t>’</w:t>
      </w:r>
      <w:r w:rsidRPr="00D12C6F">
        <w:t>s medical indemnity insurer (currently $20 million). It also provides legacy cover for claims against allied health professionals if the claim incident occurred before 1</w:t>
      </w:r>
      <w:r>
        <w:t> </w:t>
      </w:r>
      <w:r w:rsidRPr="00D12C6F">
        <w:t>July</w:t>
      </w:r>
      <w:r>
        <w:t> </w:t>
      </w:r>
      <w:r w:rsidRPr="00D12C6F">
        <w:t>2020.</w:t>
      </w:r>
    </w:p>
    <w:p w14:paraId="321E12BE" w14:textId="25F32FE3" w:rsidR="008F4B8B" w:rsidRPr="00D12C6F" w:rsidRDefault="008F4B8B" w:rsidP="008F4B8B">
      <w:r w:rsidRPr="00D12C6F">
        <w:t xml:space="preserve">From 1 July 2020, the Government moved the coverage of eligible allied health professionals (including registered only midwives) </w:t>
      </w:r>
      <w:r w:rsidRPr="00D12C6F">
        <w:rPr>
          <w:lang w:val="en-US"/>
        </w:rPr>
        <w:t xml:space="preserve">to a new scheme. Coverage for allied health professionals </w:t>
      </w:r>
      <w:proofErr w:type="gramStart"/>
      <w:r w:rsidRPr="00D12C6F">
        <w:rPr>
          <w:lang w:val="en-US"/>
        </w:rPr>
        <w:t>in excess of</w:t>
      </w:r>
      <w:proofErr w:type="gramEnd"/>
      <w:r w:rsidRPr="00D12C6F">
        <w:rPr>
          <w:lang w:val="en-US"/>
        </w:rPr>
        <w:t xml:space="preserve"> a specified level of cover provided by the professional</w:t>
      </w:r>
      <w:r w:rsidR="00880FAB">
        <w:rPr>
          <w:lang w:val="en-US"/>
        </w:rPr>
        <w:t>’</w:t>
      </w:r>
      <w:r w:rsidRPr="00D12C6F">
        <w:rPr>
          <w:lang w:val="en-US"/>
        </w:rPr>
        <w:t>s medical indemnity insurer (currently $20</w:t>
      </w:r>
      <w:r w:rsidR="00AA06F4">
        <w:rPr>
          <w:lang w:val="en-US"/>
        </w:rPr>
        <w:t> million</w:t>
      </w:r>
      <w:r w:rsidRPr="00D12C6F">
        <w:rPr>
          <w:lang w:val="en-US"/>
        </w:rPr>
        <w:t>) now</w:t>
      </w:r>
      <w:r w:rsidRPr="00D12C6F">
        <w:t xml:space="preserve"> sits under the Allied Health Exceptional Claims Scheme</w:t>
      </w:r>
      <w:r w:rsidRPr="00D12C6F">
        <w:rPr>
          <w:i/>
          <w:iCs/>
        </w:rPr>
        <w:t xml:space="preserve">. </w:t>
      </w:r>
    </w:p>
    <w:p w14:paraId="46C1C88F" w14:textId="48AB2C96" w:rsidR="008F4B8B" w:rsidRPr="00D12C6F" w:rsidRDefault="008F4B8B" w:rsidP="008F4B8B">
      <w:pPr>
        <w:rPr>
          <w:i/>
          <w:iCs/>
        </w:rPr>
      </w:pPr>
      <w:r w:rsidRPr="00D12C6F">
        <w:t>These arrangements apply to payouts either related to a single large claim or to multiple claims that in aggregate exceed the cover provided by the medical practitioner</w:t>
      </w:r>
      <w:r w:rsidR="00880FAB">
        <w:t>’</w:t>
      </w:r>
      <w:r w:rsidRPr="00D12C6F">
        <w:t>s or allied health professional</w:t>
      </w:r>
      <w:r w:rsidR="00880FAB">
        <w:t>’</w:t>
      </w:r>
      <w:r w:rsidRPr="00D12C6F">
        <w:t>s medical indemnity insurer, for claims notified under contract</w:t>
      </w:r>
      <w:r w:rsidR="00880FAB">
        <w:noBreakHyphen/>
      </w:r>
      <w:r w:rsidRPr="00D12C6F">
        <w:t>based cover since 2003.</w:t>
      </w:r>
      <w:r w:rsidRPr="00D12C6F">
        <w:rPr>
          <w:lang w:val="en-US"/>
        </w:rPr>
        <w:t xml:space="preserve"> </w:t>
      </w:r>
    </w:p>
    <w:p w14:paraId="1337DF02" w14:textId="77777777" w:rsidR="008F4B8B" w:rsidRPr="00D12C6F" w:rsidRDefault="008F4B8B" w:rsidP="008F4B8B">
      <w:pPr>
        <w:pStyle w:val="Heading4"/>
      </w:pPr>
      <w:r w:rsidRPr="00D12C6F">
        <w:t>Medical Rural Bonded Scholarship Waivers</w:t>
      </w:r>
    </w:p>
    <w:p w14:paraId="61730706" w14:textId="53E48F78" w:rsidR="008F4B8B" w:rsidRPr="00D12C6F" w:rsidRDefault="008F4B8B" w:rsidP="008F4B8B">
      <w:r w:rsidRPr="00D12C6F">
        <w:t>The Department of Health, Disability and Ageing is using debt waivers to address the creation of statutory debts by participants of the Medical Rural Bonded Scholarship Scheme who inadvertently breached contractual arrangements. In 2025–26, the Department of Health, Disability and Ageing waived $61.7</w:t>
      </w:r>
      <w:r w:rsidR="00AA06F4">
        <w:t> million</w:t>
      </w:r>
      <w:r w:rsidRPr="00D12C6F">
        <w:t xml:space="preserve"> in statutory debts. The potential total value of the waivers cannot yet be quantified.</w:t>
      </w:r>
    </w:p>
    <w:p w14:paraId="37E51656" w14:textId="77777777" w:rsidR="008F4B8B" w:rsidRPr="00337AC7" w:rsidRDefault="008F4B8B" w:rsidP="008F4B8B">
      <w:r>
        <w:br w:type="page"/>
      </w:r>
    </w:p>
    <w:p w14:paraId="14E14CF8" w14:textId="5269977A" w:rsidR="008F4B8B" w:rsidRPr="00D12C6F" w:rsidRDefault="008F4B8B" w:rsidP="008F4B8B">
      <w:pPr>
        <w:pStyle w:val="Heading4"/>
      </w:pPr>
      <w:r w:rsidRPr="00D12C6F">
        <w:lastRenderedPageBreak/>
        <w:t>mRNA manufacturing facility – indemnities</w:t>
      </w:r>
    </w:p>
    <w:p w14:paraId="22528D21" w14:textId="17E0C45A" w:rsidR="008F4B8B" w:rsidRPr="00D12C6F" w:rsidRDefault="008F4B8B" w:rsidP="008F4B8B">
      <w:bookmarkStart w:id="126" w:name="_Toc99141873"/>
      <w:r w:rsidRPr="00D12C6F">
        <w:t xml:space="preserve">The Commonwealth has </w:t>
      </w:r>
      <w:proofErr w:type="gramStart"/>
      <w:r w:rsidRPr="00D12C6F">
        <w:t>entered into</w:t>
      </w:r>
      <w:proofErr w:type="gramEnd"/>
      <w:r w:rsidRPr="00D12C6F">
        <w:t xml:space="preserve"> a strategic partnership with Moderna</w:t>
      </w:r>
      <w:r w:rsidRPr="00D12C6F">
        <w:rPr>
          <w:iCs/>
        </w:rPr>
        <w:t xml:space="preserve"> Australia Pty Ltd</w:t>
      </w:r>
      <w:r w:rsidRPr="00D12C6F">
        <w:t xml:space="preserve"> (Moderna) to establish domestic mRNA vaccine manufacturing capacity and capability. Under the agreement between the Commonwealth and Moderna, the Commonwealth may enter into a pandemic vaccine advance purchase agreement with Moderna for locally manufactured mRNA vaccines in certain circumstances where an infectious disease pandemic is declared. Moderna will also have the capacity to supply the Commonwealth with non</w:t>
      </w:r>
      <w:r w:rsidR="00880FAB">
        <w:noBreakHyphen/>
      </w:r>
      <w:r w:rsidRPr="00D12C6F">
        <w:t>pandemic vaccines through a non</w:t>
      </w:r>
      <w:r w:rsidR="00880FAB">
        <w:noBreakHyphen/>
      </w:r>
      <w:r w:rsidRPr="00D12C6F">
        <w:t>pandemic vaccine supply agreement.</w:t>
      </w:r>
    </w:p>
    <w:p w14:paraId="53FCE5F5" w14:textId="77777777" w:rsidR="008F4B8B" w:rsidRPr="00D12C6F" w:rsidRDefault="008F4B8B" w:rsidP="008F4B8B">
      <w:r w:rsidRPr="00D12C6F">
        <w:t xml:space="preserve">The Commonwealth does provide indemnities to Moderna under these arrangements to cover certain liabilities that could result from the implementation of the arrangement. </w:t>
      </w:r>
    </w:p>
    <w:p w14:paraId="280EBFF9" w14:textId="77777777" w:rsidR="008F4B8B" w:rsidRPr="00D12C6F" w:rsidRDefault="008F4B8B" w:rsidP="008F4B8B">
      <w:pPr>
        <w:rPr>
          <w:iCs/>
        </w:rPr>
      </w:pPr>
      <w:r w:rsidRPr="00D12C6F">
        <w:t>There are also indemnities provided by Moderna in favour of the Commonwealth for certain liabilities, which reflect risk</w:t>
      </w:r>
      <w:r w:rsidRPr="00D12C6F">
        <w:rPr>
          <w:iCs/>
        </w:rPr>
        <w:t xml:space="preserve"> sharing between the parties and are intended to limit financial exposure to the Government.</w:t>
      </w:r>
    </w:p>
    <w:p w14:paraId="58E7705F" w14:textId="5287616A" w:rsidR="008F4B8B" w:rsidRPr="00D12C6F" w:rsidRDefault="008F4B8B" w:rsidP="008F4B8B">
      <w:pPr>
        <w:pStyle w:val="Heading3"/>
        <w:rPr>
          <w:rFonts w:eastAsia="Arial"/>
        </w:rPr>
      </w:pPr>
      <w:bookmarkStart w:id="127" w:name="_Toc166165514"/>
      <w:bookmarkStart w:id="128" w:name="_Toc223077564"/>
      <w:bookmarkStart w:id="129" w:name="_Toc228987404"/>
      <w:r w:rsidRPr="00D12C6F">
        <w:rPr>
          <w:rFonts w:eastAsia="Arial"/>
        </w:rPr>
        <w:t>Contingent assets – unquantifiable</w:t>
      </w:r>
      <w:bookmarkEnd w:id="126"/>
      <w:bookmarkEnd w:id="127"/>
      <w:bookmarkEnd w:id="128"/>
      <w:bookmarkEnd w:id="129"/>
    </w:p>
    <w:p w14:paraId="41CEE034" w14:textId="77777777" w:rsidR="008F4B8B" w:rsidRPr="00D12C6F" w:rsidRDefault="008F4B8B" w:rsidP="008F4B8B">
      <w:pPr>
        <w:pStyle w:val="Heading4"/>
      </w:pPr>
      <w:bookmarkStart w:id="130" w:name="_Toc71117823"/>
      <w:r w:rsidRPr="00D12C6F">
        <w:t>Legal action seeking compensation</w:t>
      </w:r>
      <w:bookmarkEnd w:id="130"/>
    </w:p>
    <w:p w14:paraId="387BEFC0" w14:textId="77777777" w:rsidR="00E471C5" w:rsidRPr="00D12C6F" w:rsidRDefault="008F4B8B" w:rsidP="008F4B8B">
      <w:r w:rsidRPr="00D12C6F">
        <w:t>The Commonwealth is engaged in legal action against Otsuka to recover compensation for losses associated with the delayed listing of generic brands of aripiprazole on the Pharmaceutical Benefits Scheme. The Commonwealth is claiming that this is due to interim injunctions granted to Otsuka in unsuccessful patent litigation, which had the effect of delaying statutory and price disclosure related price reductions for this drug.</w:t>
      </w:r>
      <w:r w:rsidR="00E471C5" w:rsidRPr="00D12C6F">
        <w:t xml:space="preserve"> </w:t>
      </w:r>
    </w:p>
    <w:p w14:paraId="7A249E35" w14:textId="77777777" w:rsidR="00B4497F" w:rsidRPr="00E77321" w:rsidRDefault="00B4497F" w:rsidP="00E77321">
      <w:r>
        <w:br w:type="page"/>
      </w:r>
    </w:p>
    <w:p w14:paraId="24ED8A2B" w14:textId="5F4877B1" w:rsidR="009676E0" w:rsidRPr="00D12C6F" w:rsidRDefault="009676E0" w:rsidP="009676E0">
      <w:pPr>
        <w:pStyle w:val="Heading2"/>
      </w:pPr>
      <w:bookmarkStart w:id="131" w:name="_Toc228987405"/>
      <w:bookmarkStart w:id="132" w:name="_Toc99141879"/>
      <w:bookmarkStart w:id="133" w:name="_Toc184039487"/>
      <w:bookmarkEnd w:id="83"/>
      <w:bookmarkEnd w:id="84"/>
      <w:r w:rsidRPr="00D12C6F">
        <w:lastRenderedPageBreak/>
        <w:t>Home Affairs</w:t>
      </w:r>
      <w:bookmarkEnd w:id="131"/>
      <w:r w:rsidRPr="00D12C6F">
        <w:t xml:space="preserve"> </w:t>
      </w:r>
    </w:p>
    <w:p w14:paraId="71215B04" w14:textId="2EB10244" w:rsidR="009676E0" w:rsidRPr="00D12C6F" w:rsidRDefault="009676E0" w:rsidP="009676E0">
      <w:pPr>
        <w:pStyle w:val="Heading3"/>
      </w:pPr>
      <w:bookmarkStart w:id="134" w:name="_Toc71117824"/>
      <w:bookmarkStart w:id="135" w:name="_Toc99141875"/>
      <w:bookmarkStart w:id="136" w:name="_Toc184039486"/>
      <w:bookmarkStart w:id="137" w:name="_Toc223077566"/>
      <w:bookmarkStart w:id="138" w:name="_Toc228987406"/>
      <w:r w:rsidRPr="00D12C6F">
        <w:t xml:space="preserve">Fiscal </w:t>
      </w:r>
      <w:bookmarkEnd w:id="134"/>
      <w:bookmarkEnd w:id="135"/>
      <w:bookmarkEnd w:id="136"/>
      <w:bookmarkEnd w:id="137"/>
      <w:r w:rsidRPr="00D12C6F">
        <w:t>Risks</w:t>
      </w:r>
      <w:bookmarkEnd w:id="138"/>
    </w:p>
    <w:p w14:paraId="27ADA4B0" w14:textId="77777777" w:rsidR="009676E0" w:rsidRPr="00D12C6F" w:rsidRDefault="009676E0" w:rsidP="009676E0">
      <w:pPr>
        <w:pStyle w:val="Heading4"/>
      </w:pPr>
      <w:bookmarkStart w:id="139" w:name="_Toc71117825"/>
      <w:r w:rsidRPr="00D12C6F">
        <w:t>Regional processing arrangements</w:t>
      </w:r>
      <w:bookmarkEnd w:id="139"/>
    </w:p>
    <w:p w14:paraId="4B93ADB5" w14:textId="77777777" w:rsidR="009676E0" w:rsidRPr="00D12C6F" w:rsidRDefault="009676E0" w:rsidP="009676E0">
      <w:pPr>
        <w:rPr>
          <w:rFonts w:eastAsia="Calibri"/>
        </w:rPr>
      </w:pPr>
      <w:bookmarkStart w:id="140" w:name="_Hlk182822350"/>
      <w:bookmarkStart w:id="141" w:name="_Toc223077567"/>
      <w:r w:rsidRPr="00D12C6F">
        <w:rPr>
          <w:rFonts w:eastAsia="Calibri"/>
        </w:rPr>
        <w:t>Under a Memorandum of Understanding (MoU) between Australia and the Republic of Nauru on the Enduring Regional Processing Capability in the Republic of Nauru, the Australian Government supports the Government of Nauru to provide support and services to transitory persons residing in Nauru. Any significant changes in the number of transitory persons, provision of services under the MoU, relevant litigation or legislative changes may incur a cost or generate cost reductions which are unquantifiable at this time.</w:t>
      </w:r>
      <w:bookmarkStart w:id="142" w:name="_Toc71117826"/>
      <w:bookmarkStart w:id="143" w:name="_Toc99141876"/>
      <w:bookmarkEnd w:id="140"/>
      <w:bookmarkEnd w:id="142"/>
      <w:bookmarkEnd w:id="143"/>
    </w:p>
    <w:p w14:paraId="7B7BD450" w14:textId="77777777" w:rsidR="009676E0" w:rsidRPr="00D12C6F" w:rsidRDefault="009676E0" w:rsidP="009676E0">
      <w:pPr>
        <w:pStyle w:val="Heading4"/>
        <w:rPr>
          <w:rFonts w:eastAsia="Calibri"/>
          <w:lang w:val="en-US"/>
        </w:rPr>
      </w:pPr>
      <w:r w:rsidRPr="00D12C6F">
        <w:rPr>
          <w:rFonts w:eastAsia="Calibri"/>
        </w:rPr>
        <w:t>Third country reception arrangements</w:t>
      </w:r>
    </w:p>
    <w:p w14:paraId="588CFFEA" w14:textId="650F2A35" w:rsidR="009676E0" w:rsidRPr="00D12C6F" w:rsidRDefault="009676E0" w:rsidP="009676E0">
      <w:pPr>
        <w:rPr>
          <w:rFonts w:eastAsia="Calibri"/>
        </w:rPr>
      </w:pPr>
      <w:r w:rsidRPr="00D12C6F">
        <w:rPr>
          <w:rFonts w:eastAsia="Calibri"/>
        </w:rPr>
        <w:t>Under a Memorandum of Understanding (MoU) between Australia and the Republic</w:t>
      </w:r>
      <w:r>
        <w:rPr>
          <w:rFonts w:eastAsia="Calibri"/>
        </w:rPr>
        <w:t> </w:t>
      </w:r>
      <w:r w:rsidRPr="00D12C6F">
        <w:rPr>
          <w:rFonts w:eastAsia="Calibri"/>
        </w:rPr>
        <w:t>of</w:t>
      </w:r>
      <w:r>
        <w:rPr>
          <w:rFonts w:eastAsia="Calibri"/>
        </w:rPr>
        <w:t> </w:t>
      </w:r>
      <w:r w:rsidRPr="00D12C6F">
        <w:rPr>
          <w:rFonts w:eastAsia="Calibri"/>
        </w:rPr>
        <w:t>Nauru on the Third Country Reception Arrangement, the Australian</w:t>
      </w:r>
      <w:r>
        <w:rPr>
          <w:rFonts w:eastAsia="Calibri"/>
        </w:rPr>
        <w:t xml:space="preserve"> </w:t>
      </w:r>
      <w:r w:rsidRPr="00D12C6F">
        <w:rPr>
          <w:rFonts w:eastAsia="Calibri"/>
        </w:rPr>
        <w:t>Government supports the Government of Nauru to settle and fully integrate persons received under the terms of the MoU. Any significant changes in the number of settled persons, the arrangements that underpin those services, relevant litigation or legislative changes may incur a cost or generate cost reductions which are unquantifiable at</w:t>
      </w:r>
      <w:r>
        <w:rPr>
          <w:rFonts w:eastAsia="Calibri"/>
        </w:rPr>
        <w:t> </w:t>
      </w:r>
      <w:r w:rsidRPr="00D12C6F">
        <w:rPr>
          <w:rFonts w:eastAsia="Calibri"/>
        </w:rPr>
        <w:t>this time.</w:t>
      </w:r>
    </w:p>
    <w:p w14:paraId="7B452D1A" w14:textId="2C0AFA85" w:rsidR="009676E0" w:rsidRPr="00D12C6F" w:rsidRDefault="009676E0" w:rsidP="009676E0">
      <w:pPr>
        <w:pStyle w:val="Heading3"/>
      </w:pPr>
      <w:bookmarkStart w:id="144" w:name="_Toc228987407"/>
      <w:r w:rsidRPr="00D12C6F">
        <w:t>Significant but remote contingencies</w:t>
      </w:r>
      <w:bookmarkEnd w:id="144"/>
    </w:p>
    <w:p w14:paraId="27E0282C" w14:textId="77777777" w:rsidR="009676E0" w:rsidRPr="00D12C6F" w:rsidRDefault="009676E0" w:rsidP="009676E0">
      <w:pPr>
        <w:pStyle w:val="Heading4"/>
      </w:pPr>
      <w:r w:rsidRPr="00D12C6F">
        <w:t>Indemnities relating to the Air Security Officer Capability</w:t>
      </w:r>
    </w:p>
    <w:bookmarkEnd w:id="141"/>
    <w:p w14:paraId="5D71DED9" w14:textId="17529AAE" w:rsidR="009676E0" w:rsidRPr="00D12C6F" w:rsidRDefault="009676E0" w:rsidP="009676E0">
      <w:pPr>
        <w:rPr>
          <w:rFonts w:eastAsia="Calibri"/>
        </w:rPr>
      </w:pPr>
      <w:r w:rsidRPr="00D12C6F">
        <w:rPr>
          <w:rFonts w:eastAsia="Calibri"/>
        </w:rPr>
        <w:t>The Government has provided an indemnity to two Australian airlines connected with agreements to allow Air Security Officers on board their aircraft. The indemnities are limited to $2 billion per incident. The indemnity only applies where the airline(s) can establish that loss, damage or claim resulted from an act by an Air Security Officer, under or in connection with the Air Security Officer capability. The indemnity applies to the extent that any loss, damage or claim is not covered by existing relevant insurance policies held by the airline.</w:t>
      </w:r>
    </w:p>
    <w:p w14:paraId="747F13E1" w14:textId="77777777" w:rsidR="009676E0" w:rsidRPr="00D12C6F" w:rsidRDefault="009676E0" w:rsidP="009676E0">
      <w:pPr>
        <w:pStyle w:val="Heading3"/>
      </w:pPr>
      <w:bookmarkStart w:id="145" w:name="_Toc228987408"/>
      <w:r w:rsidRPr="00D12C6F">
        <w:t>Contingent liabilities – unquantifiable</w:t>
      </w:r>
      <w:bookmarkEnd w:id="145"/>
    </w:p>
    <w:p w14:paraId="4A2A91E7" w14:textId="77777777" w:rsidR="009676E0" w:rsidRPr="00D12C6F" w:rsidRDefault="009676E0" w:rsidP="009676E0">
      <w:pPr>
        <w:pStyle w:val="Heading4"/>
      </w:pPr>
      <w:bookmarkStart w:id="146" w:name="_Toc71117828"/>
      <w:r w:rsidRPr="00D12C6F">
        <w:t>Australian victims of terrorism overseas payment</w:t>
      </w:r>
      <w:bookmarkEnd w:id="146"/>
    </w:p>
    <w:p w14:paraId="5E2C2BCC" w14:textId="41B9CB1B" w:rsidR="009676E0" w:rsidRPr="00D12C6F" w:rsidRDefault="009676E0" w:rsidP="009676E0">
      <w:bookmarkStart w:id="147" w:name="_Hlk183617417"/>
      <w:r w:rsidRPr="00D12C6F">
        <w:t xml:space="preserve">The </w:t>
      </w:r>
      <w:r w:rsidRPr="00D12C6F">
        <w:rPr>
          <w:i/>
          <w:iCs/>
        </w:rPr>
        <w:t>Social Security Amendment (Supporting Australian Victims of Terrorism Overseas) Act 2012</w:t>
      </w:r>
      <w:r w:rsidRPr="00D12C6F">
        <w:t xml:space="preserve"> amended the </w:t>
      </w:r>
      <w:r w:rsidRPr="00D12C6F">
        <w:rPr>
          <w:i/>
          <w:iCs/>
        </w:rPr>
        <w:t>Social Security Act 1991</w:t>
      </w:r>
      <w:r w:rsidRPr="00D12C6F">
        <w:t xml:space="preserve"> to create a scheme to provide financial assistance to Australian residents who are victims of an overseas terrorist act that has been declared by the Prime Minister. The scheme commenced on 22 January 2013. Under the scheme, Australian residents who are harmed (primary victims) or whose close family member dies (secondary victims) as a direct result of a declared terrorist act are eligible to claim one</w:t>
      </w:r>
      <w:r w:rsidR="00880FAB">
        <w:noBreakHyphen/>
      </w:r>
      <w:r w:rsidRPr="00D12C6F">
        <w:t xml:space="preserve">off payments of up to $75,000. As acts of terrorism are unpredictable, and the declaration of overseas terrorists acts discretionary, the cost of the scheme is unquantifiable. </w:t>
      </w:r>
    </w:p>
    <w:p w14:paraId="5F992BFD" w14:textId="77777777" w:rsidR="009676E0" w:rsidRPr="00D12C6F" w:rsidRDefault="009676E0" w:rsidP="009676E0">
      <w:pPr>
        <w:pStyle w:val="Heading4"/>
      </w:pPr>
      <w:r w:rsidRPr="00D12C6F">
        <w:lastRenderedPageBreak/>
        <w:t>Claims against the Department of Home Affairs</w:t>
      </w:r>
    </w:p>
    <w:p w14:paraId="123984EB" w14:textId="77777777" w:rsidR="009676E0" w:rsidRPr="00D12C6F" w:rsidRDefault="009676E0" w:rsidP="009676E0">
      <w:r w:rsidRPr="00D12C6F">
        <w:t xml:space="preserve">The Department of Home Affairs is involved in a wide range of litigation and other claims for damages or compensation. </w:t>
      </w:r>
    </w:p>
    <w:p w14:paraId="65555201" w14:textId="78960F8C" w:rsidR="009676E0" w:rsidRPr="00D12C6F" w:rsidRDefault="009676E0" w:rsidP="009676E0">
      <w:r w:rsidRPr="00D12C6F">
        <w:t>Litigation before the courts raises potentially significant but unquantifiable contingent liabilities. In addition to generally being unquantifiable, disclosure of estimated compensation (where known) could prejudice the Commonwealth</w:t>
      </w:r>
      <w:r w:rsidR="00880FAB">
        <w:t>’</w:t>
      </w:r>
      <w:r w:rsidRPr="00D12C6F">
        <w:t>s position in litigation or settlement negotiations.</w:t>
      </w:r>
    </w:p>
    <w:p w14:paraId="4AA105D0" w14:textId="77777777" w:rsidR="009676E0" w:rsidRPr="00D12C6F" w:rsidRDefault="009676E0" w:rsidP="009676E0">
      <w:pPr>
        <w:pStyle w:val="Heading4"/>
      </w:pPr>
      <w:r w:rsidRPr="00D12C6F">
        <w:t>Commonwealth Community Safety Order Scheme – Federation Funding Agreement – indemnity</w:t>
      </w:r>
    </w:p>
    <w:p w14:paraId="1E68CDB6" w14:textId="24F7E1A6" w:rsidR="009676E0" w:rsidRPr="00D12C6F" w:rsidRDefault="009676E0" w:rsidP="009676E0">
      <w:pPr>
        <w:rPr>
          <w:rFonts w:eastAsia="Calibri"/>
        </w:rPr>
      </w:pPr>
      <w:bookmarkStart w:id="148" w:name="_Hlk183617286"/>
      <w:bookmarkStart w:id="149" w:name="_Hlk183617469"/>
      <w:bookmarkStart w:id="150" w:name="_Hlk192249278"/>
      <w:bookmarkEnd w:id="147"/>
      <w:r w:rsidRPr="00D12C6F">
        <w:rPr>
          <w:rFonts w:eastAsia="Calibri"/>
        </w:rPr>
        <w:t>The Department of Home Affairs has negotiated arrangements for the Community Safety Order Scheme and, on behalf of the Commonwealth, entered into a Federation Funding Agreement (FFA) with New South Wales (NSW) that ended on 30 June</w:t>
      </w:r>
      <w:r>
        <w:rPr>
          <w:rFonts w:eastAsia="Calibri"/>
        </w:rPr>
        <w:t> </w:t>
      </w:r>
      <w:r w:rsidRPr="00D12C6F">
        <w:rPr>
          <w:rFonts w:eastAsia="Calibri"/>
        </w:rPr>
        <w:t>2025. An extension to the FFA covering the period from 1</w:t>
      </w:r>
      <w:r>
        <w:rPr>
          <w:rFonts w:eastAsia="Calibri"/>
        </w:rPr>
        <w:t> </w:t>
      </w:r>
      <w:r w:rsidRPr="00D12C6F">
        <w:rPr>
          <w:rFonts w:eastAsia="Calibri"/>
        </w:rPr>
        <w:t>July</w:t>
      </w:r>
      <w:r>
        <w:rPr>
          <w:rFonts w:eastAsia="Calibri"/>
        </w:rPr>
        <w:t> </w:t>
      </w:r>
      <w:r w:rsidRPr="00D12C6F">
        <w:rPr>
          <w:rFonts w:eastAsia="Calibri"/>
        </w:rPr>
        <w:t>2025 to 30</w:t>
      </w:r>
      <w:r>
        <w:rPr>
          <w:rFonts w:eastAsia="Calibri"/>
        </w:rPr>
        <w:t> </w:t>
      </w:r>
      <w:r w:rsidRPr="00D12C6F">
        <w:rPr>
          <w:rFonts w:eastAsia="Calibri"/>
        </w:rPr>
        <w:t>June</w:t>
      </w:r>
      <w:r>
        <w:rPr>
          <w:rFonts w:eastAsia="Calibri"/>
        </w:rPr>
        <w:t> </w:t>
      </w:r>
      <w:r w:rsidRPr="00D12C6F">
        <w:rPr>
          <w:rFonts w:eastAsia="Calibri"/>
        </w:rPr>
        <w:t>2026 is currently being finalised. The FFA provides for the delivery of services including evidence collection, specialist legal support, accommodation (in prison) and case management support for offenders in the community.</w:t>
      </w:r>
    </w:p>
    <w:p w14:paraId="35A88E18" w14:textId="77777777" w:rsidR="009676E0" w:rsidRPr="00D12C6F" w:rsidRDefault="009676E0" w:rsidP="009676E0">
      <w:pPr>
        <w:rPr>
          <w:rFonts w:eastAsia="Calibri"/>
        </w:rPr>
      </w:pPr>
      <w:r w:rsidRPr="00D12C6F">
        <w:rPr>
          <w:rFonts w:eastAsia="Calibri"/>
        </w:rPr>
        <w:t xml:space="preserve">The accommodation component of the services is governed by a housing agreement that stipulates baseline detention under a Community Safety Detention Order. The housing agreement indemnifies NSW, and each of its employees, officers and agents, for all costs reasonably sustained or incurred in the operation of the housing agreement. </w:t>
      </w:r>
      <w:bookmarkEnd w:id="148"/>
      <w:bookmarkEnd w:id="149"/>
    </w:p>
    <w:bookmarkEnd w:id="150"/>
    <w:p w14:paraId="1E5FF36E" w14:textId="77777777" w:rsidR="009676E0" w:rsidRPr="00D12C6F" w:rsidRDefault="009676E0" w:rsidP="009676E0">
      <w:pPr>
        <w:pStyle w:val="Heading4"/>
        <w:rPr>
          <w:rFonts w:eastAsia="Arial"/>
        </w:rPr>
      </w:pPr>
      <w:r w:rsidRPr="00D12C6F">
        <w:rPr>
          <w:rFonts w:eastAsia="Arial"/>
        </w:rPr>
        <w:t>Disaster Recovery</w:t>
      </w:r>
    </w:p>
    <w:p w14:paraId="620A8C17" w14:textId="788AD377" w:rsidR="009676E0" w:rsidRPr="00D12C6F" w:rsidRDefault="009676E0" w:rsidP="009676E0">
      <w:pPr>
        <w:rPr>
          <w:rFonts w:eastAsia="Arial"/>
        </w:rPr>
      </w:pPr>
      <w:r w:rsidRPr="00D12C6F">
        <w:t>The Government provides funding to states and territories through the jointly</w:t>
      </w:r>
      <w:r w:rsidR="00880FAB">
        <w:noBreakHyphen/>
      </w:r>
      <w:r w:rsidRPr="00D12C6F">
        <w:t>funded Commonwealth</w:t>
      </w:r>
      <w:r w:rsidR="00880FAB">
        <w:noBreakHyphen/>
      </w:r>
      <w:r w:rsidRPr="00D12C6F">
        <w:t xml:space="preserve">State Disaster Recovery Funding Arrangements (DRFA) to assist with natural disaster relief and recovery costs. A state or territory may make a claim if a natural disaster occurs and relief and recovery expenditure for that event meets the thresholds set out in the DRFA. </w:t>
      </w:r>
    </w:p>
    <w:p w14:paraId="49AD32FC" w14:textId="0852B6C4" w:rsidR="009676E0" w:rsidRPr="00D12C6F" w:rsidRDefault="009676E0" w:rsidP="009676E0">
      <w:r w:rsidRPr="00D12C6F">
        <w:t>The forward estimates for the DRFA include preliminary estimates of costs for past events, based on the best information available at the time of preparation. Preliminary estimates of the cost of disaster relief and recovery and the timing of expenditure are subject to change. The total cost of relief and recovery from past events may not be completely realised for several years.</w:t>
      </w:r>
      <w:r w:rsidRPr="00D12C6F" w:rsidDel="00FB5C25">
        <w:t xml:space="preserve"> </w:t>
      </w:r>
      <w:r w:rsidRPr="00D12C6F">
        <w:t>The cost of DRFA funding for future disasters is unquantifiable and is not included in the forward estimates.</w:t>
      </w:r>
    </w:p>
    <w:p w14:paraId="2DE3256C" w14:textId="77777777" w:rsidR="009676E0" w:rsidRPr="00D12C6F" w:rsidRDefault="009676E0" w:rsidP="009676E0">
      <w:r w:rsidRPr="00D12C6F">
        <w:t>For major disasters, the Government may approve payments to individuals, such as the Australian Government Disaster Recovery Payment (AGDRP) and Disaster Recovery Allowance (DRA). As natural disasters and their impacts are unpredictable, the cost of these payments for future disasters is unquantifiable and is not included in the forward estimates.</w:t>
      </w:r>
    </w:p>
    <w:p w14:paraId="045F9664" w14:textId="5C89040C" w:rsidR="009676E0" w:rsidRPr="00D12C6F" w:rsidRDefault="009676E0" w:rsidP="009676E0">
      <w:r w:rsidRPr="00D12C6F">
        <w:lastRenderedPageBreak/>
        <w:t>The full impact of recent events across the 2025</w:t>
      </w:r>
      <w:r>
        <w:t>–</w:t>
      </w:r>
      <w:r w:rsidRPr="00D12C6F">
        <w:t>26 higher risk weather season is unknown. Any assistance provided under the DRFA, AGDRP or DRA may have further impacts on expenditure that are currently unquantifiable.</w:t>
      </w:r>
    </w:p>
    <w:p w14:paraId="621931C6" w14:textId="77777777" w:rsidR="009676E0" w:rsidRPr="00D12C6F" w:rsidRDefault="009676E0" w:rsidP="009676E0">
      <w:pPr>
        <w:pStyle w:val="Heading4"/>
      </w:pPr>
      <w:r w:rsidRPr="00D12C6F">
        <w:t>Facilities, garrison, transferee arrivals and reception, and health services in the Republic of Nauru</w:t>
      </w:r>
    </w:p>
    <w:p w14:paraId="7B9762A6" w14:textId="77777777" w:rsidR="009676E0" w:rsidRPr="00D12C6F" w:rsidRDefault="009676E0" w:rsidP="009676E0">
      <w:pPr>
        <w:rPr>
          <w:rFonts w:eastAsia="Book Antiqua"/>
        </w:rPr>
      </w:pPr>
      <w:r w:rsidRPr="00D12C6F">
        <w:rPr>
          <w:rFonts w:eastAsia="Book Antiqua"/>
        </w:rPr>
        <w:t xml:space="preserve">The Department of Home Affairs </w:t>
      </w:r>
      <w:proofErr w:type="gramStart"/>
      <w:r w:rsidRPr="00D12C6F">
        <w:rPr>
          <w:rFonts w:eastAsia="Book Antiqua"/>
        </w:rPr>
        <w:t xml:space="preserve">entered </w:t>
      </w:r>
      <w:r w:rsidRPr="00D12C6F" w:rsidDel="0045436C">
        <w:rPr>
          <w:rFonts w:eastAsia="Book Antiqua"/>
        </w:rPr>
        <w:t>into</w:t>
      </w:r>
      <w:proofErr w:type="gramEnd"/>
      <w:r w:rsidRPr="00D12C6F" w:rsidDel="0045436C">
        <w:rPr>
          <w:rFonts w:eastAsia="Book Antiqua"/>
        </w:rPr>
        <w:t xml:space="preserve"> </w:t>
      </w:r>
      <w:r w:rsidRPr="00D12C6F">
        <w:t xml:space="preserve">two </w:t>
      </w:r>
      <w:r w:rsidRPr="00D12C6F">
        <w:rPr>
          <w:rFonts w:eastAsia="Book Antiqua"/>
        </w:rPr>
        <w:t>contracts for the provision of services and facilities in the Republic of Nauru in relation to regional processing arrangements with the following entities:</w:t>
      </w:r>
    </w:p>
    <w:p w14:paraId="79B085D1" w14:textId="1AD97ABD" w:rsidR="009676E0" w:rsidRPr="00D12C6F" w:rsidRDefault="009676E0" w:rsidP="009676E0">
      <w:pPr>
        <w:pStyle w:val="Bullet"/>
        <w:rPr>
          <w:rFonts w:eastAsia="Book Antiqua"/>
        </w:rPr>
      </w:pPr>
      <w:r w:rsidRPr="00D12C6F">
        <w:rPr>
          <w:rFonts w:eastAsia="Book Antiqua"/>
        </w:rPr>
        <w:t xml:space="preserve">Management &amp; Training Corporation Pty Ltd </w:t>
      </w:r>
      <w:r w:rsidRPr="00D12C6F">
        <w:t>(MTC), which commenced on 1 October 2022, for the provision of facilities, garrison and transferee arrival and reception services. The contract includes a provision that limits MTC</w:t>
      </w:r>
      <w:r w:rsidR="00880FAB">
        <w:t>’</w:t>
      </w:r>
      <w:r w:rsidRPr="00D12C6F">
        <w:t>s liability to the Commonwealth to a maximum of $200 million in aggregate for the term of the contract.</w:t>
      </w:r>
      <w:r w:rsidRPr="00D12C6F">
        <w:rPr>
          <w:rFonts w:eastAsia="Book Antiqua"/>
        </w:rPr>
        <w:t xml:space="preserve"> </w:t>
      </w:r>
      <w:r w:rsidRPr="00D12C6F">
        <w:t>The limitation of liability does not apply to loss arising from claims in relation to death or bodily injury, disease or illness of any person caused by MTC</w:t>
      </w:r>
      <w:r w:rsidR="00880FAB">
        <w:t>’</w:t>
      </w:r>
      <w:r w:rsidRPr="00D12C6F">
        <w:t>s breach of contract, negligent act or omission, wilful default, or breach of law. The limitation of liability also does not apply to loss arising from: criminal acts, malicious damage or wilful default of the service provider or its subcontractors; statutory penalties; breach of privacy legislation; breach of confidentiality; third party claims in relation to infringement of intellectual property rights; or claims brought by third parties to the extent they are caused by the breach of contract, wilful default, or negligence of the service provider.</w:t>
      </w:r>
    </w:p>
    <w:p w14:paraId="040AAB86" w14:textId="64EF276F" w:rsidR="009676E0" w:rsidRPr="00D12C6F" w:rsidRDefault="009676E0" w:rsidP="009676E0">
      <w:pPr>
        <w:pStyle w:val="Bullet"/>
      </w:pPr>
      <w:r w:rsidRPr="00D12C6F">
        <w:t>International Health and Medical Services Pty Ltd (IHMS), which commenced on 13 August</w:t>
      </w:r>
      <w:r w:rsidR="001370F4">
        <w:t> 2022</w:t>
      </w:r>
      <w:r w:rsidRPr="00D12C6F">
        <w:t>, for the provision of health services in the Republic of Nauru. The contract includes a provision that limits IHMS</w:t>
      </w:r>
      <w:r w:rsidR="00880FAB">
        <w:t>’</w:t>
      </w:r>
      <w:r w:rsidRPr="00D12C6F">
        <w:t xml:space="preserve"> liability to the Commonwealth with an indemnity limit of no less than $45 million in respect of </w:t>
      </w:r>
      <w:proofErr w:type="gramStart"/>
      <w:r w:rsidRPr="00D12C6F">
        <w:t>each and every</w:t>
      </w:r>
      <w:proofErr w:type="gramEnd"/>
      <w:r w:rsidRPr="00D12C6F">
        <w:t xml:space="preserve"> occurrence, and in respect of product liability only, and in the aggregate for all occurrences arising during any 12</w:t>
      </w:r>
      <w:r w:rsidR="00880FAB">
        <w:noBreakHyphen/>
      </w:r>
      <w:r w:rsidRPr="00D12C6F">
        <w:t>month policy period. The limitation of liability does not apply to loss arising from claims in relation to death or bodily injury, disease or illness (including mental health) of any person caused by IHMS</w:t>
      </w:r>
      <w:r w:rsidR="00880FAB">
        <w:t>’</w:t>
      </w:r>
      <w:r w:rsidRPr="00D12C6F">
        <w:t xml:space="preserve"> breach of contract, negligent act or omission, wilful default, or breach of law. The limitation of liability also does not apply to loss arising from: criminal acts, malicious damage or wilful default of the service provider or its subcontractors; statutory penalties; liability that cannot be excluded at law; breach of privacy legislation; breach of confidentiality; third party claims in relation to infringement of intellectual property rights; or claims brought by third parties to the extent they are caused by the breach of contract, wilful default, or negligence of the service provider.</w:t>
      </w:r>
    </w:p>
    <w:p w14:paraId="6275B709" w14:textId="77777777" w:rsidR="009676E0" w:rsidRPr="00456244" w:rsidRDefault="009676E0" w:rsidP="009676E0">
      <w:pPr>
        <w:rPr>
          <w:rFonts w:eastAsia="Arial"/>
        </w:rPr>
      </w:pPr>
      <w:bookmarkStart w:id="151" w:name="_Toc71117831"/>
      <w:r>
        <w:rPr>
          <w:rFonts w:eastAsia="Arial"/>
        </w:rPr>
        <w:br w:type="page"/>
      </w:r>
    </w:p>
    <w:p w14:paraId="2862EC41" w14:textId="6B313319" w:rsidR="009676E0" w:rsidRPr="00D12C6F" w:rsidRDefault="009676E0" w:rsidP="009676E0">
      <w:pPr>
        <w:pStyle w:val="Heading4"/>
        <w:rPr>
          <w:rFonts w:eastAsia="Arial"/>
        </w:rPr>
      </w:pPr>
      <w:r w:rsidRPr="00D12C6F">
        <w:rPr>
          <w:rFonts w:eastAsia="Arial"/>
        </w:rPr>
        <w:lastRenderedPageBreak/>
        <w:t>Immigration detention services by state and territory government</w:t>
      </w:r>
      <w:r>
        <w:rPr>
          <w:rFonts w:eastAsia="Arial"/>
        </w:rPr>
        <w:t>s</w:t>
      </w:r>
    </w:p>
    <w:bookmarkEnd w:id="151"/>
    <w:p w14:paraId="760E3268" w14:textId="77777777" w:rsidR="009676E0" w:rsidRPr="00D12C6F" w:rsidRDefault="009676E0" w:rsidP="009676E0">
      <w:r w:rsidRPr="00D12C6F">
        <w:t xml:space="preserve">The Department of Home Affairs has negotiated arrangements with some state and territory governments for the provision of various services (including health, corrective and policing services) to immigration detention facilities and people in immigration detention. </w:t>
      </w:r>
    </w:p>
    <w:p w14:paraId="543F57D0" w14:textId="77777777" w:rsidR="00B3441A" w:rsidRPr="00D12C6F" w:rsidRDefault="009676E0" w:rsidP="009676E0">
      <w:r w:rsidRPr="00D12C6F">
        <w:t>Some jurisdictions have indemnities from the Australian Government for the provision of these services. The agreements below provide indemnities relating to any damage or loss incurred by state and territory governments arising out of, or incidental to, the provision of services under these agreements.</w:t>
      </w:r>
    </w:p>
    <w:tbl>
      <w:tblPr>
        <w:tblW w:w="5000" w:type="pct"/>
        <w:tblCellMar>
          <w:left w:w="0" w:type="dxa"/>
          <w:right w:w="28" w:type="dxa"/>
        </w:tblCellMar>
        <w:tblLook w:val="04A0" w:firstRow="1" w:lastRow="0" w:firstColumn="1" w:lastColumn="0" w:noHBand="0" w:noVBand="1"/>
      </w:tblPr>
      <w:tblGrid>
        <w:gridCol w:w="1419"/>
        <w:gridCol w:w="1416"/>
        <w:gridCol w:w="4876"/>
      </w:tblGrid>
      <w:tr w:rsidR="009F04C2" w:rsidRPr="00880FAB" w14:paraId="20815C24" w14:textId="77777777" w:rsidTr="009D7FF6">
        <w:trPr>
          <w:trHeight w:val="340"/>
        </w:trPr>
        <w:tc>
          <w:tcPr>
            <w:tcW w:w="920" w:type="pct"/>
            <w:tcBorders>
              <w:top w:val="single" w:sz="4" w:space="0" w:color="293F5B"/>
              <w:left w:val="nil"/>
              <w:bottom w:val="single" w:sz="4" w:space="0" w:color="293F5B"/>
              <w:right w:val="nil"/>
            </w:tcBorders>
            <w:shd w:val="clear" w:color="000000" w:fill="E6F2FF"/>
            <w:tcMar>
              <w:left w:w="108" w:type="dxa"/>
              <w:right w:w="108" w:type="dxa"/>
            </w:tcMar>
            <w:vAlign w:val="center"/>
            <w:hideMark/>
          </w:tcPr>
          <w:p w14:paraId="1D18AEA4" w14:textId="77777777" w:rsidR="00B3441A" w:rsidRPr="00880FAB" w:rsidRDefault="00B3441A" w:rsidP="000C3629">
            <w:pPr>
              <w:pStyle w:val="TableColumnHeadingLeft"/>
              <w:rPr>
                <w:rFonts w:ascii="Arial" w:hAnsi="Arial" w:cs="Arial"/>
                <w:b w:val="0"/>
                <w:bCs/>
                <w:color w:val="000000"/>
                <w:szCs w:val="16"/>
              </w:rPr>
            </w:pPr>
            <w:r w:rsidRPr="00880FAB">
              <w:t>Jurisdiction</w:t>
            </w:r>
          </w:p>
        </w:tc>
        <w:tc>
          <w:tcPr>
            <w:tcW w:w="918" w:type="pct"/>
            <w:tcBorders>
              <w:top w:val="single" w:sz="4" w:space="0" w:color="293F5B"/>
              <w:left w:val="nil"/>
              <w:bottom w:val="nil"/>
              <w:right w:val="nil"/>
            </w:tcBorders>
            <w:shd w:val="clear" w:color="000000" w:fill="E6F2FF"/>
            <w:tcMar>
              <w:left w:w="108" w:type="dxa"/>
              <w:right w:w="108" w:type="dxa"/>
            </w:tcMar>
            <w:vAlign w:val="center"/>
            <w:hideMark/>
          </w:tcPr>
          <w:p w14:paraId="56F08884" w14:textId="77777777" w:rsidR="00B3441A" w:rsidRPr="00880FAB" w:rsidRDefault="00B3441A" w:rsidP="000C3629">
            <w:pPr>
              <w:pStyle w:val="TableColumnHeadingLeft"/>
              <w:rPr>
                <w:rFonts w:ascii="Arial" w:hAnsi="Arial" w:cs="Arial"/>
                <w:b w:val="0"/>
                <w:bCs/>
                <w:color w:val="000000"/>
                <w:szCs w:val="16"/>
              </w:rPr>
            </w:pPr>
            <w:r w:rsidRPr="00880FAB">
              <w:t>Service Stream</w:t>
            </w:r>
          </w:p>
        </w:tc>
        <w:tc>
          <w:tcPr>
            <w:tcW w:w="3162" w:type="pct"/>
            <w:tcBorders>
              <w:top w:val="single" w:sz="4" w:space="0" w:color="293F5B"/>
              <w:left w:val="nil"/>
              <w:bottom w:val="nil"/>
              <w:right w:val="nil"/>
            </w:tcBorders>
            <w:shd w:val="clear" w:color="000000" w:fill="E6F2FF"/>
            <w:tcMar>
              <w:left w:w="108" w:type="dxa"/>
              <w:right w:w="108" w:type="dxa"/>
            </w:tcMar>
            <w:vAlign w:val="center"/>
            <w:hideMark/>
          </w:tcPr>
          <w:p w14:paraId="64B21FF8" w14:textId="77777777" w:rsidR="00B3441A" w:rsidRPr="00880FAB" w:rsidRDefault="00B3441A" w:rsidP="000C3629">
            <w:pPr>
              <w:pStyle w:val="TableColumnHeadingLeft"/>
              <w:rPr>
                <w:rFonts w:ascii="Arial" w:hAnsi="Arial" w:cs="Arial"/>
                <w:b w:val="0"/>
                <w:bCs/>
                <w:color w:val="000000"/>
                <w:szCs w:val="16"/>
              </w:rPr>
            </w:pPr>
            <w:r w:rsidRPr="00880FAB">
              <w:t>Details</w:t>
            </w:r>
          </w:p>
        </w:tc>
      </w:tr>
      <w:tr w:rsidR="00B3441A" w:rsidRPr="00880FAB" w14:paraId="3E97763F" w14:textId="77777777" w:rsidTr="009D7FF6">
        <w:trPr>
          <w:trHeight w:val="368"/>
        </w:trPr>
        <w:tc>
          <w:tcPr>
            <w:tcW w:w="920" w:type="pct"/>
            <w:tcBorders>
              <w:top w:val="nil"/>
              <w:left w:val="nil"/>
              <w:bottom w:val="nil"/>
              <w:right w:val="nil"/>
            </w:tcBorders>
            <w:tcMar>
              <w:left w:w="108" w:type="dxa"/>
              <w:right w:w="108" w:type="dxa"/>
            </w:tcMar>
            <w:vAlign w:val="center"/>
            <w:hideMark/>
          </w:tcPr>
          <w:p w14:paraId="1DB88BE6" w14:textId="77777777" w:rsidR="00B3441A" w:rsidRPr="00880FAB" w:rsidRDefault="00B3441A" w:rsidP="000C3629">
            <w:pPr>
              <w:pStyle w:val="TableTextLeft"/>
              <w:rPr>
                <w:rFonts w:cs="Arial"/>
                <w:color w:val="000000"/>
                <w:szCs w:val="16"/>
              </w:rPr>
            </w:pPr>
            <w:r w:rsidRPr="00880FAB">
              <w:t>Christmas Island</w:t>
            </w:r>
          </w:p>
        </w:tc>
        <w:tc>
          <w:tcPr>
            <w:tcW w:w="918" w:type="pct"/>
            <w:tcBorders>
              <w:top w:val="single" w:sz="4" w:space="0" w:color="293F5B"/>
              <w:left w:val="nil"/>
              <w:bottom w:val="nil"/>
              <w:right w:val="nil"/>
            </w:tcBorders>
            <w:tcMar>
              <w:left w:w="108" w:type="dxa"/>
              <w:right w:w="108" w:type="dxa"/>
            </w:tcMar>
            <w:vAlign w:val="center"/>
            <w:hideMark/>
          </w:tcPr>
          <w:p w14:paraId="4BDBC095" w14:textId="77777777" w:rsidR="00B3441A" w:rsidRPr="00880FAB" w:rsidRDefault="00B3441A" w:rsidP="000C3629">
            <w:pPr>
              <w:pStyle w:val="TableTextLeft"/>
              <w:rPr>
                <w:rFonts w:cs="Arial"/>
                <w:color w:val="000000"/>
                <w:szCs w:val="16"/>
              </w:rPr>
            </w:pPr>
            <w:r w:rsidRPr="00880FAB">
              <w:t>Health</w:t>
            </w:r>
          </w:p>
        </w:tc>
        <w:tc>
          <w:tcPr>
            <w:tcW w:w="3162" w:type="pct"/>
            <w:tcBorders>
              <w:top w:val="single" w:sz="4" w:space="0" w:color="293F5B"/>
              <w:left w:val="nil"/>
              <w:bottom w:val="nil"/>
              <w:right w:val="nil"/>
            </w:tcBorders>
            <w:tcMar>
              <w:left w:w="108" w:type="dxa"/>
              <w:right w:w="108" w:type="dxa"/>
            </w:tcMar>
            <w:vAlign w:val="center"/>
            <w:hideMark/>
          </w:tcPr>
          <w:p w14:paraId="4877FFA7" w14:textId="77777777" w:rsidR="00B3441A" w:rsidRPr="00880FAB" w:rsidRDefault="00B3441A" w:rsidP="000C3629">
            <w:pPr>
              <w:pStyle w:val="TableTextLeft"/>
              <w:rPr>
                <w:rFonts w:cs="Arial"/>
                <w:color w:val="000000"/>
                <w:szCs w:val="16"/>
              </w:rPr>
            </w:pPr>
            <w:r w:rsidRPr="00880FAB">
              <w:t>$5 million per claim or event</w:t>
            </w:r>
          </w:p>
        </w:tc>
      </w:tr>
      <w:tr w:rsidR="00B3441A" w:rsidRPr="00880FAB" w14:paraId="7BFB1184" w14:textId="77777777" w:rsidTr="009D7FF6">
        <w:trPr>
          <w:trHeight w:val="437"/>
        </w:trPr>
        <w:tc>
          <w:tcPr>
            <w:tcW w:w="920" w:type="pct"/>
            <w:tcBorders>
              <w:top w:val="single" w:sz="4" w:space="0" w:color="293F5B"/>
              <w:left w:val="nil"/>
              <w:bottom w:val="nil"/>
              <w:right w:val="nil"/>
            </w:tcBorders>
            <w:tcMar>
              <w:left w:w="108" w:type="dxa"/>
              <w:right w:w="108" w:type="dxa"/>
            </w:tcMar>
            <w:vAlign w:val="center"/>
            <w:hideMark/>
          </w:tcPr>
          <w:p w14:paraId="53A01ACA" w14:textId="77777777" w:rsidR="00B3441A" w:rsidRPr="00880FAB" w:rsidRDefault="00B3441A" w:rsidP="000C3629">
            <w:pPr>
              <w:pStyle w:val="TableTextLeft"/>
              <w:rPr>
                <w:rFonts w:cs="Arial"/>
                <w:color w:val="000000"/>
                <w:szCs w:val="16"/>
              </w:rPr>
            </w:pPr>
            <w:r w:rsidRPr="00880FAB">
              <w:t>NSW</w:t>
            </w:r>
          </w:p>
        </w:tc>
        <w:tc>
          <w:tcPr>
            <w:tcW w:w="918" w:type="pct"/>
            <w:tcBorders>
              <w:top w:val="single" w:sz="4" w:space="0" w:color="293F5B"/>
              <w:left w:val="nil"/>
              <w:bottom w:val="nil"/>
              <w:right w:val="nil"/>
            </w:tcBorders>
            <w:tcMar>
              <w:left w:w="108" w:type="dxa"/>
              <w:right w:w="108" w:type="dxa"/>
            </w:tcMar>
            <w:vAlign w:val="center"/>
            <w:hideMark/>
          </w:tcPr>
          <w:p w14:paraId="4030914C" w14:textId="77777777" w:rsidR="00B3441A" w:rsidRPr="00880FAB" w:rsidRDefault="00B3441A" w:rsidP="000C3629">
            <w:pPr>
              <w:pStyle w:val="TableTextLeft"/>
              <w:rPr>
                <w:rFonts w:cs="Arial"/>
                <w:color w:val="000000"/>
                <w:szCs w:val="16"/>
              </w:rPr>
            </w:pPr>
            <w:r w:rsidRPr="00880FAB">
              <w:t>Corrections</w:t>
            </w:r>
          </w:p>
        </w:tc>
        <w:tc>
          <w:tcPr>
            <w:tcW w:w="3162" w:type="pct"/>
            <w:tcBorders>
              <w:top w:val="single" w:sz="4" w:space="0" w:color="293F5B"/>
              <w:left w:val="nil"/>
              <w:bottom w:val="nil"/>
              <w:right w:val="nil"/>
            </w:tcBorders>
            <w:tcMar>
              <w:left w:w="108" w:type="dxa"/>
              <w:right w:w="108" w:type="dxa"/>
            </w:tcMar>
            <w:vAlign w:val="center"/>
            <w:hideMark/>
          </w:tcPr>
          <w:p w14:paraId="2242E940" w14:textId="77777777" w:rsidR="00B3441A" w:rsidRPr="00880FAB" w:rsidRDefault="00B3441A" w:rsidP="000C3629">
            <w:pPr>
              <w:pStyle w:val="TableTextLeft"/>
              <w:rPr>
                <w:rFonts w:cs="Arial"/>
                <w:color w:val="000000"/>
                <w:szCs w:val="16"/>
              </w:rPr>
            </w:pPr>
            <w:r w:rsidRPr="00880FAB">
              <w:t>Uncapped – with a risk rating assessment, no more than $30 million per event</w:t>
            </w:r>
          </w:p>
        </w:tc>
      </w:tr>
      <w:tr w:rsidR="00B3441A" w:rsidRPr="00880FAB" w14:paraId="2E87B0DC" w14:textId="77777777" w:rsidTr="009D7FF6">
        <w:trPr>
          <w:trHeight w:val="368"/>
        </w:trPr>
        <w:tc>
          <w:tcPr>
            <w:tcW w:w="920" w:type="pct"/>
            <w:tcBorders>
              <w:top w:val="nil"/>
              <w:left w:val="nil"/>
              <w:bottom w:val="single" w:sz="4" w:space="0" w:color="293F5B"/>
              <w:right w:val="nil"/>
            </w:tcBorders>
            <w:tcMar>
              <w:left w:w="108" w:type="dxa"/>
              <w:right w:w="108" w:type="dxa"/>
            </w:tcMar>
            <w:vAlign w:val="center"/>
            <w:hideMark/>
          </w:tcPr>
          <w:p w14:paraId="69DBE9EA" w14:textId="77777777" w:rsidR="00B3441A" w:rsidRPr="00880FAB" w:rsidRDefault="00B3441A" w:rsidP="000C3629">
            <w:pPr>
              <w:pStyle w:val="TableTextLeft"/>
              <w:rPr>
                <w:rFonts w:cs="Arial"/>
                <w:color w:val="000000"/>
                <w:szCs w:val="16"/>
              </w:rPr>
            </w:pPr>
            <w:r w:rsidRPr="00880FAB">
              <w:t> </w:t>
            </w:r>
          </w:p>
        </w:tc>
        <w:tc>
          <w:tcPr>
            <w:tcW w:w="918" w:type="pct"/>
            <w:tcBorders>
              <w:top w:val="single" w:sz="4" w:space="0" w:color="293F5B"/>
              <w:left w:val="nil"/>
              <w:bottom w:val="single" w:sz="4" w:space="0" w:color="293F5B"/>
              <w:right w:val="nil"/>
            </w:tcBorders>
            <w:tcMar>
              <w:left w:w="108" w:type="dxa"/>
              <w:right w:w="108" w:type="dxa"/>
            </w:tcMar>
            <w:vAlign w:val="center"/>
            <w:hideMark/>
          </w:tcPr>
          <w:p w14:paraId="34A9A4AE" w14:textId="77777777" w:rsidR="00B3441A" w:rsidRPr="00880FAB" w:rsidRDefault="00B3441A" w:rsidP="000C3629">
            <w:pPr>
              <w:pStyle w:val="TableTextLeft"/>
              <w:rPr>
                <w:rFonts w:cs="Arial"/>
                <w:color w:val="000000"/>
                <w:szCs w:val="16"/>
              </w:rPr>
            </w:pPr>
            <w:r w:rsidRPr="00880FAB">
              <w:t>Police</w:t>
            </w:r>
          </w:p>
        </w:tc>
        <w:tc>
          <w:tcPr>
            <w:tcW w:w="3162" w:type="pct"/>
            <w:tcBorders>
              <w:top w:val="single" w:sz="4" w:space="0" w:color="293F5B"/>
              <w:left w:val="nil"/>
              <w:bottom w:val="single" w:sz="4" w:space="0" w:color="293F5B"/>
              <w:right w:val="nil"/>
            </w:tcBorders>
            <w:tcMar>
              <w:left w:w="108" w:type="dxa"/>
              <w:right w:w="108" w:type="dxa"/>
            </w:tcMar>
            <w:vAlign w:val="center"/>
            <w:hideMark/>
          </w:tcPr>
          <w:p w14:paraId="6B1F658D" w14:textId="77777777" w:rsidR="00B3441A" w:rsidRPr="00880FAB" w:rsidRDefault="00B3441A" w:rsidP="000C3629">
            <w:pPr>
              <w:pStyle w:val="TableTextLeft"/>
              <w:rPr>
                <w:rFonts w:cs="Arial"/>
                <w:color w:val="000000"/>
                <w:szCs w:val="16"/>
              </w:rPr>
            </w:pPr>
            <w:r w:rsidRPr="00880FAB">
              <w:t>$5 million per claim or event</w:t>
            </w:r>
          </w:p>
        </w:tc>
      </w:tr>
      <w:tr w:rsidR="00B3441A" w:rsidRPr="00880FAB" w14:paraId="68D45F94" w14:textId="77777777" w:rsidTr="009D7FF6">
        <w:trPr>
          <w:trHeight w:val="368"/>
        </w:trPr>
        <w:tc>
          <w:tcPr>
            <w:tcW w:w="920" w:type="pct"/>
            <w:tcBorders>
              <w:top w:val="nil"/>
              <w:left w:val="nil"/>
              <w:bottom w:val="single" w:sz="4" w:space="0" w:color="293F5B"/>
              <w:right w:val="nil"/>
            </w:tcBorders>
            <w:tcMar>
              <w:left w:w="108" w:type="dxa"/>
              <w:right w:w="108" w:type="dxa"/>
            </w:tcMar>
            <w:vAlign w:val="center"/>
            <w:hideMark/>
          </w:tcPr>
          <w:p w14:paraId="2698AB49" w14:textId="77777777" w:rsidR="00B3441A" w:rsidRPr="00880FAB" w:rsidRDefault="00B3441A" w:rsidP="000C3629">
            <w:pPr>
              <w:pStyle w:val="TableTextLeft"/>
              <w:rPr>
                <w:rFonts w:cs="Arial"/>
                <w:color w:val="000000"/>
                <w:szCs w:val="16"/>
              </w:rPr>
            </w:pPr>
            <w:r w:rsidRPr="00880FAB">
              <w:t>QLD</w:t>
            </w:r>
          </w:p>
        </w:tc>
        <w:tc>
          <w:tcPr>
            <w:tcW w:w="918" w:type="pct"/>
            <w:tcBorders>
              <w:top w:val="nil"/>
              <w:left w:val="nil"/>
              <w:bottom w:val="nil"/>
              <w:right w:val="nil"/>
            </w:tcBorders>
            <w:tcMar>
              <w:left w:w="108" w:type="dxa"/>
              <w:right w:w="108" w:type="dxa"/>
            </w:tcMar>
            <w:vAlign w:val="center"/>
            <w:hideMark/>
          </w:tcPr>
          <w:p w14:paraId="49EFCE4F" w14:textId="77777777" w:rsidR="00B3441A" w:rsidRPr="00880FAB" w:rsidRDefault="00B3441A" w:rsidP="000C3629">
            <w:pPr>
              <w:pStyle w:val="TableTextLeft"/>
              <w:rPr>
                <w:rFonts w:cs="Arial"/>
                <w:color w:val="000000"/>
                <w:szCs w:val="16"/>
              </w:rPr>
            </w:pPr>
            <w:r w:rsidRPr="00880FAB">
              <w:t>Police</w:t>
            </w:r>
          </w:p>
        </w:tc>
        <w:tc>
          <w:tcPr>
            <w:tcW w:w="3162" w:type="pct"/>
            <w:tcBorders>
              <w:top w:val="nil"/>
              <w:left w:val="nil"/>
              <w:bottom w:val="nil"/>
              <w:right w:val="nil"/>
            </w:tcBorders>
            <w:tcMar>
              <w:left w:w="108" w:type="dxa"/>
              <w:right w:w="108" w:type="dxa"/>
            </w:tcMar>
            <w:vAlign w:val="center"/>
            <w:hideMark/>
          </w:tcPr>
          <w:p w14:paraId="0FCA8EC9" w14:textId="0373BE73" w:rsidR="00B3441A" w:rsidRPr="00880FAB" w:rsidRDefault="00B3441A" w:rsidP="000C3629">
            <w:pPr>
              <w:pStyle w:val="TableTextLeft"/>
              <w:rPr>
                <w:rFonts w:cs="Arial"/>
                <w:color w:val="000000"/>
                <w:szCs w:val="16"/>
              </w:rPr>
            </w:pPr>
            <w:r w:rsidRPr="00880FAB">
              <w:t>$5</w:t>
            </w:r>
            <w:r w:rsidR="00AA06F4">
              <w:t> million</w:t>
            </w:r>
            <w:r w:rsidRPr="00880FAB">
              <w:t xml:space="preserve"> per claim or event</w:t>
            </w:r>
          </w:p>
        </w:tc>
      </w:tr>
      <w:tr w:rsidR="00B3441A" w:rsidRPr="00880FAB" w14:paraId="4E649A78" w14:textId="77777777" w:rsidTr="009D7FF6">
        <w:trPr>
          <w:trHeight w:val="368"/>
        </w:trPr>
        <w:tc>
          <w:tcPr>
            <w:tcW w:w="920" w:type="pct"/>
            <w:tcBorders>
              <w:top w:val="nil"/>
              <w:left w:val="nil"/>
              <w:bottom w:val="single" w:sz="4" w:space="0" w:color="293F5B"/>
              <w:right w:val="nil"/>
            </w:tcBorders>
            <w:tcMar>
              <w:left w:w="108" w:type="dxa"/>
              <w:right w:w="108" w:type="dxa"/>
            </w:tcMar>
            <w:vAlign w:val="center"/>
            <w:hideMark/>
          </w:tcPr>
          <w:p w14:paraId="36639133" w14:textId="77777777" w:rsidR="00B3441A" w:rsidRPr="00880FAB" w:rsidRDefault="00B3441A" w:rsidP="000C3629">
            <w:pPr>
              <w:pStyle w:val="TableTextLeft"/>
              <w:rPr>
                <w:rFonts w:cs="Arial"/>
                <w:color w:val="000000"/>
                <w:szCs w:val="16"/>
              </w:rPr>
            </w:pPr>
            <w:r w:rsidRPr="00880FAB">
              <w:t>SA</w:t>
            </w:r>
          </w:p>
        </w:tc>
        <w:tc>
          <w:tcPr>
            <w:tcW w:w="918" w:type="pct"/>
            <w:tcBorders>
              <w:top w:val="single" w:sz="4" w:space="0" w:color="293F5B"/>
              <w:left w:val="nil"/>
              <w:bottom w:val="nil"/>
              <w:right w:val="nil"/>
            </w:tcBorders>
            <w:tcMar>
              <w:left w:w="108" w:type="dxa"/>
              <w:right w:w="108" w:type="dxa"/>
            </w:tcMar>
            <w:vAlign w:val="center"/>
            <w:hideMark/>
          </w:tcPr>
          <w:p w14:paraId="24C6229A" w14:textId="77777777" w:rsidR="00B3441A" w:rsidRPr="00880FAB" w:rsidRDefault="00B3441A" w:rsidP="000C3629">
            <w:pPr>
              <w:pStyle w:val="TableTextLeft"/>
              <w:rPr>
                <w:rFonts w:cs="Arial"/>
                <w:color w:val="000000"/>
                <w:szCs w:val="16"/>
              </w:rPr>
            </w:pPr>
            <w:r w:rsidRPr="00880FAB">
              <w:t>Police</w:t>
            </w:r>
          </w:p>
        </w:tc>
        <w:tc>
          <w:tcPr>
            <w:tcW w:w="3162" w:type="pct"/>
            <w:tcBorders>
              <w:top w:val="single" w:sz="4" w:space="0" w:color="293F5B"/>
              <w:left w:val="nil"/>
              <w:bottom w:val="nil"/>
              <w:right w:val="nil"/>
            </w:tcBorders>
            <w:tcMar>
              <w:left w:w="108" w:type="dxa"/>
              <w:right w:w="108" w:type="dxa"/>
            </w:tcMar>
            <w:vAlign w:val="center"/>
            <w:hideMark/>
          </w:tcPr>
          <w:p w14:paraId="602A35F3" w14:textId="77777777" w:rsidR="00B3441A" w:rsidRPr="00880FAB" w:rsidRDefault="00B3441A" w:rsidP="000C3629">
            <w:pPr>
              <w:pStyle w:val="TableTextLeft"/>
              <w:rPr>
                <w:rFonts w:cs="Arial"/>
                <w:color w:val="000000"/>
                <w:szCs w:val="16"/>
              </w:rPr>
            </w:pPr>
            <w:r w:rsidRPr="00880FAB">
              <w:t>$5 million per claim or event</w:t>
            </w:r>
          </w:p>
        </w:tc>
      </w:tr>
      <w:tr w:rsidR="00B3441A" w:rsidRPr="00880FAB" w14:paraId="75C3D25A" w14:textId="77777777" w:rsidTr="009D7FF6">
        <w:trPr>
          <w:trHeight w:val="368"/>
        </w:trPr>
        <w:tc>
          <w:tcPr>
            <w:tcW w:w="920" w:type="pct"/>
            <w:tcBorders>
              <w:top w:val="nil"/>
              <w:left w:val="nil"/>
              <w:bottom w:val="single" w:sz="4" w:space="0" w:color="293F5B"/>
              <w:right w:val="nil"/>
            </w:tcBorders>
            <w:tcMar>
              <w:left w:w="108" w:type="dxa"/>
              <w:right w:w="108" w:type="dxa"/>
            </w:tcMar>
            <w:vAlign w:val="center"/>
            <w:hideMark/>
          </w:tcPr>
          <w:p w14:paraId="0486DCB7" w14:textId="77777777" w:rsidR="00B3441A" w:rsidRPr="00880FAB" w:rsidRDefault="00B3441A" w:rsidP="000C3629">
            <w:pPr>
              <w:pStyle w:val="TableTextLeft"/>
              <w:rPr>
                <w:rFonts w:cs="Arial"/>
                <w:color w:val="000000"/>
                <w:szCs w:val="16"/>
              </w:rPr>
            </w:pPr>
            <w:r w:rsidRPr="00880FAB">
              <w:t>VIC</w:t>
            </w:r>
          </w:p>
        </w:tc>
        <w:tc>
          <w:tcPr>
            <w:tcW w:w="918" w:type="pct"/>
            <w:tcBorders>
              <w:top w:val="single" w:sz="4" w:space="0" w:color="293F5B"/>
              <w:left w:val="nil"/>
              <w:bottom w:val="nil"/>
              <w:right w:val="nil"/>
            </w:tcBorders>
            <w:tcMar>
              <w:left w:w="108" w:type="dxa"/>
              <w:right w:w="108" w:type="dxa"/>
            </w:tcMar>
            <w:vAlign w:val="center"/>
            <w:hideMark/>
          </w:tcPr>
          <w:p w14:paraId="44CE1A44" w14:textId="77777777" w:rsidR="00B3441A" w:rsidRPr="00880FAB" w:rsidRDefault="00B3441A" w:rsidP="000C3629">
            <w:pPr>
              <w:pStyle w:val="TableTextLeft"/>
              <w:rPr>
                <w:rFonts w:cs="Arial"/>
                <w:color w:val="000000"/>
                <w:szCs w:val="16"/>
              </w:rPr>
            </w:pPr>
            <w:r w:rsidRPr="00880FAB">
              <w:t>Police</w:t>
            </w:r>
          </w:p>
        </w:tc>
        <w:tc>
          <w:tcPr>
            <w:tcW w:w="3162" w:type="pct"/>
            <w:tcBorders>
              <w:top w:val="single" w:sz="4" w:space="0" w:color="293F5B"/>
              <w:left w:val="nil"/>
              <w:bottom w:val="nil"/>
              <w:right w:val="nil"/>
            </w:tcBorders>
            <w:tcMar>
              <w:left w:w="108" w:type="dxa"/>
              <w:right w:w="108" w:type="dxa"/>
            </w:tcMar>
            <w:vAlign w:val="center"/>
            <w:hideMark/>
          </w:tcPr>
          <w:p w14:paraId="31D28EFA" w14:textId="77777777" w:rsidR="00B3441A" w:rsidRPr="00880FAB" w:rsidRDefault="00B3441A" w:rsidP="000C3629">
            <w:pPr>
              <w:pStyle w:val="TableTextLeft"/>
              <w:rPr>
                <w:rFonts w:cs="Arial"/>
                <w:color w:val="000000"/>
                <w:szCs w:val="16"/>
              </w:rPr>
            </w:pPr>
            <w:r w:rsidRPr="00880FAB">
              <w:t>$5 million per claim or event</w:t>
            </w:r>
          </w:p>
        </w:tc>
      </w:tr>
      <w:tr w:rsidR="00B3441A" w:rsidRPr="00880FAB" w14:paraId="02B6EA70" w14:textId="77777777" w:rsidTr="009D7FF6">
        <w:trPr>
          <w:trHeight w:val="368"/>
        </w:trPr>
        <w:tc>
          <w:tcPr>
            <w:tcW w:w="920" w:type="pct"/>
            <w:tcBorders>
              <w:top w:val="nil"/>
              <w:left w:val="nil"/>
              <w:bottom w:val="single" w:sz="4" w:space="0" w:color="293F5B"/>
              <w:right w:val="nil"/>
            </w:tcBorders>
            <w:tcMar>
              <w:left w:w="108" w:type="dxa"/>
              <w:right w:w="108" w:type="dxa"/>
            </w:tcMar>
            <w:vAlign w:val="center"/>
            <w:hideMark/>
          </w:tcPr>
          <w:p w14:paraId="7469B61C" w14:textId="77777777" w:rsidR="00B3441A" w:rsidRPr="00880FAB" w:rsidRDefault="00B3441A" w:rsidP="000C3629">
            <w:pPr>
              <w:pStyle w:val="TableTextLeft"/>
              <w:rPr>
                <w:rFonts w:cs="Arial"/>
                <w:color w:val="000000"/>
                <w:szCs w:val="16"/>
              </w:rPr>
            </w:pPr>
            <w:r w:rsidRPr="00880FAB">
              <w:t>WA</w:t>
            </w:r>
          </w:p>
        </w:tc>
        <w:tc>
          <w:tcPr>
            <w:tcW w:w="918" w:type="pct"/>
            <w:tcBorders>
              <w:top w:val="single" w:sz="4" w:space="0" w:color="293F5B"/>
              <w:left w:val="nil"/>
              <w:bottom w:val="nil"/>
              <w:right w:val="nil"/>
            </w:tcBorders>
            <w:tcMar>
              <w:left w:w="108" w:type="dxa"/>
              <w:right w:w="108" w:type="dxa"/>
            </w:tcMar>
            <w:vAlign w:val="center"/>
            <w:hideMark/>
          </w:tcPr>
          <w:p w14:paraId="167C5446" w14:textId="77777777" w:rsidR="00B3441A" w:rsidRPr="00880FAB" w:rsidRDefault="00B3441A" w:rsidP="000C3629">
            <w:pPr>
              <w:pStyle w:val="TableTextLeft"/>
              <w:rPr>
                <w:rFonts w:cs="Arial"/>
                <w:color w:val="000000"/>
                <w:szCs w:val="16"/>
              </w:rPr>
            </w:pPr>
            <w:r w:rsidRPr="00880FAB">
              <w:t>Police</w:t>
            </w:r>
          </w:p>
        </w:tc>
        <w:tc>
          <w:tcPr>
            <w:tcW w:w="3162" w:type="pct"/>
            <w:tcBorders>
              <w:top w:val="single" w:sz="4" w:space="0" w:color="293F5B"/>
              <w:left w:val="nil"/>
              <w:bottom w:val="nil"/>
              <w:right w:val="nil"/>
            </w:tcBorders>
            <w:tcMar>
              <w:left w:w="108" w:type="dxa"/>
              <w:right w:w="108" w:type="dxa"/>
            </w:tcMar>
            <w:vAlign w:val="center"/>
            <w:hideMark/>
          </w:tcPr>
          <w:p w14:paraId="3AB9BDE6" w14:textId="77777777" w:rsidR="00B3441A" w:rsidRPr="00880FAB" w:rsidRDefault="00B3441A" w:rsidP="000C3629">
            <w:pPr>
              <w:pStyle w:val="TableTextLeft"/>
              <w:rPr>
                <w:rFonts w:cs="Arial"/>
                <w:color w:val="000000"/>
                <w:szCs w:val="16"/>
              </w:rPr>
            </w:pPr>
            <w:r w:rsidRPr="00880FAB">
              <w:t>$5 million per claim or event</w:t>
            </w:r>
          </w:p>
        </w:tc>
      </w:tr>
      <w:tr w:rsidR="00B3441A" w:rsidRPr="00880FAB" w14:paraId="6D34A4DA" w14:textId="77777777" w:rsidTr="009D7FF6">
        <w:trPr>
          <w:trHeight w:val="368"/>
        </w:trPr>
        <w:tc>
          <w:tcPr>
            <w:tcW w:w="920" w:type="pct"/>
            <w:tcBorders>
              <w:top w:val="nil"/>
              <w:left w:val="nil"/>
              <w:bottom w:val="single" w:sz="4" w:space="0" w:color="293F5B"/>
              <w:right w:val="nil"/>
            </w:tcBorders>
            <w:tcMar>
              <w:left w:w="108" w:type="dxa"/>
              <w:right w:w="108" w:type="dxa"/>
            </w:tcMar>
            <w:vAlign w:val="center"/>
            <w:hideMark/>
          </w:tcPr>
          <w:p w14:paraId="3E4C81E9" w14:textId="77777777" w:rsidR="00B3441A" w:rsidRPr="00880FAB" w:rsidRDefault="00B3441A" w:rsidP="000C3629">
            <w:pPr>
              <w:pStyle w:val="TableTextLeft"/>
              <w:rPr>
                <w:rFonts w:cs="Arial"/>
                <w:color w:val="000000"/>
                <w:szCs w:val="16"/>
              </w:rPr>
            </w:pPr>
            <w:r w:rsidRPr="00880FAB">
              <w:t>NT</w:t>
            </w:r>
          </w:p>
        </w:tc>
        <w:tc>
          <w:tcPr>
            <w:tcW w:w="918" w:type="pct"/>
            <w:tcBorders>
              <w:top w:val="single" w:sz="4" w:space="0" w:color="293F5B"/>
              <w:left w:val="nil"/>
              <w:bottom w:val="single" w:sz="4" w:space="0" w:color="293F5B"/>
              <w:right w:val="nil"/>
            </w:tcBorders>
            <w:tcMar>
              <w:left w:w="108" w:type="dxa"/>
              <w:right w:w="108" w:type="dxa"/>
            </w:tcMar>
            <w:vAlign w:val="center"/>
            <w:hideMark/>
          </w:tcPr>
          <w:p w14:paraId="18209C78" w14:textId="77777777" w:rsidR="00B3441A" w:rsidRPr="00880FAB" w:rsidRDefault="00B3441A" w:rsidP="000C3629">
            <w:pPr>
              <w:pStyle w:val="TableTextLeft"/>
              <w:rPr>
                <w:rFonts w:cs="Arial"/>
                <w:color w:val="000000"/>
                <w:szCs w:val="16"/>
              </w:rPr>
            </w:pPr>
            <w:r w:rsidRPr="00880FAB">
              <w:t>Corrections</w:t>
            </w:r>
          </w:p>
        </w:tc>
        <w:tc>
          <w:tcPr>
            <w:tcW w:w="3162" w:type="pct"/>
            <w:tcBorders>
              <w:top w:val="single" w:sz="4" w:space="0" w:color="293F5B"/>
              <w:left w:val="nil"/>
              <w:bottom w:val="single" w:sz="4" w:space="0" w:color="293F5B"/>
              <w:right w:val="nil"/>
            </w:tcBorders>
            <w:tcMar>
              <w:left w:w="108" w:type="dxa"/>
              <w:right w:w="108" w:type="dxa"/>
            </w:tcMar>
            <w:vAlign w:val="center"/>
            <w:hideMark/>
          </w:tcPr>
          <w:p w14:paraId="361F6363" w14:textId="77777777" w:rsidR="00B3441A" w:rsidRPr="00880FAB" w:rsidRDefault="00B3441A" w:rsidP="000C3629">
            <w:pPr>
              <w:pStyle w:val="TableTextLeft"/>
              <w:rPr>
                <w:rFonts w:cs="Arial"/>
                <w:color w:val="000000"/>
                <w:szCs w:val="16"/>
              </w:rPr>
            </w:pPr>
            <w:r w:rsidRPr="00880FAB">
              <w:t>$5 million per claim or event</w:t>
            </w:r>
          </w:p>
        </w:tc>
      </w:tr>
    </w:tbl>
    <w:p w14:paraId="3CC1633E" w14:textId="77777777" w:rsidR="00A8054F" w:rsidRPr="00D12C6F" w:rsidRDefault="00A8054F" w:rsidP="00A8054F">
      <w:r w:rsidRPr="00D12C6F">
        <w:t xml:space="preserve">The Department of Home Affairs negotiates arrangements as necessary for the provision of corrective services. The indemnity provided to state and territory governments under these arrangements is no more than $30 million per event. </w:t>
      </w:r>
    </w:p>
    <w:p w14:paraId="6209124B" w14:textId="77777777" w:rsidR="00A8054F" w:rsidRPr="00D12C6F" w:rsidRDefault="00A8054F" w:rsidP="00A8054F">
      <w:pPr>
        <w:rPr>
          <w:i/>
          <w:iCs/>
        </w:rPr>
      </w:pPr>
      <w:r w:rsidRPr="00D12C6F">
        <w:t xml:space="preserve">The table above sets out all known current agreements with confirmed indemnity liability in accordance with the </w:t>
      </w:r>
      <w:r w:rsidRPr="00D12C6F">
        <w:rPr>
          <w:i/>
          <w:iCs/>
        </w:rPr>
        <w:t>Public Governance, Performance and Accountability Act 2013.</w:t>
      </w:r>
    </w:p>
    <w:p w14:paraId="110FC01C" w14:textId="77777777" w:rsidR="00A8054F" w:rsidRPr="00D12C6F" w:rsidRDefault="00A8054F" w:rsidP="00A8054F">
      <w:pPr>
        <w:pStyle w:val="Heading4"/>
        <w:rPr>
          <w:rFonts w:eastAsia="Arial"/>
          <w:lang w:eastAsia="en-US"/>
        </w:rPr>
      </w:pPr>
      <w:r w:rsidRPr="00D12C6F">
        <w:rPr>
          <w:rFonts w:eastAsia="Arial"/>
          <w:lang w:eastAsia="en-US"/>
        </w:rPr>
        <w:t>Immigration detention services contract (Secure Journeys)</w:t>
      </w:r>
    </w:p>
    <w:p w14:paraId="2449A520" w14:textId="624F7996" w:rsidR="00A8054F" w:rsidRPr="00D12C6F" w:rsidRDefault="00A8054F" w:rsidP="00A8054F">
      <w:pPr>
        <w:rPr>
          <w:rFonts w:eastAsia="Calibri"/>
        </w:rPr>
      </w:pPr>
      <w:r w:rsidRPr="00D12C6F">
        <w:rPr>
          <w:rFonts w:eastAsia="Calibri"/>
        </w:rPr>
        <w:t xml:space="preserve">The Department of Home Affairs </w:t>
      </w:r>
      <w:proofErr w:type="gramStart"/>
      <w:r w:rsidRPr="00D12C6F">
        <w:rPr>
          <w:rFonts w:eastAsia="Calibri"/>
        </w:rPr>
        <w:t>entered into</w:t>
      </w:r>
      <w:proofErr w:type="gramEnd"/>
      <w:r w:rsidRPr="00D12C6F">
        <w:rPr>
          <w:rFonts w:eastAsia="Calibri"/>
        </w:rPr>
        <w:t xml:space="preserve"> a new contract with Secure Journeys Pty Ltd (Secure Journeys) commencing on 16 November</w:t>
      </w:r>
      <w:r w:rsidR="001370F4">
        <w:rPr>
          <w:rFonts w:eastAsia="Calibri"/>
        </w:rPr>
        <w:t> 2024</w:t>
      </w:r>
      <w:r w:rsidRPr="00D12C6F">
        <w:rPr>
          <w:rFonts w:eastAsia="Calibri"/>
        </w:rPr>
        <w:t>, to deliver immigration detention services at facilities in Australia on behalf of the Government. The contract limits Secure Journeys</w:t>
      </w:r>
      <w:r w:rsidR="00880FAB">
        <w:rPr>
          <w:rFonts w:eastAsia="Calibri"/>
        </w:rPr>
        <w:t>’</w:t>
      </w:r>
      <w:r w:rsidRPr="00D12C6F">
        <w:rPr>
          <w:rFonts w:eastAsia="Calibri"/>
        </w:rPr>
        <w:t xml:space="preserve"> total liability to the Commonwealth under the contract to a maximum of $300 million. The limitation of liability does not apply to specific events defined under the contract </w:t>
      </w:r>
      <w:r>
        <w:rPr>
          <w:rFonts w:eastAsia="Calibri"/>
        </w:rPr>
        <w:t>–</w:t>
      </w:r>
      <w:r w:rsidRPr="00D12C6F">
        <w:rPr>
          <w:rFonts w:eastAsia="Calibri"/>
        </w:rPr>
        <w:t xml:space="preserve"> including loss arising from claims in relation to death, bodily injury, disease or illness (including mental illness) of any person; statutory penalties; and breach of Commonwealth or State privacy legislation.</w:t>
      </w:r>
    </w:p>
    <w:p w14:paraId="385083E2" w14:textId="77777777" w:rsidR="00A8054F" w:rsidRPr="00D12C6F" w:rsidRDefault="00A8054F" w:rsidP="00A8054F">
      <w:pPr>
        <w:pStyle w:val="Heading3"/>
      </w:pPr>
      <w:bookmarkStart w:id="152" w:name="_Toc184039473"/>
      <w:bookmarkStart w:id="153" w:name="_Toc192755114"/>
      <w:bookmarkStart w:id="154" w:name="_Toc228987409"/>
      <w:r w:rsidRPr="00D12C6F">
        <w:lastRenderedPageBreak/>
        <w:t>Contingent assets – unquantifiable</w:t>
      </w:r>
      <w:bookmarkEnd w:id="152"/>
      <w:bookmarkEnd w:id="153"/>
      <w:bookmarkEnd w:id="154"/>
    </w:p>
    <w:p w14:paraId="03E044FB" w14:textId="79828E3B" w:rsidR="00A8054F" w:rsidRPr="00D12C6F" w:rsidRDefault="00A8054F" w:rsidP="00A8054F">
      <w:pPr>
        <w:pStyle w:val="Heading4"/>
      </w:pPr>
      <w:bookmarkStart w:id="155" w:name="_Hlk148351180"/>
      <w:bookmarkStart w:id="156" w:name="_Hlk148524101"/>
      <w:r w:rsidRPr="00D12C6F">
        <w:t xml:space="preserve">Civil penalty relating to the </w:t>
      </w:r>
      <w:r w:rsidRPr="00D12C6F">
        <w:rPr>
          <w:i/>
          <w:iCs/>
        </w:rPr>
        <w:t>Anti</w:t>
      </w:r>
      <w:r w:rsidR="00880FAB">
        <w:rPr>
          <w:i/>
          <w:iCs/>
        </w:rPr>
        <w:noBreakHyphen/>
      </w:r>
      <w:r w:rsidRPr="00D12C6F">
        <w:rPr>
          <w:i/>
          <w:iCs/>
        </w:rPr>
        <w:t>Money Laundering and Counter</w:t>
      </w:r>
      <w:r w:rsidR="00880FAB">
        <w:rPr>
          <w:i/>
          <w:iCs/>
        </w:rPr>
        <w:noBreakHyphen/>
      </w:r>
      <w:r w:rsidRPr="00D12C6F">
        <w:rPr>
          <w:i/>
          <w:iCs/>
        </w:rPr>
        <w:t>Terrorism Financing Act 2006</w:t>
      </w:r>
      <w:r w:rsidRPr="00D12C6F">
        <w:t xml:space="preserve"> – The Star Pty Limited and The Star Entertainment QLD Limited</w:t>
      </w:r>
    </w:p>
    <w:bookmarkEnd w:id="155"/>
    <w:bookmarkEnd w:id="156"/>
    <w:p w14:paraId="4DC2F66C" w14:textId="42901094" w:rsidR="00A8054F" w:rsidRPr="00D12C6F" w:rsidRDefault="00A8054F" w:rsidP="00A8054F">
      <w:pPr>
        <w:rPr>
          <w:rFonts w:eastAsia="Arial"/>
        </w:rPr>
      </w:pPr>
      <w:r w:rsidRPr="00D12C6F">
        <w:rPr>
          <w:rFonts w:eastAsia="Arial"/>
        </w:rPr>
        <w:t>On 30 November</w:t>
      </w:r>
      <w:r w:rsidR="001370F4">
        <w:rPr>
          <w:rFonts w:eastAsia="Arial"/>
        </w:rPr>
        <w:t> 2022</w:t>
      </w:r>
      <w:r w:rsidRPr="00D12C6F">
        <w:rPr>
          <w:rFonts w:eastAsia="Arial"/>
        </w:rPr>
        <w:t>, the Australian Transaction Reports and Analysis Centre applied to the Federal Court of Australia for a civil penalty order against The</w:t>
      </w:r>
      <w:r w:rsidRPr="00D12C6F">
        <w:rPr>
          <w:rFonts w:eastAsia="Book Antiqua"/>
        </w:rPr>
        <w:t> </w:t>
      </w:r>
      <w:r w:rsidRPr="00D12C6F">
        <w:rPr>
          <w:rFonts w:eastAsia="Arial"/>
        </w:rPr>
        <w:t xml:space="preserve">Star Pty Limited and The Star Entertainment QLD Limited for alleged serious contraventions of the </w:t>
      </w:r>
      <w:r w:rsidRPr="00D12C6F">
        <w:rPr>
          <w:rFonts w:eastAsia="Arial"/>
          <w:i/>
          <w:iCs/>
        </w:rPr>
        <w:t>Anti</w:t>
      </w:r>
      <w:r w:rsidR="00880FAB">
        <w:rPr>
          <w:rFonts w:eastAsia="Arial"/>
          <w:i/>
          <w:iCs/>
        </w:rPr>
        <w:noBreakHyphen/>
      </w:r>
      <w:r w:rsidRPr="00D12C6F">
        <w:rPr>
          <w:rFonts w:eastAsia="Arial"/>
          <w:i/>
          <w:iCs/>
        </w:rPr>
        <w:t>Money Laundering and Counter</w:t>
      </w:r>
      <w:r w:rsidR="00880FAB">
        <w:rPr>
          <w:rFonts w:eastAsia="Arial"/>
          <w:i/>
          <w:iCs/>
        </w:rPr>
        <w:noBreakHyphen/>
      </w:r>
      <w:r w:rsidRPr="00D12C6F">
        <w:rPr>
          <w:rFonts w:eastAsia="Arial"/>
          <w:i/>
          <w:iCs/>
        </w:rPr>
        <w:t xml:space="preserve">Terrorism Financing Act 2006 </w:t>
      </w:r>
      <w:r w:rsidRPr="00D12C6F">
        <w:rPr>
          <w:rFonts w:eastAsia="Arial"/>
        </w:rPr>
        <w:t xml:space="preserve">including failures to properly assess money laundering and terrorism financing risks, and failures to undertake appropriate customer due diligence. The matter remains </w:t>
      </w:r>
      <w:proofErr w:type="gramStart"/>
      <w:r w:rsidRPr="00D12C6F">
        <w:rPr>
          <w:rFonts w:eastAsia="Arial"/>
        </w:rPr>
        <w:t>ongoing</w:t>
      </w:r>
      <w:proofErr w:type="gramEnd"/>
      <w:r w:rsidRPr="00D12C6F">
        <w:rPr>
          <w:rFonts w:eastAsia="Arial"/>
        </w:rPr>
        <w:t xml:space="preserve"> and any potential penalties are unquantifiable at this time.</w:t>
      </w:r>
    </w:p>
    <w:p w14:paraId="4B7471A3" w14:textId="09200F64" w:rsidR="00A8054F" w:rsidRPr="00D12C6F" w:rsidRDefault="00A8054F" w:rsidP="00A8054F">
      <w:pPr>
        <w:pStyle w:val="Heading4"/>
        <w:rPr>
          <w:lang w:val="en-US"/>
        </w:rPr>
      </w:pPr>
      <w:r w:rsidRPr="00D12C6F">
        <w:rPr>
          <w:rFonts w:eastAsia="Calibri"/>
          <w:lang w:eastAsia="en-US"/>
        </w:rPr>
        <w:t xml:space="preserve">Civil penalty relating to the </w:t>
      </w:r>
      <w:r w:rsidRPr="00D12C6F">
        <w:rPr>
          <w:rFonts w:eastAsia="Calibri"/>
          <w:i/>
          <w:iCs/>
        </w:rPr>
        <w:t>Anti</w:t>
      </w:r>
      <w:r w:rsidR="00880FAB">
        <w:rPr>
          <w:rFonts w:eastAsia="Calibri"/>
          <w:i/>
          <w:iCs/>
        </w:rPr>
        <w:noBreakHyphen/>
      </w:r>
      <w:r w:rsidRPr="00D12C6F">
        <w:rPr>
          <w:rFonts w:eastAsia="Calibri"/>
          <w:i/>
          <w:iCs/>
        </w:rPr>
        <w:t>Money Laundering and Counter</w:t>
      </w:r>
      <w:r w:rsidR="00880FAB">
        <w:rPr>
          <w:rFonts w:eastAsia="Calibri"/>
          <w:i/>
          <w:iCs/>
        </w:rPr>
        <w:noBreakHyphen/>
      </w:r>
      <w:r w:rsidRPr="00D12C6F">
        <w:rPr>
          <w:rFonts w:eastAsia="Calibri"/>
          <w:i/>
          <w:iCs/>
        </w:rPr>
        <w:t>Terrorism Financing Act 2006</w:t>
      </w:r>
      <w:r w:rsidRPr="00D12C6F">
        <w:rPr>
          <w:rFonts w:eastAsia="Calibri"/>
        </w:rPr>
        <w:t xml:space="preserve"> </w:t>
      </w:r>
      <w:r w:rsidRPr="00D12C6F">
        <w:t xml:space="preserve">– </w:t>
      </w:r>
      <w:proofErr w:type="spellStart"/>
      <w:r w:rsidRPr="00D12C6F">
        <w:t>Entain</w:t>
      </w:r>
      <w:proofErr w:type="spellEnd"/>
      <w:r w:rsidRPr="00D12C6F">
        <w:t xml:space="preserve"> Group Pty Ltd</w:t>
      </w:r>
    </w:p>
    <w:p w14:paraId="4D386357" w14:textId="38B15DC4" w:rsidR="00A8054F" w:rsidRPr="00D12C6F" w:rsidRDefault="00A8054F" w:rsidP="00A8054F">
      <w:pPr>
        <w:rPr>
          <w:rFonts w:eastAsia="Book Antiqua"/>
        </w:rPr>
      </w:pPr>
      <w:r w:rsidRPr="00D12C6F">
        <w:rPr>
          <w:rFonts w:eastAsia="Book Antiqua"/>
        </w:rPr>
        <w:t xml:space="preserve">On 16 December 2024, the Australian Transaction Reports and Analysis Centre (AUSTRAC) applied to the Federal Court of Australia for a civil penalty order against </w:t>
      </w:r>
      <w:proofErr w:type="spellStart"/>
      <w:r w:rsidRPr="00D12C6F">
        <w:rPr>
          <w:rFonts w:eastAsia="Book Antiqua"/>
        </w:rPr>
        <w:t>Entain</w:t>
      </w:r>
      <w:proofErr w:type="spellEnd"/>
      <w:r w:rsidRPr="00D12C6F">
        <w:rPr>
          <w:rFonts w:eastAsia="Book Antiqua"/>
        </w:rPr>
        <w:t xml:space="preserve"> Group Pty Ltd (</w:t>
      </w:r>
      <w:proofErr w:type="spellStart"/>
      <w:r w:rsidRPr="00D12C6F">
        <w:rPr>
          <w:rFonts w:eastAsia="Book Antiqua"/>
        </w:rPr>
        <w:t>Entain</w:t>
      </w:r>
      <w:proofErr w:type="spellEnd"/>
      <w:r w:rsidRPr="00D12C6F">
        <w:rPr>
          <w:rFonts w:eastAsia="Book Antiqua"/>
        </w:rPr>
        <w:t>) for alleged serious and systemic non</w:t>
      </w:r>
      <w:r w:rsidR="00880FAB">
        <w:rPr>
          <w:rFonts w:eastAsia="Book Antiqua"/>
        </w:rPr>
        <w:noBreakHyphen/>
      </w:r>
      <w:r w:rsidRPr="00D12C6F">
        <w:rPr>
          <w:rFonts w:eastAsia="Book Antiqua"/>
        </w:rPr>
        <w:t xml:space="preserve">compliance with the </w:t>
      </w:r>
      <w:r w:rsidRPr="00D12C6F">
        <w:rPr>
          <w:rFonts w:eastAsia="Book Antiqua"/>
          <w:i/>
          <w:iCs/>
        </w:rPr>
        <w:t>Anti</w:t>
      </w:r>
      <w:r w:rsidR="00880FAB">
        <w:rPr>
          <w:rFonts w:eastAsia="Book Antiqua"/>
          <w:i/>
          <w:iCs/>
        </w:rPr>
        <w:noBreakHyphen/>
      </w:r>
      <w:r w:rsidRPr="00D12C6F">
        <w:rPr>
          <w:rFonts w:eastAsia="Book Antiqua"/>
          <w:i/>
          <w:iCs/>
        </w:rPr>
        <w:t>Money Laundering and Counter</w:t>
      </w:r>
      <w:r w:rsidR="00880FAB">
        <w:rPr>
          <w:rFonts w:eastAsia="Book Antiqua"/>
          <w:i/>
          <w:iCs/>
        </w:rPr>
        <w:noBreakHyphen/>
      </w:r>
      <w:r w:rsidRPr="00D12C6F">
        <w:rPr>
          <w:rFonts w:eastAsia="Book Antiqua"/>
          <w:i/>
          <w:iCs/>
        </w:rPr>
        <w:t>Terrorism Financing Act 2006</w:t>
      </w:r>
      <w:r w:rsidRPr="00D12C6F">
        <w:rPr>
          <w:rFonts w:eastAsia="Book Antiqua"/>
        </w:rPr>
        <w:t xml:space="preserve"> (AML/CTF Act). </w:t>
      </w:r>
    </w:p>
    <w:p w14:paraId="00ABBBA7" w14:textId="13F4869F" w:rsidR="007664B3" w:rsidRPr="00D12C6F" w:rsidRDefault="00A8054F" w:rsidP="00A8054F">
      <w:pPr>
        <w:rPr>
          <w:rFonts w:eastAsia="Arial"/>
        </w:rPr>
      </w:pPr>
      <w:r w:rsidRPr="00D12C6F">
        <w:rPr>
          <w:rFonts w:eastAsia="Book Antiqua"/>
        </w:rPr>
        <w:t xml:space="preserve">AUSTRAC alleges that </w:t>
      </w:r>
      <w:proofErr w:type="spellStart"/>
      <w:r w:rsidRPr="00D12C6F">
        <w:rPr>
          <w:rFonts w:eastAsia="Book Antiqua"/>
        </w:rPr>
        <w:t>Entain</w:t>
      </w:r>
      <w:proofErr w:type="spellEnd"/>
      <w:r w:rsidRPr="00D12C6F">
        <w:rPr>
          <w:rFonts w:eastAsia="Book Antiqua"/>
        </w:rPr>
        <w:t xml:space="preserve"> failed to comply with obligations under the AML/CTF Act, including failure to develop and maintain a compliant anti</w:t>
      </w:r>
      <w:r w:rsidR="00880FAB">
        <w:rPr>
          <w:rFonts w:eastAsia="Book Antiqua"/>
        </w:rPr>
        <w:noBreakHyphen/>
      </w:r>
      <w:r w:rsidRPr="00D12C6F">
        <w:rPr>
          <w:rFonts w:eastAsia="Book Antiqua"/>
        </w:rPr>
        <w:t xml:space="preserve">money laundering program and failure to properly assess money laundering and terrorism financing risks. The matter remains </w:t>
      </w:r>
      <w:proofErr w:type="gramStart"/>
      <w:r w:rsidRPr="00D12C6F">
        <w:rPr>
          <w:rFonts w:eastAsia="Book Antiqua"/>
        </w:rPr>
        <w:t>ongoing</w:t>
      </w:r>
      <w:proofErr w:type="gramEnd"/>
      <w:r w:rsidRPr="00D12C6F">
        <w:rPr>
          <w:rFonts w:eastAsia="Book Antiqua"/>
        </w:rPr>
        <w:t xml:space="preserve"> and the outcome is unknown, including whether any penalties will be imposed by the Court and, if so, the quantum of any penalties.</w:t>
      </w:r>
    </w:p>
    <w:p w14:paraId="7E88DD0B" w14:textId="77777777" w:rsidR="00456244" w:rsidRPr="00456244" w:rsidRDefault="00456244" w:rsidP="00456244">
      <w:r>
        <w:br w:type="page"/>
      </w:r>
    </w:p>
    <w:p w14:paraId="04DE3587" w14:textId="77777777" w:rsidR="004A59AD" w:rsidRPr="00D12C6F" w:rsidRDefault="004A59AD" w:rsidP="004A59AD">
      <w:pPr>
        <w:pStyle w:val="Heading2"/>
      </w:pPr>
      <w:bookmarkStart w:id="157" w:name="_Toc228987410"/>
      <w:bookmarkStart w:id="158" w:name="_Toc71117838"/>
      <w:bookmarkStart w:id="159" w:name="_Toc99141896"/>
      <w:bookmarkStart w:id="160" w:name="_Toc184039496"/>
      <w:bookmarkEnd w:id="132"/>
      <w:bookmarkEnd w:id="133"/>
      <w:r w:rsidRPr="00D12C6F">
        <w:lastRenderedPageBreak/>
        <w:t>Industry, Science and Resources</w:t>
      </w:r>
      <w:bookmarkEnd w:id="157"/>
    </w:p>
    <w:p w14:paraId="5BB81CEF" w14:textId="77777777" w:rsidR="004A59AD" w:rsidRPr="00D12C6F" w:rsidRDefault="004A59AD" w:rsidP="004A59AD">
      <w:pPr>
        <w:pStyle w:val="Heading3"/>
      </w:pPr>
      <w:bookmarkStart w:id="161" w:name="_Toc71117835"/>
      <w:bookmarkStart w:id="162" w:name="_Toc99141881"/>
      <w:bookmarkStart w:id="163" w:name="_Toc184039488"/>
      <w:bookmarkStart w:id="164" w:name="_Toc228987411"/>
      <w:bookmarkStart w:id="165" w:name="_Toc99141885"/>
      <w:r w:rsidRPr="00D12C6F">
        <w:t>Fiscal Risk</w:t>
      </w:r>
      <w:bookmarkEnd w:id="161"/>
      <w:bookmarkEnd w:id="162"/>
      <w:bookmarkEnd w:id="163"/>
      <w:r w:rsidRPr="00D12C6F">
        <w:t>s</w:t>
      </w:r>
      <w:bookmarkEnd w:id="164"/>
    </w:p>
    <w:p w14:paraId="413AF310" w14:textId="77777777" w:rsidR="004A59AD" w:rsidRPr="00D12C6F" w:rsidRDefault="004A59AD" w:rsidP="004A59AD">
      <w:pPr>
        <w:pStyle w:val="Heading4"/>
      </w:pPr>
      <w:bookmarkStart w:id="166" w:name="_Hlk192251067"/>
      <w:bookmarkEnd w:id="165"/>
      <w:r w:rsidRPr="00D12C6F">
        <w:t>Government support for Whyalla Steelworks</w:t>
      </w:r>
    </w:p>
    <w:bookmarkEnd w:id="166"/>
    <w:p w14:paraId="0D8B786B" w14:textId="76CCD210" w:rsidR="004A59AD" w:rsidRPr="00D12C6F" w:rsidRDefault="004A59AD" w:rsidP="004A59AD">
      <w:pPr>
        <w:rPr>
          <w:rFonts w:eastAsia="Calibri"/>
          <w:lang w:eastAsia="en-US"/>
        </w:rPr>
      </w:pPr>
      <w:r w:rsidRPr="00D12C6F">
        <w:rPr>
          <w:rFonts w:eastAsia="Calibri"/>
          <w:lang w:eastAsia="en-US"/>
        </w:rPr>
        <w:t>On 19 February</w:t>
      </w:r>
      <w:r w:rsidR="004341C4">
        <w:rPr>
          <w:rFonts w:eastAsia="Calibri"/>
          <w:lang w:eastAsia="en-US"/>
        </w:rPr>
        <w:t> 2025</w:t>
      </w:r>
      <w:r w:rsidRPr="00D12C6F">
        <w:rPr>
          <w:rFonts w:eastAsia="Calibri"/>
          <w:lang w:eastAsia="en-US"/>
        </w:rPr>
        <w:t>, the South Australian Government appointed an administrator to OneSteel Manufacturing Pty Ltd. On 20 February</w:t>
      </w:r>
      <w:r w:rsidR="004341C4">
        <w:rPr>
          <w:rFonts w:eastAsia="Calibri"/>
          <w:lang w:eastAsia="en-US"/>
        </w:rPr>
        <w:t> 2025</w:t>
      </w:r>
      <w:r w:rsidRPr="00D12C6F">
        <w:rPr>
          <w:rFonts w:eastAsia="Calibri"/>
          <w:lang w:eastAsia="en-US"/>
        </w:rPr>
        <w:t>, the Australian and South Australian Governments announced joint support of $2.4 billion to stabilise and secure the long</w:t>
      </w:r>
      <w:r w:rsidR="00880FAB">
        <w:rPr>
          <w:rFonts w:eastAsia="Calibri"/>
          <w:lang w:eastAsia="en-US"/>
        </w:rPr>
        <w:noBreakHyphen/>
      </w:r>
      <w:r w:rsidRPr="00D12C6F">
        <w:rPr>
          <w:rFonts w:eastAsia="Calibri"/>
          <w:lang w:eastAsia="en-US"/>
        </w:rPr>
        <w:t xml:space="preserve">term future of Whyalla Steelworks, including up to $1.9 billion for the transformation of the </w:t>
      </w:r>
      <w:r>
        <w:rPr>
          <w:rFonts w:eastAsia="Calibri"/>
          <w:lang w:eastAsia="en-US"/>
        </w:rPr>
        <w:t>s</w:t>
      </w:r>
      <w:r w:rsidRPr="00D12C6F">
        <w:rPr>
          <w:rFonts w:eastAsia="Calibri"/>
          <w:lang w:eastAsia="en-US"/>
        </w:rPr>
        <w:t>teelworks. The Australian Government</w:t>
      </w:r>
      <w:r w:rsidR="00880FAB">
        <w:rPr>
          <w:rFonts w:eastAsia="Calibri"/>
          <w:lang w:eastAsia="en-US"/>
        </w:rPr>
        <w:t>’</w:t>
      </w:r>
      <w:r w:rsidRPr="00D12C6F">
        <w:rPr>
          <w:rFonts w:eastAsia="Calibri"/>
          <w:lang w:eastAsia="en-US"/>
        </w:rPr>
        <w:t>s funding contribution for immediate on the ground support and initial contribution to the administration process are reflected in the budget estimates, as is the commitment of up to $500 million of the Green</w:t>
      </w:r>
      <w:r>
        <w:rPr>
          <w:rFonts w:eastAsia="Calibri"/>
          <w:lang w:eastAsia="en-US"/>
        </w:rPr>
        <w:t xml:space="preserve"> </w:t>
      </w:r>
      <w:r w:rsidRPr="00D12C6F">
        <w:rPr>
          <w:rFonts w:eastAsia="Calibri"/>
          <w:lang w:eastAsia="en-US"/>
        </w:rPr>
        <w:t>Iron Investment Fund to support the long</w:t>
      </w:r>
      <w:r w:rsidR="00880FAB">
        <w:rPr>
          <w:rFonts w:eastAsia="Calibri"/>
          <w:lang w:eastAsia="en-US"/>
        </w:rPr>
        <w:noBreakHyphen/>
      </w:r>
      <w:r w:rsidRPr="00D12C6F">
        <w:rPr>
          <w:rFonts w:eastAsia="Calibri"/>
          <w:lang w:eastAsia="en-US"/>
        </w:rPr>
        <w:t xml:space="preserve">term transformation of the </w:t>
      </w:r>
      <w:r>
        <w:rPr>
          <w:rFonts w:eastAsia="Calibri"/>
          <w:lang w:eastAsia="en-US"/>
        </w:rPr>
        <w:t>s</w:t>
      </w:r>
      <w:r w:rsidRPr="00D12C6F">
        <w:rPr>
          <w:rFonts w:eastAsia="Calibri"/>
          <w:lang w:eastAsia="en-US"/>
        </w:rPr>
        <w:t>teelworks. The Commonwealth made a further contribution of $145.5</w:t>
      </w:r>
      <w:r w:rsidR="00AA06F4">
        <w:rPr>
          <w:rFonts w:eastAsia="Calibri"/>
          <w:lang w:eastAsia="en-US"/>
        </w:rPr>
        <w:t> million</w:t>
      </w:r>
      <w:r w:rsidRPr="00D12C6F">
        <w:rPr>
          <w:rFonts w:eastAsia="Calibri"/>
          <w:lang w:eastAsia="en-US"/>
        </w:rPr>
        <w:t xml:space="preserve"> to the administration process as reflected in the 2025</w:t>
      </w:r>
      <w:r>
        <w:rPr>
          <w:rFonts w:eastAsia="Calibri"/>
          <w:lang w:eastAsia="en-US"/>
        </w:rPr>
        <w:t>–</w:t>
      </w:r>
      <w:r w:rsidRPr="00D12C6F">
        <w:rPr>
          <w:rFonts w:eastAsia="Calibri"/>
          <w:lang w:eastAsia="en-US"/>
        </w:rPr>
        <w:t xml:space="preserve">26 MYEFO. </w:t>
      </w:r>
    </w:p>
    <w:p w14:paraId="036AE5C5" w14:textId="77777777" w:rsidR="004A59AD" w:rsidRPr="00D12C6F" w:rsidRDefault="004A59AD" w:rsidP="004A59AD">
      <w:pPr>
        <w:pStyle w:val="Heading4"/>
      </w:pPr>
      <w:r w:rsidRPr="00D12C6F">
        <w:t>Rehabilitation of the Ranger Uranium Mine</w:t>
      </w:r>
    </w:p>
    <w:p w14:paraId="36FD60AD" w14:textId="5AC0AEE0" w:rsidR="004A59AD" w:rsidRPr="00D12C6F" w:rsidRDefault="004A59AD" w:rsidP="004A59AD">
      <w:bookmarkStart w:id="167" w:name="_Toc223077570"/>
      <w:r w:rsidRPr="00D12C6F">
        <w:t>The Government approved the Ranger Uranium Mine (Ranger) in the late 1970s. Energy</w:t>
      </w:r>
      <w:r>
        <w:t xml:space="preserve"> </w:t>
      </w:r>
      <w:r w:rsidRPr="00D12C6F">
        <w:t xml:space="preserve">Resources of Australia Ltd (ERA) was authorised to mine uranium at Ranger until 2021 and is required to rehabilitate the site to achieve an environmental condition </w:t>
      </w:r>
      <w:proofErr w:type="gramStart"/>
      <w:r w:rsidRPr="00D12C6F">
        <w:t>similar to</w:t>
      </w:r>
      <w:proofErr w:type="gramEnd"/>
      <w:r w:rsidRPr="00D12C6F">
        <w:t xml:space="preserve"> adjacent areas. Pursuant to the agreement between the Government and the Northern Land Council, the Government would be responsible for carrying out rehabilitation works at the Ranger site should ERA fail to complete the works. ERA has provided a rehabilitation security to the Government to cover the expected costs of rehabilitation should it be called upon.</w:t>
      </w:r>
    </w:p>
    <w:p w14:paraId="3172A9D6" w14:textId="2D01B5F8" w:rsidR="004A59AD" w:rsidRPr="00D12C6F" w:rsidRDefault="004A59AD" w:rsidP="004A59AD">
      <w:r w:rsidRPr="00D12C6F">
        <w:t xml:space="preserve">The rehabilitation security is revalued periodically based on estimated rehabilitation costs at a point in time, and ERA may be required to provide further security if necessary, following a revaluation. The security currently reflects valuation assumptions as </w:t>
      </w:r>
      <w:proofErr w:type="gramStart"/>
      <w:r w:rsidRPr="00D12C6F">
        <w:t>at</w:t>
      </w:r>
      <w:proofErr w:type="gramEnd"/>
      <w:r w:rsidRPr="00D12C6F">
        <w:t xml:space="preserve"> March 2020. Recent assessments of the costs of rehabilitation work undertaken by ERA indicate that the potential costs have increased significantly following the last security valuation in March 2020 and that, at present, the security held by the Government would not be sufficient to rehabilitate the site should the Government be required to do so. The Government acknowledges the uncertainty in costing rehabilitation works beyond 2027, as well as the compulsory acquisition of the company by its major shareholder, Rio Tinto, which impacts the timing of the next security valuation. Until the security can be valued </w:t>
      </w:r>
      <w:proofErr w:type="gramStart"/>
      <w:r w:rsidRPr="00D12C6F">
        <w:t>in light of</w:t>
      </w:r>
      <w:proofErr w:type="gramEnd"/>
      <w:r w:rsidRPr="00D12C6F">
        <w:t xml:space="preserve"> the cost uncertainties being experienced by ERA and the timing for finalisation of the compulsory acquisition, the difference between the expected rehabilitation costs and the security held by the Government represents a fiscal risk to the budget.</w:t>
      </w:r>
    </w:p>
    <w:bookmarkEnd w:id="167"/>
    <w:p w14:paraId="5EE2B2B4" w14:textId="77777777" w:rsidR="00081CA0" w:rsidRDefault="00081CA0">
      <w:pPr>
        <w:spacing w:before="0" w:after="160" w:line="259" w:lineRule="auto"/>
        <w:rPr>
          <w:rFonts w:ascii="Arial Bold" w:hAnsi="Arial Bold"/>
          <w:b/>
          <w:sz w:val="22"/>
        </w:rPr>
      </w:pPr>
      <w:r>
        <w:br w:type="page"/>
      </w:r>
    </w:p>
    <w:p w14:paraId="16EA3A2E" w14:textId="2C735077" w:rsidR="004A59AD" w:rsidRPr="00D12C6F" w:rsidRDefault="004A59AD" w:rsidP="004A59AD">
      <w:pPr>
        <w:pStyle w:val="Heading3"/>
      </w:pPr>
      <w:bookmarkStart w:id="168" w:name="_Toc228987412"/>
      <w:r w:rsidRPr="00D12C6F">
        <w:lastRenderedPageBreak/>
        <w:t>Significant but remote contingencies</w:t>
      </w:r>
      <w:bookmarkEnd w:id="168"/>
    </w:p>
    <w:p w14:paraId="0F069977" w14:textId="07994FC5" w:rsidR="004A59AD" w:rsidRPr="00D12C6F" w:rsidRDefault="004A59AD" w:rsidP="004A59AD">
      <w:pPr>
        <w:pStyle w:val="Heading4"/>
      </w:pPr>
      <w:r w:rsidRPr="00D12C6F">
        <w:t>Liability for damages caused by space</w:t>
      </w:r>
      <w:r>
        <w:t xml:space="preserve"> objects</w:t>
      </w:r>
      <w:r w:rsidRPr="00D12C6F">
        <w:t xml:space="preserve"> and certain high</w:t>
      </w:r>
      <w:r w:rsidR="00880FAB">
        <w:noBreakHyphen/>
      </w:r>
      <w:r w:rsidRPr="00D12C6F">
        <w:t>power rocket activities</w:t>
      </w:r>
    </w:p>
    <w:p w14:paraId="0B3A2115" w14:textId="55427708" w:rsidR="004A59AD" w:rsidRPr="00D12C6F" w:rsidRDefault="004A59AD" w:rsidP="004A59AD">
      <w:r w:rsidRPr="00D12C6F">
        <w:t xml:space="preserve">Under the United Nations Convention on International Liability for Damage Caused by </w:t>
      </w:r>
      <w:bookmarkStart w:id="169" w:name="_Toc71117839"/>
      <w:r w:rsidRPr="00D12C6F">
        <w:t>Space Objects, the Government may be liable to pay compensation for damage caused on the surface of the earth or to aircraft in flight by space objects or high</w:t>
      </w:r>
      <w:r w:rsidR="00880FAB">
        <w:noBreakHyphen/>
      </w:r>
      <w:r w:rsidRPr="00D12C6F">
        <w:t xml:space="preserve">powered rockets launched from Australia, or by Australian nationals overseas. For activities approved under the </w:t>
      </w:r>
      <w:r w:rsidRPr="00D12C6F">
        <w:rPr>
          <w:i/>
          <w:iCs/>
        </w:rPr>
        <w:t>Space (Launches and Returns) Act 2018</w:t>
      </w:r>
      <w:r w:rsidRPr="00D12C6F">
        <w:t xml:space="preserve"> </w:t>
      </w:r>
      <w:r>
        <w:t xml:space="preserve">(the Act) </w:t>
      </w:r>
      <w:r w:rsidRPr="00D12C6F">
        <w:t>the Government also accepts liability for damage suffered by Australian nationals, to a maximum value of $3 billion above an insured level.</w:t>
      </w:r>
    </w:p>
    <w:p w14:paraId="5013D49B" w14:textId="4FD44A8B" w:rsidR="004A59AD" w:rsidRPr="00D12C6F" w:rsidDel="00186710" w:rsidRDefault="004A59AD" w:rsidP="004A59AD">
      <w:r w:rsidRPr="00D12C6F">
        <w:t xml:space="preserve">To address this risk, </w:t>
      </w:r>
      <w:proofErr w:type="gramStart"/>
      <w:r w:rsidRPr="00D12C6F">
        <w:t>in order to</w:t>
      </w:r>
      <w:proofErr w:type="gramEnd"/>
      <w:r w:rsidRPr="00D12C6F">
        <w:t xml:space="preserve"> have a space object or high</w:t>
      </w:r>
      <w:r w:rsidR="00880FAB">
        <w:noBreakHyphen/>
      </w:r>
      <w:r w:rsidRPr="00D12C6F">
        <w:t>power rocket activity authorised under the</w:t>
      </w:r>
      <w:r>
        <w:t xml:space="preserve"> Act</w:t>
      </w:r>
      <w:r w:rsidRPr="00D12C6F">
        <w:rPr>
          <w:i/>
          <w:iCs/>
        </w:rPr>
        <w:t xml:space="preserve">, </w:t>
      </w:r>
      <w:r w:rsidRPr="00D12C6F">
        <w:rPr>
          <w:iCs/>
        </w:rPr>
        <w:t>the</w:t>
      </w:r>
      <w:r w:rsidRPr="00D12C6F">
        <w:t xml:space="preserve"> responsible party is required to insure against, or take financial responsibility for, damage to third parties. The</w:t>
      </w:r>
      <w:r>
        <w:t> </w:t>
      </w:r>
      <w:r w:rsidRPr="00D12C6F">
        <w:t xml:space="preserve">amount of insurance or financial responsibility is capped at $100 million. </w:t>
      </w:r>
    </w:p>
    <w:p w14:paraId="33508004" w14:textId="35AEC8D4" w:rsidR="004A59AD" w:rsidRPr="00D12C6F" w:rsidRDefault="004A59AD" w:rsidP="004A59AD">
      <w:r w:rsidRPr="00D12C6F">
        <w:t>The</w:t>
      </w:r>
      <w:r>
        <w:t xml:space="preserve"> Act</w:t>
      </w:r>
      <w:r w:rsidRPr="00D12C6F">
        <w:rPr>
          <w:iCs/>
        </w:rPr>
        <w:t xml:space="preserve"> provides</w:t>
      </w:r>
      <w:r w:rsidRPr="00D12C6F">
        <w:t xml:space="preserve"> for amounts lower than $100 million depending on the risk profile of the activity. A maximum probable loss methodology is also available to calculate the amount of insurance or financial responsibility.</w:t>
      </w:r>
    </w:p>
    <w:p w14:paraId="324BD5EC" w14:textId="77777777" w:rsidR="004A59AD" w:rsidRPr="00D12C6F" w:rsidRDefault="004A59AD" w:rsidP="004A59AD">
      <w:pPr>
        <w:pStyle w:val="Heading4"/>
      </w:pPr>
      <w:bookmarkStart w:id="170" w:name="_Toc166165521"/>
      <w:bookmarkEnd w:id="169"/>
      <w:r w:rsidRPr="00D12C6F">
        <w:t>Decommissioning the Northern Endeavour and remediating the Laminaria and Corallina Oil Fields</w:t>
      </w:r>
    </w:p>
    <w:p w14:paraId="225A889E" w14:textId="38E56635" w:rsidR="004A59AD" w:rsidRPr="00D12C6F" w:rsidRDefault="004A59AD" w:rsidP="004A59AD">
      <w:pPr>
        <w:rPr>
          <w:rFonts w:eastAsia="Calibri"/>
          <w:lang w:eastAsia="en-US"/>
        </w:rPr>
      </w:pPr>
      <w:r w:rsidRPr="00D12C6F">
        <w:t>On 31 March</w:t>
      </w:r>
      <w:r w:rsidR="001370F4">
        <w:t> 2022</w:t>
      </w:r>
      <w:r w:rsidRPr="00D12C6F">
        <w:t>, Petrofac Facilities Management</w:t>
      </w:r>
      <w:r w:rsidRPr="00D12C6F">
        <w:rPr>
          <w:rFonts w:eastAsia="Calibri"/>
          <w:lang w:eastAsia="en-US"/>
        </w:rPr>
        <w:t xml:space="preserve"> Limited (Petrofac) was engaged to deliver Phase One of the decommissioning of the Northern Endeavour. This </w:t>
      </w:r>
      <w:r w:rsidRPr="00D12C6F">
        <w:rPr>
          <w:rFonts w:eastAsia="Calibri"/>
          <w:lang w:val="en-US" w:eastAsia="en-US"/>
        </w:rPr>
        <w:t xml:space="preserve">work focused on disconnecting </w:t>
      </w:r>
      <w:r w:rsidRPr="00D12C6F">
        <w:rPr>
          <w:rFonts w:eastAsia="Calibri"/>
          <w:lang w:eastAsia="en-US"/>
        </w:rPr>
        <w:t>the floating production storage and offtake facility (FPSO) from the Laminaria and Corallina Oil Fields (Fields) and associated sub</w:t>
      </w:r>
      <w:r w:rsidR="00880FAB">
        <w:rPr>
          <w:rFonts w:eastAsia="Calibri"/>
          <w:lang w:eastAsia="en-US"/>
        </w:rPr>
        <w:noBreakHyphen/>
      </w:r>
      <w:r w:rsidRPr="00D12C6F">
        <w:rPr>
          <w:rFonts w:eastAsia="Calibri"/>
          <w:lang w:eastAsia="en-US"/>
        </w:rPr>
        <w:t>sea equipment, temporary suspension of the wells and preparing the FPSO for recycling</w:t>
      </w:r>
      <w:r w:rsidRPr="00D12C6F">
        <w:rPr>
          <w:rFonts w:eastAsia="Calibri"/>
          <w:lang w:val="en-US" w:eastAsia="en-US"/>
        </w:rPr>
        <w:t>. The FPSO was successfully disconnected in September</w:t>
      </w:r>
      <w:r w:rsidR="004341C4">
        <w:rPr>
          <w:rFonts w:eastAsia="Calibri"/>
          <w:lang w:val="en-US" w:eastAsia="en-US"/>
        </w:rPr>
        <w:t> 2025</w:t>
      </w:r>
      <w:r w:rsidRPr="00D12C6F">
        <w:rPr>
          <w:rFonts w:eastAsia="Calibri"/>
          <w:lang w:val="en-US" w:eastAsia="en-US"/>
        </w:rPr>
        <w:t xml:space="preserve"> and is now being transported to </w:t>
      </w:r>
      <w:r w:rsidRPr="00D12C6F">
        <w:rPr>
          <w:rFonts w:eastAsia="Calibri"/>
          <w:lang w:eastAsia="en-US"/>
        </w:rPr>
        <w:t>the Modern American Recycling Services (MARS) facility in Denmark for recycling and disposal</w:t>
      </w:r>
      <w:r w:rsidRPr="00D12C6F">
        <w:rPr>
          <w:rFonts w:eastAsia="Calibri"/>
          <w:lang w:val="en-US" w:eastAsia="en-US"/>
        </w:rPr>
        <w:t xml:space="preserve">. </w:t>
      </w:r>
      <w:r w:rsidRPr="00D12C6F">
        <w:rPr>
          <w:rFonts w:eastAsia="Calibri"/>
          <w:lang w:eastAsia="en-US"/>
        </w:rPr>
        <w:t>The contract with Petrofac remains in place until October</w:t>
      </w:r>
      <w:r w:rsidR="004341C4">
        <w:rPr>
          <w:rFonts w:eastAsia="Calibri"/>
          <w:lang w:eastAsia="en-US"/>
        </w:rPr>
        <w:t> 2026</w:t>
      </w:r>
      <w:r w:rsidRPr="00D12C6F">
        <w:rPr>
          <w:rFonts w:eastAsia="Calibri"/>
          <w:lang w:eastAsia="en-US"/>
        </w:rPr>
        <w:t xml:space="preserve"> with the only remaining work scope being the monitoring and maintenance of the Fields</w:t>
      </w:r>
      <w:r>
        <w:rPr>
          <w:rFonts w:eastAsia="Calibri"/>
          <w:lang w:eastAsia="en-US"/>
        </w:rPr>
        <w:t xml:space="preserve">. </w:t>
      </w:r>
    </w:p>
    <w:p w14:paraId="0637CCA0" w14:textId="77777777" w:rsidR="004A59AD" w:rsidRPr="00D12C6F" w:rsidRDefault="004A59AD" w:rsidP="004A59AD">
      <w:pPr>
        <w:rPr>
          <w:rFonts w:eastAsia="Calibri"/>
          <w:lang w:eastAsia="en-US"/>
        </w:rPr>
      </w:pPr>
      <w:r w:rsidRPr="00D12C6F">
        <w:rPr>
          <w:rFonts w:eastAsia="Calibri"/>
          <w:lang w:eastAsia="en-US"/>
        </w:rPr>
        <w:t xml:space="preserve">As part of the conditions for recycling the FPSO in Denmark, the Australian Government has provided a financial guarantee to the Danish Government to cover the costs of completing the recycling of the FPSO </w:t>
      </w:r>
      <w:proofErr w:type="gramStart"/>
      <w:r w:rsidRPr="00D12C6F">
        <w:rPr>
          <w:rFonts w:eastAsia="Calibri"/>
          <w:lang w:eastAsia="en-US"/>
        </w:rPr>
        <w:t>in the event that</w:t>
      </w:r>
      <w:proofErr w:type="gramEnd"/>
      <w:r w:rsidRPr="00D12C6F">
        <w:rPr>
          <w:rFonts w:eastAsia="Calibri"/>
          <w:lang w:eastAsia="en-US"/>
        </w:rPr>
        <w:t xml:space="preserve"> it cannot be completed by MARS.</w:t>
      </w:r>
    </w:p>
    <w:p w14:paraId="25B1C495" w14:textId="1DE2B6EF" w:rsidR="004A59AD" w:rsidRPr="00D12C6F" w:rsidRDefault="004A59AD" w:rsidP="004A59AD">
      <w:pPr>
        <w:rPr>
          <w:rFonts w:eastAsia="Arial"/>
          <w:lang w:eastAsia="en-US"/>
        </w:rPr>
      </w:pPr>
      <w:r w:rsidRPr="00D12C6F">
        <w:rPr>
          <w:rFonts w:eastAsia="Arial"/>
          <w:lang w:eastAsia="en-US"/>
        </w:rPr>
        <w:t>The Australian Government has obtained protection and indemnity, facility damage and control of well insurance, and taken out membership with oil spill response agencies. These limit the Australian Government</w:t>
      </w:r>
      <w:r w:rsidR="00880FAB">
        <w:rPr>
          <w:rFonts w:eastAsia="Arial"/>
          <w:lang w:eastAsia="en-US"/>
        </w:rPr>
        <w:t>’</w:t>
      </w:r>
      <w:r w:rsidRPr="00D12C6F">
        <w:rPr>
          <w:rFonts w:eastAsia="Arial"/>
          <w:lang w:eastAsia="en-US"/>
        </w:rPr>
        <w:t xml:space="preserve">s potential risk and financial exposure. The risk of an incident is remote. The </w:t>
      </w:r>
      <w:r w:rsidRPr="00D12C6F">
        <w:rPr>
          <w:rFonts w:eastAsia="Arial"/>
          <w:lang w:val="en-US" w:eastAsia="en-US"/>
        </w:rPr>
        <w:t xml:space="preserve">wells are </w:t>
      </w:r>
      <w:proofErr w:type="gramStart"/>
      <w:r w:rsidRPr="00D12C6F">
        <w:rPr>
          <w:rFonts w:eastAsia="Arial"/>
          <w:lang w:val="en-US" w:eastAsia="en-US"/>
        </w:rPr>
        <w:t>temporarily suspended</w:t>
      </w:r>
      <w:proofErr w:type="gramEnd"/>
      <w:r w:rsidRPr="00D12C6F">
        <w:rPr>
          <w:rFonts w:eastAsia="Arial"/>
          <w:lang w:val="en-US" w:eastAsia="en-US"/>
        </w:rPr>
        <w:t xml:space="preserve"> and the FPSO has been disconnected and removed from the operational area</w:t>
      </w:r>
      <w:r w:rsidRPr="00D12C6F">
        <w:rPr>
          <w:rFonts w:eastAsia="Arial"/>
          <w:lang w:eastAsia="en-US"/>
        </w:rPr>
        <w:t>. A change to the operational risk profile may occur when permanent plug and abandonment activities commence, with the timing of this subject to the outcome of future procurement activities.</w:t>
      </w:r>
    </w:p>
    <w:p w14:paraId="744239EE" w14:textId="77777777" w:rsidR="004A59AD" w:rsidRDefault="004A59AD" w:rsidP="004A59AD">
      <w:pPr>
        <w:spacing w:before="0" w:after="160" w:line="259" w:lineRule="auto"/>
        <w:rPr>
          <w:rFonts w:eastAsia="Arial"/>
          <w:lang w:eastAsia="en-US"/>
        </w:rPr>
      </w:pPr>
      <w:r>
        <w:rPr>
          <w:rFonts w:eastAsia="Arial"/>
          <w:lang w:eastAsia="en-US"/>
        </w:rPr>
        <w:br w:type="page"/>
      </w:r>
    </w:p>
    <w:p w14:paraId="2FCF5349" w14:textId="6826AE4C" w:rsidR="004A59AD" w:rsidRPr="00D12C6F" w:rsidRDefault="004A59AD" w:rsidP="004A59AD">
      <w:pPr>
        <w:rPr>
          <w:rFonts w:eastAsia="Arial"/>
          <w:i/>
          <w:iCs/>
        </w:rPr>
      </w:pPr>
      <w:r w:rsidRPr="00D12C6F">
        <w:rPr>
          <w:rFonts w:eastAsia="Arial"/>
          <w:lang w:eastAsia="en-US"/>
        </w:rPr>
        <w:lastRenderedPageBreak/>
        <w:t xml:space="preserve">The Australian Government has committed to decommission the Northern Endeavour facility and remediating the Fields. The remaining cost to finalise Phase One activities, including the recycling of the FPSO, is </w:t>
      </w:r>
      <w:proofErr w:type="gramStart"/>
      <w:r w:rsidRPr="00D12C6F">
        <w:rPr>
          <w:rFonts w:eastAsia="Arial"/>
          <w:lang w:eastAsia="en-US"/>
        </w:rPr>
        <w:t>taken into account</w:t>
      </w:r>
      <w:proofErr w:type="gramEnd"/>
      <w:r w:rsidRPr="00D12C6F">
        <w:rPr>
          <w:rFonts w:eastAsia="Arial"/>
          <w:lang w:eastAsia="en-US"/>
        </w:rPr>
        <w:t xml:space="preserve"> in the forward estimates. However, costs for the subsequent phases of the decommissioning – the permanent plug and abandonment of the wells (Phase Two) and the removal of subsea infrastructure (Phase</w:t>
      </w:r>
      <w:r>
        <w:rPr>
          <w:rFonts w:eastAsia="Arial"/>
          <w:lang w:eastAsia="en-US"/>
        </w:rPr>
        <w:t> </w:t>
      </w:r>
      <w:r w:rsidRPr="00D12C6F">
        <w:rPr>
          <w:rFonts w:eastAsia="Arial"/>
          <w:lang w:eastAsia="en-US"/>
        </w:rPr>
        <w:t xml:space="preserve">Three), which are estimated to commence over the forward estimates period – are not able to be fully quantified until procurement activities for those Phases have been completed. Actual costs associated with Northern Endeavour decommissioning will be recovered through the </w:t>
      </w:r>
      <w:r w:rsidRPr="00D12C6F">
        <w:rPr>
          <w:rFonts w:eastAsia="Arial"/>
          <w:i/>
          <w:iCs/>
        </w:rPr>
        <w:t>Offshore Petroleum (Laminaria and Corallina Decommissioning Cost Recovery Levy) Act 2022</w:t>
      </w:r>
      <w:r w:rsidRPr="00D12C6F">
        <w:rPr>
          <w:rFonts w:eastAsia="Arial"/>
          <w:i/>
        </w:rPr>
        <w:t>.</w:t>
      </w:r>
    </w:p>
    <w:p w14:paraId="3FBAD21D" w14:textId="77777777" w:rsidR="004A59AD" w:rsidRPr="00D12C6F" w:rsidRDefault="004A59AD" w:rsidP="004A59AD">
      <w:pPr>
        <w:pStyle w:val="Heading3"/>
      </w:pPr>
      <w:bookmarkStart w:id="171" w:name="_Toc223077571"/>
      <w:bookmarkStart w:id="172" w:name="_Toc228987413"/>
      <w:r w:rsidRPr="00D12C6F">
        <w:t>Contingent liabilities – unquantifiable</w:t>
      </w:r>
      <w:bookmarkEnd w:id="170"/>
      <w:bookmarkEnd w:id="171"/>
      <w:bookmarkEnd w:id="172"/>
    </w:p>
    <w:p w14:paraId="7D1B7E05" w14:textId="77777777" w:rsidR="004A59AD" w:rsidRPr="00D12C6F" w:rsidRDefault="004A59AD" w:rsidP="004A59AD">
      <w:pPr>
        <w:pStyle w:val="Heading4"/>
      </w:pPr>
      <w:r w:rsidRPr="00D12C6F">
        <w:t>Australian Nuclear Science and Technology Organisation – asbestos contamination</w:t>
      </w:r>
    </w:p>
    <w:p w14:paraId="22BE7DB4" w14:textId="6494FFB6" w:rsidR="004A59AD" w:rsidRPr="00D12C6F" w:rsidRDefault="004A59AD" w:rsidP="004A59AD">
      <w:bookmarkStart w:id="173" w:name="_Toc71117842"/>
      <w:r w:rsidRPr="00D12C6F">
        <w:t>The Australian Nuclear Science and Technology Organisation site contains asbestos in several buildings and in the soil at the Lucas Heights campus. Although there is potential for claims to be made in relation to asbestos</w:t>
      </w:r>
      <w:r w:rsidR="00880FAB">
        <w:noBreakHyphen/>
      </w:r>
      <w:r w:rsidRPr="00D12C6F">
        <w:t>related diseases, the potential costs have not been assessed and are unquantifiable contingencies.</w:t>
      </w:r>
    </w:p>
    <w:p w14:paraId="00E92DD9" w14:textId="77777777" w:rsidR="004A59AD" w:rsidRPr="00D12C6F" w:rsidRDefault="004A59AD" w:rsidP="004A59AD">
      <w:pPr>
        <w:pStyle w:val="Heading4"/>
      </w:pPr>
      <w:r w:rsidRPr="00D12C6F">
        <w:t>Australian Nuclear Science and Technology Organisation – indemnity</w:t>
      </w:r>
      <w:bookmarkEnd w:id="173"/>
    </w:p>
    <w:p w14:paraId="0C908DF1" w14:textId="0D5B4FC6" w:rsidR="004A59AD" w:rsidRPr="00D12C6F" w:rsidRDefault="004A59AD" w:rsidP="004A59AD">
      <w:r w:rsidRPr="00D12C6F">
        <w:t xml:space="preserve">The Minister for Industry and Science has renewed a Deed of Indemnity between the Government and the Australian Nuclear Science and Technology Organisation (ANSTO) under which the Government formally agreed to indemnify ANSTO and ANSTO officers from any loss or liability arising from claims caused by ionising radiation. This </w:t>
      </w:r>
      <w:r>
        <w:t>d</w:t>
      </w:r>
      <w:r w:rsidRPr="00D12C6F">
        <w:t>eed will remain in place until March 2035.</w:t>
      </w:r>
    </w:p>
    <w:p w14:paraId="20A1FB32" w14:textId="77777777" w:rsidR="004A59AD" w:rsidRPr="00D12C6F" w:rsidRDefault="004A59AD" w:rsidP="004A59AD">
      <w:pPr>
        <w:pStyle w:val="Heading4"/>
      </w:pPr>
      <w:r w:rsidRPr="00D12C6F">
        <w:t>Australian Nuclear Science and Technology Organisation – legacy waste management to final disposal</w:t>
      </w:r>
    </w:p>
    <w:p w14:paraId="012E6554" w14:textId="27CD147B" w:rsidR="004A59AD" w:rsidRPr="00D12C6F" w:rsidRDefault="004A59AD" w:rsidP="004A59AD">
      <w:bookmarkStart w:id="174" w:name="_Toc71117843"/>
      <w:r w:rsidRPr="00D12C6F">
        <w:t>The Australian Nuclear Science and Technology Organisation has accumulated, and will continue to accumulate, radioactive waste for which final disposal arrangements are currently unfunded. Most of this waste has arisen from the production of nuclear medicine. This waste will require further characterisation to determine its composition, classification, and the associated costs and timing required for its management through to final disposal.</w:t>
      </w:r>
    </w:p>
    <w:p w14:paraId="6BF1ED2A" w14:textId="2AABDF80" w:rsidR="004A59AD" w:rsidRPr="00D12C6F" w:rsidRDefault="004A59AD" w:rsidP="004A59AD">
      <w:r w:rsidRPr="00D12C6F">
        <w:t>Spent nuclear fuel generated from the operation of the Open</w:t>
      </w:r>
      <w:r w:rsidR="00880FAB">
        <w:noBreakHyphen/>
      </w:r>
      <w:r w:rsidRPr="00D12C6F">
        <w:t xml:space="preserve">Pool Australian </w:t>
      </w:r>
      <w:proofErr w:type="spellStart"/>
      <w:r w:rsidRPr="00D12C6F">
        <w:t>Lightwater</w:t>
      </w:r>
      <w:proofErr w:type="spellEnd"/>
      <w:r w:rsidRPr="00D12C6F">
        <w:t xml:space="preserve"> reactor has also accumulated and will require future reprocessing and storage. At present, there are insufficient reliable cost estimates to determine the future costs associated with the reprocessing of this spent fuel.</w:t>
      </w:r>
    </w:p>
    <w:p w14:paraId="3B245BCF" w14:textId="0DF401BE" w:rsidR="004A59AD" w:rsidRPr="00D12C6F" w:rsidRDefault="004A59AD" w:rsidP="004A59AD">
      <w:r w:rsidRPr="00D12C6F">
        <w:t>The future responsibility and costs associated with the management, storage, reprocessing, and disposal of radioactive waste and spent fuel are still to be determined and could have a material financial impact.</w:t>
      </w:r>
    </w:p>
    <w:bookmarkEnd w:id="174"/>
    <w:p w14:paraId="7CE2DF0D" w14:textId="77777777" w:rsidR="004A59AD" w:rsidRPr="00D12C6F" w:rsidRDefault="004A59AD" w:rsidP="004A59AD">
      <w:pPr>
        <w:pStyle w:val="Heading4"/>
      </w:pPr>
      <w:r w:rsidRPr="00D12C6F">
        <w:lastRenderedPageBreak/>
        <w:t>Former British nuclear test site at Maralinga</w:t>
      </w:r>
    </w:p>
    <w:p w14:paraId="2693E12C" w14:textId="5321D973" w:rsidR="004A59AD" w:rsidRPr="00D12C6F" w:rsidRDefault="004A59AD" w:rsidP="004A59AD">
      <w:r w:rsidRPr="00D12C6F">
        <w:t>The Australian Government is responsible for 14</w:t>
      </w:r>
      <w:r>
        <w:t> </w:t>
      </w:r>
      <w:r w:rsidRPr="00D12C6F">
        <w:t>unlimited indemnities relating to the Maralinga Rehabilitation Project (1995–2000). In November 2009, the Australian Government agreed to the handback of the former nuclear test site – Maralinga Section 400 – to the site</w:t>
      </w:r>
      <w:r w:rsidR="00880FAB">
        <w:t>’</w:t>
      </w:r>
      <w:r w:rsidRPr="00D12C6F">
        <w:t xml:space="preserve">s Traditional Owners, Maralinga </w:t>
      </w:r>
      <w:proofErr w:type="spellStart"/>
      <w:r w:rsidRPr="00D12C6F">
        <w:t>Tjarutja</w:t>
      </w:r>
      <w:proofErr w:type="spellEnd"/>
      <w:r w:rsidRPr="00D12C6F">
        <w:t xml:space="preserve">. Under the terms of the </w:t>
      </w:r>
      <w:r w:rsidRPr="00D12C6F">
        <w:rPr>
          <w:i/>
          <w:iCs/>
        </w:rPr>
        <w:t xml:space="preserve">2009 Maralinga Nuclear Test Site Handback Deed, </w:t>
      </w:r>
      <w:r w:rsidRPr="00D12C6F">
        <w:t>the Australian Government has indemnified the Maralinga </w:t>
      </w:r>
      <w:proofErr w:type="spellStart"/>
      <w:r w:rsidRPr="00D12C6F">
        <w:t>Tjarutja</w:t>
      </w:r>
      <w:proofErr w:type="spellEnd"/>
      <w:r w:rsidRPr="00D12C6F">
        <w:t xml:space="preserve"> people and the South Australian Government in respect of claims arising from test site contamination.</w:t>
      </w:r>
    </w:p>
    <w:p w14:paraId="12321ABF" w14:textId="77777777" w:rsidR="004A59AD" w:rsidRPr="00D12C6F" w:rsidRDefault="004A59AD" w:rsidP="004A59AD">
      <w:pPr>
        <w:pStyle w:val="Heading4"/>
      </w:pPr>
      <w:r w:rsidRPr="00D12C6F">
        <w:t>Land and building decontamination and site restoration for CSIRO property</w:t>
      </w:r>
    </w:p>
    <w:p w14:paraId="2738C8FC" w14:textId="77777777" w:rsidR="004A59AD" w:rsidRPr="00D12C6F" w:rsidRDefault="004A59AD" w:rsidP="004A59AD">
      <w:r w:rsidRPr="00D12C6F">
        <w:t>The Commonwealth Scientific and Industrial Research Organisation has made a financial provision for the estimated costs in restoring and decontaminating land where a legal or constructive obligation has arisen. For cases where there is no legal or constructive obligation, the potential costs have not been assessed and are unquantifiable contingencies.</w:t>
      </w:r>
    </w:p>
    <w:p w14:paraId="48833CD8" w14:textId="77777777" w:rsidR="004A59AD" w:rsidRPr="00D12C6F" w:rsidRDefault="004A59AD" w:rsidP="004A59AD">
      <w:pPr>
        <w:pStyle w:val="Heading4"/>
      </w:pPr>
      <w:r w:rsidRPr="00D12C6F">
        <w:t>Lindfield facility – asbestos contamination</w:t>
      </w:r>
    </w:p>
    <w:p w14:paraId="6DC20761" w14:textId="7B2EA989" w:rsidR="00491118" w:rsidRPr="00D12C6F" w:rsidRDefault="004A59AD" w:rsidP="004A59AD">
      <w:r w:rsidRPr="00D12C6F">
        <w:rPr>
          <w:rFonts w:eastAsia="Calibri"/>
          <w:lang w:eastAsia="en-US"/>
        </w:rPr>
        <w:t>The measurement facility at Lindfield NSW contains asbestos in several buildings and in the soil. The costs of potential long</w:t>
      </w:r>
      <w:r w:rsidR="00880FAB">
        <w:rPr>
          <w:rFonts w:eastAsia="Calibri"/>
          <w:lang w:eastAsia="en-US"/>
        </w:rPr>
        <w:noBreakHyphen/>
      </w:r>
      <w:r w:rsidRPr="00D12C6F">
        <w:rPr>
          <w:rFonts w:eastAsia="Calibri"/>
          <w:lang w:eastAsia="en-US"/>
        </w:rPr>
        <w:t>term management options cannot be accurately quantified at this time.</w:t>
      </w:r>
    </w:p>
    <w:p w14:paraId="5C89754C" w14:textId="77777777" w:rsidR="00A22947" w:rsidRPr="00A22947" w:rsidRDefault="00A22947" w:rsidP="00A22947">
      <w:bookmarkStart w:id="175" w:name="_Toc223077572"/>
      <w:bookmarkStart w:id="176" w:name="_Toc184039490"/>
      <w:bookmarkStart w:id="177" w:name="_Toc71117852"/>
      <w:bookmarkStart w:id="178" w:name="_Toc71117853"/>
      <w:bookmarkStart w:id="179" w:name="_Toc99141890"/>
      <w:bookmarkEnd w:id="158"/>
      <w:r>
        <w:br w:type="page"/>
      </w:r>
    </w:p>
    <w:p w14:paraId="47A1F712" w14:textId="43CE4DBF" w:rsidR="001B5007" w:rsidRPr="00D12C6F" w:rsidRDefault="001B5007" w:rsidP="001B5007">
      <w:pPr>
        <w:pStyle w:val="Heading2"/>
      </w:pPr>
      <w:bookmarkStart w:id="180" w:name="_Toc228987414"/>
      <w:bookmarkStart w:id="181" w:name="_Toc184039492"/>
      <w:bookmarkStart w:id="182" w:name="_Toc223077578"/>
      <w:bookmarkEnd w:id="175"/>
      <w:bookmarkEnd w:id="176"/>
      <w:bookmarkEnd w:id="177"/>
      <w:bookmarkEnd w:id="178"/>
      <w:bookmarkEnd w:id="179"/>
      <w:r w:rsidRPr="00D12C6F">
        <w:lastRenderedPageBreak/>
        <w:t>Infrastructure, Transport, Regional Development, Communications, Sport and the Arts</w:t>
      </w:r>
      <w:bookmarkEnd w:id="180"/>
    </w:p>
    <w:p w14:paraId="2B90377F" w14:textId="77777777" w:rsidR="001B5007" w:rsidRPr="00D12C6F" w:rsidRDefault="001B5007" w:rsidP="001B5007">
      <w:pPr>
        <w:pStyle w:val="Heading3"/>
      </w:pPr>
      <w:bookmarkStart w:id="183" w:name="_Toc223077573"/>
      <w:bookmarkStart w:id="184" w:name="_Toc228987415"/>
      <w:r w:rsidRPr="00D12C6F">
        <w:t>Fiscal Risks</w:t>
      </w:r>
      <w:bookmarkEnd w:id="183"/>
      <w:bookmarkEnd w:id="184"/>
    </w:p>
    <w:p w14:paraId="56ADC153" w14:textId="193FDB4F" w:rsidR="001B5007" w:rsidRPr="00D12C6F" w:rsidRDefault="001B5007" w:rsidP="001B5007">
      <w:pPr>
        <w:pStyle w:val="Heading4"/>
        <w:rPr>
          <w:rFonts w:eastAsia="Arial"/>
        </w:rPr>
      </w:pPr>
      <w:r w:rsidRPr="00D12C6F">
        <w:rPr>
          <w:rFonts w:eastAsia="Arial"/>
        </w:rPr>
        <w:t>Australia Post</w:t>
      </w:r>
      <w:r w:rsidR="00880FAB">
        <w:rPr>
          <w:rFonts w:eastAsia="Arial"/>
        </w:rPr>
        <w:t>’</w:t>
      </w:r>
      <w:r w:rsidRPr="00D12C6F">
        <w:rPr>
          <w:rFonts w:eastAsia="Arial"/>
        </w:rPr>
        <w:t>s financial stability</w:t>
      </w:r>
    </w:p>
    <w:p w14:paraId="62DE8436" w14:textId="2FE37473" w:rsidR="001B5007" w:rsidRPr="00D12C6F" w:rsidRDefault="001B5007" w:rsidP="001B5007">
      <w:pPr>
        <w:rPr>
          <w:rFonts w:eastAsia="Calibri"/>
        </w:rPr>
      </w:pPr>
      <w:r w:rsidRPr="00D12C6F">
        <w:rPr>
          <w:rFonts w:eastAsia="Calibri"/>
        </w:rPr>
        <w:t>Australia Post is a Government Business Enterprise wholly owned by the Government. After two years of losses, Australia Post reported a pre</w:t>
      </w:r>
      <w:r w:rsidR="00880FAB">
        <w:rPr>
          <w:rFonts w:eastAsia="Calibri"/>
        </w:rPr>
        <w:noBreakHyphen/>
      </w:r>
      <w:r w:rsidRPr="00D12C6F">
        <w:rPr>
          <w:rFonts w:eastAsia="Calibri"/>
        </w:rPr>
        <w:t>tax profit of $18.8 million in 2024</w:t>
      </w:r>
      <w:r>
        <w:rPr>
          <w:rFonts w:eastAsia="Calibri"/>
        </w:rPr>
        <w:t>–</w:t>
      </w:r>
      <w:r w:rsidRPr="00D12C6F">
        <w:rPr>
          <w:rFonts w:ascii="Times New Roman" w:eastAsia="Calibri" w:hAnsi="Times New Roman" w:hint="eastAsia"/>
          <w:rtl/>
        </w:rPr>
        <w:t>‍</w:t>
      </w:r>
      <w:r w:rsidRPr="00D12C6F">
        <w:rPr>
          <w:rFonts w:eastAsia="Calibri"/>
        </w:rPr>
        <w:t xml:space="preserve">25. The operating environment is impacted by declining letter volumes and stronger parcels competition. This reflects the way in which digitisation of the global and national economy is changing how people and businesses use postal and related services. Australia Post does not receive financial support from the Government but is required to meet a range of Community Service Obligations. </w:t>
      </w:r>
    </w:p>
    <w:p w14:paraId="0D82FD83" w14:textId="362170B1" w:rsidR="001B5007" w:rsidRPr="00D12C6F" w:rsidRDefault="001B5007" w:rsidP="001B5007">
      <w:pPr>
        <w:rPr>
          <w:rFonts w:eastAsia="Calibri"/>
        </w:rPr>
      </w:pPr>
      <w:r w:rsidRPr="00D12C6F">
        <w:rPr>
          <w:rFonts w:eastAsia="Calibri"/>
        </w:rPr>
        <w:t>On 6 December</w:t>
      </w:r>
      <w:r w:rsidR="001370F4">
        <w:rPr>
          <w:rFonts w:eastAsia="Calibri"/>
        </w:rPr>
        <w:t> 2023</w:t>
      </w:r>
      <w:r w:rsidRPr="00D12C6F">
        <w:rPr>
          <w:rFonts w:eastAsia="Calibri"/>
        </w:rPr>
        <w:t xml:space="preserve">, the Government announced a package of reforms to enable Australia Post to boost productivity, increase its focus on parcel delivery services, and improve financial sustainability. The Government is monitoring the implementation of these reforms to assess whether they are achieving meaningful financial benefits as intended. </w:t>
      </w:r>
    </w:p>
    <w:p w14:paraId="754441A9" w14:textId="0E05FB2E" w:rsidR="001B5007" w:rsidRPr="00D12C6F" w:rsidRDefault="001B5007" w:rsidP="001B5007">
      <w:pPr>
        <w:pStyle w:val="Heading4"/>
        <w:rPr>
          <w:rFonts w:eastAsia="Arial"/>
        </w:rPr>
      </w:pPr>
      <w:r w:rsidRPr="00D12C6F">
        <w:rPr>
          <w:rFonts w:eastAsia="Arial"/>
        </w:rPr>
        <w:t xml:space="preserve">Infrastructure Investment Program project slippage adjustment </w:t>
      </w:r>
    </w:p>
    <w:p w14:paraId="597EF777" w14:textId="201DDC5A" w:rsidR="001B5007" w:rsidRPr="00A81C5B" w:rsidRDefault="001B5007" w:rsidP="001B5007">
      <w:pPr>
        <w:rPr>
          <w:rFonts w:eastAsia="Calibri"/>
          <w:lang w:val="en-US"/>
        </w:rPr>
      </w:pPr>
      <w:bookmarkStart w:id="185" w:name="_Toc99141888"/>
      <w:bookmarkStart w:id="186" w:name="_Toc184039491"/>
      <w:bookmarkStart w:id="187" w:name="_Toc71117860"/>
      <w:r w:rsidRPr="00A81C5B">
        <w:rPr>
          <w:rFonts w:eastAsia="Calibri"/>
          <w:lang w:val="en-US"/>
        </w:rPr>
        <w:t xml:space="preserve">The Infrastructure Investment Program includes a general slippage adjustment and a </w:t>
      </w:r>
      <w:r>
        <w:rPr>
          <w:rFonts w:eastAsia="Calibri"/>
          <w:lang w:val="en-US"/>
        </w:rPr>
        <w:t xml:space="preserve">separate, </w:t>
      </w:r>
      <w:r w:rsidRPr="00A81C5B">
        <w:rPr>
          <w:rFonts w:eastAsia="Calibri"/>
          <w:lang w:val="en-US"/>
        </w:rPr>
        <w:t>temporary fuel and other materials disruption slippage adjustment.</w:t>
      </w:r>
    </w:p>
    <w:p w14:paraId="216EBA5A" w14:textId="5DF4CD72" w:rsidR="001B5007" w:rsidRPr="00A81C5B" w:rsidRDefault="001B5007" w:rsidP="001B5007">
      <w:pPr>
        <w:rPr>
          <w:rFonts w:eastAsia="Calibri"/>
          <w:lang w:val="en-US"/>
        </w:rPr>
      </w:pPr>
      <w:r w:rsidRPr="00A81C5B">
        <w:rPr>
          <w:rFonts w:eastAsia="Calibri"/>
          <w:lang w:val="en-US"/>
        </w:rPr>
        <w:t>The general slippage adjustment is to take account of historical experience, including the timing of states claiming payments against milestones and the complexity of delivery. In the 2026–27 Budget, the adjustment is set at $1.7</w:t>
      </w:r>
      <w:r w:rsidR="00AA06F4">
        <w:rPr>
          <w:rFonts w:eastAsia="Calibri"/>
          <w:lang w:val="en-US"/>
        </w:rPr>
        <w:t> billion</w:t>
      </w:r>
      <w:r w:rsidRPr="00A81C5B">
        <w:rPr>
          <w:rFonts w:eastAsia="Calibri"/>
          <w:lang w:val="en-US"/>
        </w:rPr>
        <w:t xml:space="preserve"> in 2025–26, 2026–27 and 2027–28, $1.6 billion in 2028–29 and $1.3</w:t>
      </w:r>
      <w:r w:rsidR="00AA06F4">
        <w:rPr>
          <w:rFonts w:eastAsia="Calibri"/>
          <w:lang w:val="en-US"/>
        </w:rPr>
        <w:t> billion</w:t>
      </w:r>
      <w:r w:rsidRPr="00A81C5B">
        <w:rPr>
          <w:rFonts w:eastAsia="Calibri"/>
          <w:lang w:val="en-US"/>
        </w:rPr>
        <w:t xml:space="preserve"> in 2029–30 and is unwound over 2030–31 to </w:t>
      </w:r>
      <w:r w:rsidRPr="00990D39">
        <w:rPr>
          <w:rFonts w:eastAsia="Calibri"/>
          <w:lang w:val="en-US"/>
        </w:rPr>
        <w:t>2035–3</w:t>
      </w:r>
      <w:r w:rsidRPr="00A81C5B">
        <w:rPr>
          <w:rFonts w:eastAsia="Calibri"/>
          <w:lang w:val="en-US"/>
        </w:rPr>
        <w:t>6. A general slippage adjustment was implemented in previous Budget rounds, including the 2025–</w:t>
      </w:r>
      <w:r w:rsidRPr="00A81C5B">
        <w:rPr>
          <w:rFonts w:ascii="Times New Roman" w:eastAsia="Calibri" w:hAnsi="Times New Roman"/>
          <w:lang w:val="en-US"/>
        </w:rPr>
        <w:t>‍</w:t>
      </w:r>
      <w:r w:rsidRPr="00A81C5B">
        <w:rPr>
          <w:rFonts w:eastAsia="Calibri"/>
          <w:lang w:val="en-US"/>
        </w:rPr>
        <w:t>26 MYEFO.</w:t>
      </w:r>
    </w:p>
    <w:p w14:paraId="2FEFC279" w14:textId="175B91F5" w:rsidR="001B5007" w:rsidRPr="00A81C5B" w:rsidRDefault="001B5007" w:rsidP="001B5007">
      <w:pPr>
        <w:rPr>
          <w:rFonts w:eastAsia="Calibri"/>
          <w:lang w:val="en-US"/>
        </w:rPr>
      </w:pPr>
      <w:r w:rsidRPr="00A81C5B">
        <w:rPr>
          <w:rFonts w:eastAsia="Calibri"/>
          <w:lang w:val="en-US"/>
        </w:rPr>
        <w:t xml:space="preserve">A temporary fuel and other materials disruption slippage adjustment has been applied in the 2026–27 Budget to </w:t>
      </w:r>
      <w:proofErr w:type="spellStart"/>
      <w:r w:rsidRPr="00A81C5B">
        <w:rPr>
          <w:rFonts w:eastAsia="Calibri"/>
          <w:lang w:val="en-US"/>
        </w:rPr>
        <w:t>recognise</w:t>
      </w:r>
      <w:proofErr w:type="spellEnd"/>
      <w:r w:rsidRPr="00A81C5B">
        <w:rPr>
          <w:rFonts w:eastAsia="Calibri"/>
          <w:lang w:val="en-US"/>
        </w:rPr>
        <w:t xml:space="preserve"> the impact of the Middle East conflict on the availability of key materials for the delivery of projects</w:t>
      </w:r>
      <w:r>
        <w:rPr>
          <w:rFonts w:eastAsia="Calibri"/>
          <w:lang w:val="en-US"/>
        </w:rPr>
        <w:t xml:space="preserve"> and the Australian Government needing to work with the states and territories to manage those impacts</w:t>
      </w:r>
      <w:r w:rsidRPr="00A81C5B">
        <w:rPr>
          <w:rFonts w:eastAsia="Calibri"/>
          <w:lang w:val="en-US"/>
        </w:rPr>
        <w:t>. This adjustment is set at $2.0</w:t>
      </w:r>
      <w:r w:rsidR="00AA06F4">
        <w:rPr>
          <w:rFonts w:eastAsia="Calibri"/>
          <w:lang w:val="en-US"/>
        </w:rPr>
        <w:t> billion</w:t>
      </w:r>
      <w:r w:rsidRPr="00A81C5B">
        <w:rPr>
          <w:rFonts w:eastAsia="Calibri"/>
          <w:lang w:val="en-US"/>
        </w:rPr>
        <w:t xml:space="preserve"> in 2026–27, $1.6</w:t>
      </w:r>
      <w:r w:rsidR="00AA06F4">
        <w:rPr>
          <w:rFonts w:eastAsia="Calibri"/>
          <w:lang w:val="en-US"/>
        </w:rPr>
        <w:t> billion</w:t>
      </w:r>
      <w:r w:rsidRPr="00A81C5B">
        <w:rPr>
          <w:rFonts w:eastAsia="Calibri"/>
          <w:lang w:val="en-US"/>
        </w:rPr>
        <w:t xml:space="preserve"> in 2027–28, $0.5</w:t>
      </w:r>
      <w:r w:rsidR="00AA06F4">
        <w:rPr>
          <w:rFonts w:eastAsia="Calibri"/>
          <w:lang w:val="en-US"/>
        </w:rPr>
        <w:t> billion</w:t>
      </w:r>
      <w:r w:rsidRPr="00A81C5B">
        <w:rPr>
          <w:rFonts w:eastAsia="Calibri"/>
          <w:lang w:val="en-US"/>
        </w:rPr>
        <w:t xml:space="preserve"> in 2028–29 and is unwound over 2030–31 to 2035–36.</w:t>
      </w:r>
    </w:p>
    <w:p w14:paraId="1C046324" w14:textId="77DDBBE4" w:rsidR="001B5007" w:rsidRPr="00D12C6F" w:rsidRDefault="001B5007" w:rsidP="001B5007">
      <w:pPr>
        <w:rPr>
          <w:rFonts w:eastAsia="Calibri"/>
        </w:rPr>
      </w:pPr>
      <w:r w:rsidRPr="00A81C5B">
        <w:rPr>
          <w:rFonts w:eastAsia="Calibri"/>
          <w:lang w:val="en-US"/>
        </w:rPr>
        <w:t>As the adjustments do not affect the Australian Government</w:t>
      </w:r>
      <w:r w:rsidR="00880FAB">
        <w:rPr>
          <w:rFonts w:eastAsia="Calibri"/>
          <w:lang w:val="en-US"/>
        </w:rPr>
        <w:t>’</w:t>
      </w:r>
      <w:r w:rsidRPr="00A81C5B">
        <w:rPr>
          <w:rFonts w:eastAsia="Calibri"/>
          <w:lang w:val="en-US"/>
        </w:rPr>
        <w:t xml:space="preserve">s commitments to individual states and territories, there is an equivalent financial risk to the Australian Government should the states and territories meet all current project milestones. </w:t>
      </w:r>
    </w:p>
    <w:p w14:paraId="6EE95C24" w14:textId="77777777" w:rsidR="001B5007" w:rsidRPr="00D12C6F" w:rsidRDefault="001B5007" w:rsidP="001B5007">
      <w:pPr>
        <w:pStyle w:val="Heading4"/>
      </w:pPr>
      <w:r w:rsidRPr="00D12C6F">
        <w:t>Inland Rail – delivery</w:t>
      </w:r>
    </w:p>
    <w:p w14:paraId="2E2D5399" w14:textId="4FBC8208" w:rsidR="001B5007" w:rsidRPr="00972DA3" w:rsidRDefault="001B5007" w:rsidP="001B5007">
      <w:r w:rsidRPr="00972DA3">
        <w:t>In April 2023, the Government released the findings of the Independent Review of Inland Rail (the Review) and agreed to the 19 recommendations in full or in principle. The Review assessed the project</w:t>
      </w:r>
      <w:r w:rsidR="00880FAB">
        <w:t>’</w:t>
      </w:r>
      <w:r w:rsidRPr="00972DA3">
        <w:t xml:space="preserve">s scope, schedule and cost. The Review recommended the Government </w:t>
      </w:r>
      <w:r w:rsidRPr="00972DA3">
        <w:lastRenderedPageBreak/>
        <w:t>work with independent specialists to review the cost, scope, engineering and schedule of the project. This independent cost assurance has identified that the estimated cost to complete Inland Rail would be significantly higher than the available funding.</w:t>
      </w:r>
    </w:p>
    <w:p w14:paraId="1BECD566" w14:textId="15F36A3F" w:rsidR="001B5007" w:rsidRPr="00972DA3" w:rsidRDefault="001B5007" w:rsidP="001B5007">
      <w:r w:rsidRPr="00972DA3">
        <w:t>Inland Rail Pty Ltd continues to prioritise the delivery of sections from Beveridge to Parkes.</w:t>
      </w:r>
    </w:p>
    <w:p w14:paraId="257112A9" w14:textId="77777777" w:rsidR="001B5007" w:rsidRPr="00D12C6F" w:rsidRDefault="001B5007" w:rsidP="001B5007">
      <w:r w:rsidRPr="00972DA3">
        <w:t>Significant project delivery risks remain, including securing jurisdictional support, cost and scheduling pressures,</w:t>
      </w:r>
      <w:r w:rsidRPr="00972DA3" w:rsidDel="009D5317">
        <w:t xml:space="preserve"> </w:t>
      </w:r>
      <w:r w:rsidRPr="00972DA3">
        <w:t>engineering, hydrology and localised land contamination challenges, and realising revenues.</w:t>
      </w:r>
    </w:p>
    <w:p w14:paraId="7DE59E0E" w14:textId="77777777" w:rsidR="001B5007" w:rsidRPr="00D12C6F" w:rsidRDefault="001B5007" w:rsidP="001B5007">
      <w:pPr>
        <w:pStyle w:val="Heading3"/>
      </w:pPr>
      <w:bookmarkStart w:id="188" w:name="_Toc99141887"/>
      <w:bookmarkStart w:id="189" w:name="_Toc166165524"/>
      <w:bookmarkStart w:id="190" w:name="_Toc223077574"/>
      <w:bookmarkStart w:id="191" w:name="_Toc228987416"/>
      <w:r w:rsidRPr="00D12C6F">
        <w:t>Significant but remote contingencies</w:t>
      </w:r>
      <w:bookmarkEnd w:id="188"/>
      <w:bookmarkEnd w:id="189"/>
      <w:bookmarkEnd w:id="190"/>
      <w:bookmarkEnd w:id="191"/>
    </w:p>
    <w:p w14:paraId="6CED75EB" w14:textId="77777777" w:rsidR="001B5007" w:rsidRPr="00D12C6F" w:rsidRDefault="001B5007" w:rsidP="001B5007">
      <w:pPr>
        <w:pStyle w:val="Heading4"/>
      </w:pPr>
      <w:bookmarkStart w:id="192" w:name="_Toc71117854"/>
      <w:r w:rsidRPr="00D12C6F">
        <w:t>Inland Rail – Termination of the Equity Financing Agreement</w:t>
      </w:r>
      <w:bookmarkEnd w:id="192"/>
    </w:p>
    <w:p w14:paraId="6CD1BBDE" w14:textId="349B222B" w:rsidR="001B5007" w:rsidRPr="0076037D" w:rsidRDefault="001B5007" w:rsidP="001B5007">
      <w:pPr>
        <w:rPr>
          <w:rFonts w:eastAsia="Arial"/>
          <w:b/>
          <w:bCs/>
          <w:lang w:val="en-US"/>
        </w:rPr>
      </w:pPr>
      <w:bookmarkStart w:id="193" w:name="_Toc71117855"/>
      <w:r w:rsidRPr="0076037D">
        <w:t xml:space="preserve">The Government will provide sufficient funding to cover all costs and liabilities incurred by the Australian Rail Track Corporation (ARTC) and Inland Rail Pty Ltd for delivery of Inland </w:t>
      </w:r>
      <w:r w:rsidRPr="0076037D">
        <w:rPr>
          <w:lang w:val="en-US"/>
        </w:rPr>
        <w:t xml:space="preserve">Rail to Parkes </w:t>
      </w:r>
      <w:r w:rsidRPr="0076037D">
        <w:t>in the event the Commonwealth terminates the Equity Financing Agreement between the Commonwealth and the ARTC.</w:t>
      </w:r>
    </w:p>
    <w:p w14:paraId="45212B75" w14:textId="4D9CD5CE" w:rsidR="001B5007" w:rsidRPr="00D12C6F" w:rsidRDefault="001B5007" w:rsidP="001B5007">
      <w:pPr>
        <w:pStyle w:val="Heading4"/>
      </w:pPr>
      <w:r w:rsidRPr="00D12C6F">
        <w:t>Maritime Industry Finance Company Limited – Board Members</w:t>
      </w:r>
      <w:r w:rsidR="00880FAB">
        <w:t>’</w:t>
      </w:r>
      <w:r w:rsidRPr="00D12C6F">
        <w:t xml:space="preserve"> indemnity</w:t>
      </w:r>
      <w:bookmarkEnd w:id="193"/>
    </w:p>
    <w:p w14:paraId="248D126E" w14:textId="7C61EB7A" w:rsidR="001B5007" w:rsidRPr="00D12C6F" w:rsidRDefault="001B5007" w:rsidP="001B5007">
      <w:r w:rsidRPr="00D12C6F">
        <w:t>Indemnities for Maritime Industry Finance Company Limited (MIFCO) board members were provided to protect them against civil claims relating to their employment and conduct as directors. MIFCO was placed into voluntary liquidation in November 2006 and was deregistered on 24 April 2008. The indemnity is not time</w:t>
      </w:r>
      <w:r w:rsidR="00880FAB">
        <w:noBreakHyphen/>
      </w:r>
      <w:r w:rsidRPr="00D12C6F">
        <w:t>limited and continues even though the company has been liquidated. Until the indemnity agreements are varied or ended, they will remain as contingent and unquantifiable liabilities.</w:t>
      </w:r>
    </w:p>
    <w:p w14:paraId="5308C127" w14:textId="77777777" w:rsidR="001B5007" w:rsidRPr="00D12C6F" w:rsidRDefault="001B5007" w:rsidP="001B5007">
      <w:pPr>
        <w:pStyle w:val="Heading4"/>
      </w:pPr>
      <w:bookmarkStart w:id="194" w:name="_Toc71117857"/>
      <w:r w:rsidRPr="00D12C6F">
        <w:t>Moorebank Intermodal Project – Glenfield Waste Site Easement</w:t>
      </w:r>
      <w:bookmarkEnd w:id="194"/>
    </w:p>
    <w:p w14:paraId="11E6E20B" w14:textId="3E7A8B50" w:rsidR="001B5007" w:rsidRPr="00D12C6F" w:rsidRDefault="001B5007" w:rsidP="001B5007">
      <w:r w:rsidRPr="00D12C6F">
        <w:t xml:space="preserve">The Government has provided an indemnity to cover all costs and liabilities that may be incurred by the </w:t>
      </w:r>
      <w:r>
        <w:t>g</w:t>
      </w:r>
      <w:r w:rsidRPr="00D12C6F">
        <w:t>rantor (the private sector owner of the Glenfield Waste Site) of any easement for the rail spur going across the Glenfield Waste Site, to the extent such costs or liabilities are caused or contributed to by the Commonwealth or its agents.</w:t>
      </w:r>
    </w:p>
    <w:p w14:paraId="617A708C" w14:textId="77777777" w:rsidR="001B5007" w:rsidRPr="00D12C6F" w:rsidRDefault="001B5007" w:rsidP="001B5007">
      <w:pPr>
        <w:pStyle w:val="Heading4"/>
      </w:pPr>
      <w:bookmarkStart w:id="195" w:name="_Toc71117856"/>
      <w:r w:rsidRPr="00D12C6F">
        <w:t>National Intermodal Corporation</w:t>
      </w:r>
      <w:r w:rsidRPr="00D12C6F">
        <w:rPr>
          <w:rFonts w:eastAsia="Arial"/>
        </w:rPr>
        <w:t xml:space="preserve"> </w:t>
      </w:r>
      <w:r w:rsidRPr="00D12C6F">
        <w:t>Limited – Termination of the Funding Agreement</w:t>
      </w:r>
      <w:bookmarkEnd w:id="195"/>
    </w:p>
    <w:p w14:paraId="313C9FAC" w14:textId="77777777" w:rsidR="001B5007" w:rsidRPr="00D12C6F" w:rsidRDefault="001B5007" w:rsidP="001B5007">
      <w:r w:rsidRPr="00D12C6F">
        <w:t xml:space="preserve">The Government has provided an indemnity to cover all costs and liabilities that may be incurred by the </w:t>
      </w:r>
      <w:r w:rsidRPr="00D12C6F">
        <w:rPr>
          <w:rFonts w:eastAsia="Book Antiqua"/>
        </w:rPr>
        <w:t xml:space="preserve">National Intermodal Corporation </w:t>
      </w:r>
      <w:r w:rsidRPr="00D12C6F">
        <w:t>Limited (</w:t>
      </w:r>
      <w:r w:rsidRPr="00D12C6F">
        <w:rPr>
          <w:rFonts w:eastAsia="Book Antiqua"/>
        </w:rPr>
        <w:t>National Intermodal</w:t>
      </w:r>
      <w:r w:rsidRPr="00D12C6F">
        <w:t xml:space="preserve">) if the Commonwealth terminates the Funding Agreement between the Commonwealth and </w:t>
      </w:r>
      <w:r w:rsidRPr="00D12C6F">
        <w:rPr>
          <w:rFonts w:eastAsia="Book Antiqua"/>
        </w:rPr>
        <w:t>National Intermodal</w:t>
      </w:r>
      <w:r w:rsidRPr="00D12C6F">
        <w:t>.</w:t>
      </w:r>
      <w:bookmarkStart w:id="196" w:name="_Toc71117859"/>
    </w:p>
    <w:p w14:paraId="7DC66A23" w14:textId="77777777" w:rsidR="001B5007" w:rsidRPr="00D12C6F" w:rsidRDefault="001B5007" w:rsidP="001B5007">
      <w:pPr>
        <w:pStyle w:val="Heading4"/>
      </w:pPr>
      <w:r w:rsidRPr="00D12C6F">
        <w:t>NBN Co Limited – Termination of the Equity Funding Agreement</w:t>
      </w:r>
    </w:p>
    <w:p w14:paraId="1250E370" w14:textId="77777777" w:rsidR="001B5007" w:rsidRPr="00D12C6F" w:rsidRDefault="001B5007" w:rsidP="001B5007">
      <w:r w:rsidRPr="00D12C6F">
        <w:t>The Government is required to cover all costs and liabilities that may be incurred by NBN</w:t>
      </w:r>
      <w:r>
        <w:t> </w:t>
      </w:r>
      <w:r w:rsidRPr="00D12C6F">
        <w:t xml:space="preserve">Co </w:t>
      </w:r>
      <w:r>
        <w:t xml:space="preserve">Limited </w:t>
      </w:r>
      <w:r w:rsidRPr="00D12C6F">
        <w:t>if the Commonwealth terminates the Equity Funding Agreement between the Commonwealth and NBN</w:t>
      </w:r>
      <w:r>
        <w:t> </w:t>
      </w:r>
      <w:r w:rsidRPr="00D12C6F">
        <w:t>Co</w:t>
      </w:r>
      <w:r>
        <w:t xml:space="preserve"> Limited</w:t>
      </w:r>
      <w:r w:rsidRPr="00D12C6F">
        <w:t>.</w:t>
      </w:r>
    </w:p>
    <w:bookmarkEnd w:id="196"/>
    <w:p w14:paraId="4431FA6E" w14:textId="77777777" w:rsidR="001B5007" w:rsidRPr="00D12C6F" w:rsidRDefault="001B5007" w:rsidP="001B5007">
      <w:pPr>
        <w:pStyle w:val="Heading4"/>
      </w:pPr>
      <w:r w:rsidRPr="00D12C6F">
        <w:lastRenderedPageBreak/>
        <w:t>Telstra Financial Guarantee</w:t>
      </w:r>
    </w:p>
    <w:p w14:paraId="4C613762" w14:textId="4C4C668B" w:rsidR="001B5007" w:rsidRPr="00D12C6F" w:rsidRDefault="001B5007" w:rsidP="001B5007">
      <w:r w:rsidRPr="00D12C6F">
        <w:t>The Government has provided Telstra Corporation Limited (Telstra) a guarantee in respect of NBN Co</w:t>
      </w:r>
      <w:r w:rsidR="00880FAB">
        <w:t>’</w:t>
      </w:r>
      <w:r w:rsidRPr="00D12C6F">
        <w:t xml:space="preserve">s financial obligations under the Definitive Agreements (the Agreements). The Agreements were amended on 14 December 2014. The </w:t>
      </w:r>
      <w:r>
        <w:t>g</w:t>
      </w:r>
      <w:r w:rsidRPr="00D12C6F">
        <w:t xml:space="preserve">uarantee was not amended at that </w:t>
      </w:r>
      <w:proofErr w:type="gramStart"/>
      <w:r w:rsidRPr="00D12C6F">
        <w:t>time</w:t>
      </w:r>
      <w:proofErr w:type="gramEnd"/>
      <w:r w:rsidRPr="00D12C6F">
        <w:t xml:space="preserve"> and it continues in force in accordance with its terms in respect of the amended Agreements. The liabilities under the Agreements between Telstra and NBN Co arise progressively during the roll</w:t>
      </w:r>
      <w:r w:rsidR="00880FAB">
        <w:noBreakHyphen/>
      </w:r>
      <w:r w:rsidRPr="00D12C6F">
        <w:t>out of the National Broadband Network as Telstra</w:t>
      </w:r>
      <w:r w:rsidR="00880FAB">
        <w:t>’</w:t>
      </w:r>
      <w:r w:rsidRPr="00D12C6F">
        <w:t>s infrastructure is accessed and Telstra</w:t>
      </w:r>
      <w:r w:rsidR="00880FAB">
        <w:t>’</w:t>
      </w:r>
      <w:r w:rsidRPr="00D12C6F">
        <w:t>s customers are disconnected from its copper and Hybrid Fibre Coaxial cable networks. The Government is only liable in the event NBN</w:t>
      </w:r>
      <w:r>
        <w:t> </w:t>
      </w:r>
      <w:r w:rsidRPr="00D12C6F">
        <w:t xml:space="preserve">Co does not pay an amount when due under the Agreements. As </w:t>
      </w:r>
      <w:proofErr w:type="gramStart"/>
      <w:r w:rsidRPr="00D12C6F">
        <w:t>at</w:t>
      </w:r>
      <w:proofErr w:type="gramEnd"/>
      <w:r w:rsidRPr="00D12C6F">
        <w:t xml:space="preserve"> 31</w:t>
      </w:r>
      <w:r>
        <w:t> </w:t>
      </w:r>
      <w:r w:rsidRPr="00D12C6F">
        <w:t>December</w:t>
      </w:r>
      <w:r>
        <w:t> </w:t>
      </w:r>
      <w:r w:rsidRPr="00D12C6F">
        <w:t>2025, NBN</w:t>
      </w:r>
      <w:r>
        <w:t> </w:t>
      </w:r>
      <w:r w:rsidRPr="00D12C6F">
        <w:t xml:space="preserve">Co liabilities covered by the Telstra </w:t>
      </w:r>
      <w:r>
        <w:t>g</w:t>
      </w:r>
      <w:r w:rsidRPr="00D12C6F">
        <w:t>uarantee were estimated at $11.4</w:t>
      </w:r>
      <w:r>
        <w:t> </w:t>
      </w:r>
      <w:r w:rsidRPr="00D12C6F">
        <w:t>billion.</w:t>
      </w:r>
    </w:p>
    <w:p w14:paraId="4694C2EE" w14:textId="7E3F3EAC" w:rsidR="001B5007" w:rsidRPr="00D12C6F" w:rsidRDefault="001B5007" w:rsidP="001B5007">
      <w:r w:rsidRPr="00D12C6F">
        <w:t xml:space="preserve">The </w:t>
      </w:r>
      <w:r>
        <w:t>g</w:t>
      </w:r>
      <w:r w:rsidRPr="00D12C6F">
        <w:t>uarantee will terminate when the following conditions are met:</w:t>
      </w:r>
    </w:p>
    <w:p w14:paraId="5406F588" w14:textId="77777777" w:rsidR="001B5007" w:rsidRPr="00D12C6F" w:rsidRDefault="001B5007" w:rsidP="001B5007">
      <w:pPr>
        <w:pStyle w:val="Bullet"/>
        <w:rPr>
          <w:rFonts w:eastAsia="Arial"/>
        </w:rPr>
      </w:pPr>
      <w:r w:rsidRPr="00D12C6F">
        <w:t>NBN Co achieves specified credit ratings for a period of two continuous years</w:t>
      </w:r>
    </w:p>
    <w:p w14:paraId="2A0650C7" w14:textId="77777777" w:rsidR="001B5007" w:rsidRPr="00D12C6F" w:rsidRDefault="001B5007" w:rsidP="001B5007">
      <w:pPr>
        <w:pStyle w:val="Bullet"/>
        <w:rPr>
          <w:rFonts w:eastAsia="Arial"/>
        </w:rPr>
      </w:pPr>
      <w:r w:rsidRPr="00D12C6F">
        <w:rPr>
          <w:rFonts w:eastAsia="Arial"/>
        </w:rPr>
        <w:t>the company is capitalised by the Commonwealth to the agreed amount</w:t>
      </w:r>
    </w:p>
    <w:p w14:paraId="4F55AB1F" w14:textId="77777777" w:rsidR="001B5007" w:rsidRPr="00D12C6F" w:rsidRDefault="001B5007" w:rsidP="001B5007">
      <w:pPr>
        <w:pStyle w:val="Bullet"/>
      </w:pPr>
      <w:r w:rsidRPr="00D12C6F">
        <w:t xml:space="preserve">the Communications Minister declares, under </w:t>
      </w:r>
      <w:r w:rsidRPr="00D12C6F">
        <w:rPr>
          <w:i/>
          <w:iCs/>
        </w:rPr>
        <w:t>the National Broadband Network Companies Act 2011</w:t>
      </w:r>
      <w:r w:rsidRPr="00D12C6F">
        <w:t>, that, in his or her opinion, the National Broadband Network should be treated as built and fully operational. This declaration was made on 11 December 2020.</w:t>
      </w:r>
    </w:p>
    <w:p w14:paraId="2492B362" w14:textId="77777777" w:rsidR="001B5007" w:rsidRPr="00D12C6F" w:rsidRDefault="001B5007" w:rsidP="001B5007">
      <w:pPr>
        <w:pStyle w:val="Heading4"/>
      </w:pPr>
      <w:r w:rsidRPr="00D12C6F">
        <w:t>Tripartite deeds relating to the sale of federal leased airports</w:t>
      </w:r>
    </w:p>
    <w:p w14:paraId="2AF87864" w14:textId="609C1398" w:rsidR="001B5007" w:rsidRPr="00D12C6F" w:rsidRDefault="001B5007" w:rsidP="001B5007">
      <w:r w:rsidRPr="00D12C6F">
        <w:t>The tripartite deeds between the Government, the airport lessee company and financiers, amend airport head leases to provide for limited step</w:t>
      </w:r>
      <w:r w:rsidR="00880FAB">
        <w:noBreakHyphen/>
      </w:r>
      <w:r w:rsidRPr="00D12C6F">
        <w:t xml:space="preserve">in rights for financiers in circumstances where the Government terminates the head lease to enable the financiers to correct the circumstances that triggered such a termination event. The tripartite deeds may require the Government to pay financiers compensation </w:t>
      </w:r>
      <w:proofErr w:type="gramStart"/>
      <w:r w:rsidRPr="00D12C6F">
        <w:t>as a result of</w:t>
      </w:r>
      <w:proofErr w:type="gramEnd"/>
      <w:r w:rsidRPr="00D12C6F">
        <w:t xml:space="preserve"> terminating the head lease, once all Government costs have been recovered. The Government</w:t>
      </w:r>
      <w:r w:rsidR="00880FAB">
        <w:t>’</w:t>
      </w:r>
      <w:r w:rsidRPr="00D12C6F">
        <w:t xml:space="preserve">s contingent liabilities </w:t>
      </w:r>
      <w:proofErr w:type="gramStart"/>
      <w:r w:rsidRPr="00D12C6F">
        <w:t>are considered to be</w:t>
      </w:r>
      <w:proofErr w:type="gramEnd"/>
      <w:r w:rsidRPr="00D12C6F">
        <w:t xml:space="preserve"> unquantifiable and remote.</w:t>
      </w:r>
    </w:p>
    <w:p w14:paraId="192F5A3D" w14:textId="02085E2B" w:rsidR="001B5007" w:rsidRPr="00D12C6F" w:rsidDel="00892695" w:rsidRDefault="001B5007" w:rsidP="001B5007">
      <w:pPr>
        <w:pStyle w:val="Heading4"/>
      </w:pPr>
      <w:bookmarkStart w:id="197" w:name="_Toc71117861"/>
      <w:r w:rsidRPr="00D12C6F">
        <w:t xml:space="preserve">WSA Co Limited – </w:t>
      </w:r>
      <w:r w:rsidRPr="00D12C6F" w:rsidDel="00892695">
        <w:t>Board Members</w:t>
      </w:r>
      <w:r w:rsidR="00880FAB">
        <w:t>’</w:t>
      </w:r>
      <w:r w:rsidRPr="00D12C6F">
        <w:t xml:space="preserve"> i</w:t>
      </w:r>
      <w:r w:rsidRPr="00D12C6F" w:rsidDel="00892695">
        <w:t>ndemnities</w:t>
      </w:r>
      <w:bookmarkEnd w:id="197"/>
    </w:p>
    <w:p w14:paraId="48A59BB2" w14:textId="5766818E" w:rsidR="001B5007" w:rsidRPr="00D12C6F" w:rsidRDefault="001B5007" w:rsidP="001B5007">
      <w:r w:rsidRPr="00D12C6F">
        <w:t>The Government has provided an indemnity to the inaugural directors of WSA Co Limited (WSA</w:t>
      </w:r>
      <w:r>
        <w:t> </w:t>
      </w:r>
      <w:r w:rsidRPr="00D12C6F">
        <w:t>Co) to protect them against certain claims relating to their role as directors. Unless the indemnity agreements are varied or ended, they cease to apply from the date the Commonwealth has fully satisfied its obligations to subscribe for equity in WSA Co pursuant to the WSA Co Equity Subscription Agreement.</w:t>
      </w:r>
    </w:p>
    <w:p w14:paraId="1452C4B9" w14:textId="77777777" w:rsidR="001B5007" w:rsidRPr="00D12C6F" w:rsidRDefault="001B5007" w:rsidP="001B5007">
      <w:pPr>
        <w:pStyle w:val="Heading4"/>
      </w:pPr>
      <w:r w:rsidRPr="00D12C6F">
        <w:t>WSA Co Limited – Sydney Metro – Western Sydney Airport indemnity</w:t>
      </w:r>
    </w:p>
    <w:p w14:paraId="4651A481" w14:textId="2BF094A6" w:rsidR="001B5007" w:rsidRPr="00D12C6F" w:rsidDel="00892695" w:rsidRDefault="001B5007" w:rsidP="001B5007">
      <w:r w:rsidRPr="00D12C6F">
        <w:t>The Government has provided an indemnity to cover liabilities that may be incurred by WSA Co Limited related to the integration of the Sydney Metro – Western Sydney Airport project (delivered by the New South Wales Government) with the Western Sydney International (Nancy</w:t>
      </w:r>
      <w:r w:rsidR="00880FAB">
        <w:noBreakHyphen/>
      </w:r>
      <w:r w:rsidRPr="00D12C6F">
        <w:t>Bird Walton) Airport, to the extent such liabilities are established in the Airport</w:t>
      </w:r>
      <w:r w:rsidR="00880FAB">
        <w:noBreakHyphen/>
      </w:r>
      <w:r w:rsidRPr="00D12C6F">
        <w:t>Rail Integration Deed.</w:t>
      </w:r>
    </w:p>
    <w:p w14:paraId="4520C4A7" w14:textId="77777777" w:rsidR="001B5007" w:rsidRPr="00D12C6F" w:rsidRDefault="001B5007" w:rsidP="001B5007">
      <w:pPr>
        <w:pStyle w:val="Heading4"/>
      </w:pPr>
      <w:bookmarkStart w:id="198" w:name="_Toc71117862"/>
      <w:r w:rsidRPr="00D12C6F">
        <w:lastRenderedPageBreak/>
        <w:t>WSA Co Limited – Termination of the Equity Subscription Agreement</w:t>
      </w:r>
      <w:bookmarkEnd w:id="198"/>
    </w:p>
    <w:p w14:paraId="152501B4" w14:textId="7D638568" w:rsidR="001B5007" w:rsidRPr="00D12C6F" w:rsidRDefault="001B5007" w:rsidP="001B5007">
      <w:r w:rsidRPr="00D12C6F">
        <w:t>The Government is required to cover all costs and liabilities that may be incurred by WSA</w:t>
      </w:r>
      <w:r>
        <w:t> </w:t>
      </w:r>
      <w:r w:rsidRPr="00D12C6F">
        <w:t>Co Limited if the Commonwealth terminates the Equity Subscription Agreement between the Commonwealth and WSA Co Limited.</w:t>
      </w:r>
    </w:p>
    <w:p w14:paraId="47BF115C" w14:textId="77777777" w:rsidR="001B5007" w:rsidRPr="00D12C6F" w:rsidRDefault="001B5007" w:rsidP="001B5007">
      <w:pPr>
        <w:pStyle w:val="Heading3"/>
      </w:pPr>
      <w:bookmarkStart w:id="199" w:name="_Toc223077575"/>
      <w:bookmarkStart w:id="200" w:name="_Toc228987417"/>
      <w:r w:rsidRPr="00D12C6F">
        <w:t>Contingent liabilities – unquantifiable</w:t>
      </w:r>
      <w:bookmarkEnd w:id="185"/>
      <w:bookmarkEnd w:id="186"/>
      <w:bookmarkEnd w:id="199"/>
      <w:bookmarkEnd w:id="200"/>
    </w:p>
    <w:p w14:paraId="0809CE64" w14:textId="166392F7" w:rsidR="001B5007" w:rsidRPr="00D12C6F" w:rsidRDefault="001B5007" w:rsidP="001B5007">
      <w:pPr>
        <w:pStyle w:val="Heading4"/>
        <w:rPr>
          <w:rFonts w:eastAsia="Arial"/>
          <w:lang w:val="en-US"/>
        </w:rPr>
      </w:pPr>
      <w:bookmarkStart w:id="201" w:name="_Toc71117865"/>
      <w:bookmarkStart w:id="202" w:name="_Toc71117866"/>
      <w:r w:rsidRPr="00D12C6F">
        <w:rPr>
          <w:rFonts w:eastAsia="Arial"/>
          <w:lang w:val="en-US"/>
        </w:rPr>
        <w:t>Australian Maritime Safety Authority – ship</w:t>
      </w:r>
      <w:r w:rsidR="00880FAB">
        <w:rPr>
          <w:rFonts w:eastAsia="Arial"/>
          <w:lang w:val="en-US"/>
        </w:rPr>
        <w:noBreakHyphen/>
      </w:r>
      <w:r w:rsidRPr="00D12C6F">
        <w:rPr>
          <w:rFonts w:eastAsia="Arial"/>
          <w:lang w:val="en-US"/>
        </w:rPr>
        <w:t>sourced pollution incident costs</w:t>
      </w:r>
    </w:p>
    <w:p w14:paraId="7B3F8F3E" w14:textId="4E7F03E4" w:rsidR="001B5007" w:rsidRPr="00D12C6F" w:rsidRDefault="001B5007" w:rsidP="001B5007">
      <w:r w:rsidRPr="00D12C6F">
        <w:t>In the normal course of operations, shipowners are liable for clean</w:t>
      </w:r>
      <w:r w:rsidR="00880FAB">
        <w:noBreakHyphen/>
      </w:r>
      <w:r w:rsidRPr="00D12C6F">
        <w:t>up costs arising from ship</w:t>
      </w:r>
      <w:r w:rsidR="00880FAB">
        <w:noBreakHyphen/>
      </w:r>
      <w:r w:rsidRPr="00D12C6F">
        <w:t>sourced marine pollution incidents. The Australian Maritime Safety Authority (AMSA) is responsible for ensuring that clean</w:t>
      </w:r>
      <w:r w:rsidR="00880FAB">
        <w:noBreakHyphen/>
      </w:r>
      <w:r w:rsidRPr="00D12C6F">
        <w:t>up operations commence immediately and, in all circumstances, seeks to recover these costs from ship owners. Where a polluter cannot be identified, or where costs cannot be fully recovered, AMSA bears the residual liability.</w:t>
      </w:r>
    </w:p>
    <w:p w14:paraId="50673136" w14:textId="1CE25CD8" w:rsidR="001B5007" w:rsidRPr="00D12C6F" w:rsidRDefault="001B5007" w:rsidP="001B5007">
      <w:r w:rsidRPr="00D12C6F">
        <w:t>AMSA maintains a pollution response financial capability to support clean</w:t>
      </w:r>
      <w:r w:rsidR="00880FAB">
        <w:noBreakHyphen/>
      </w:r>
      <w:r w:rsidRPr="00D12C6F">
        <w:t xml:space="preserve">up expenditure pending recovery. This capability recognises that response costs are incurred immediately, while recoveries typically occur over a longer period. The capability is supported by liquid investment reserves of $10 million. </w:t>
      </w:r>
    </w:p>
    <w:p w14:paraId="21D7CFD7" w14:textId="318063FD" w:rsidR="001B5007" w:rsidRPr="00D12C6F" w:rsidRDefault="001B5007" w:rsidP="001B5007">
      <w:r w:rsidRPr="00D12C6F">
        <w:t>Where costs exceed AMSA</w:t>
      </w:r>
      <w:r w:rsidR="00880FAB">
        <w:t>’</w:t>
      </w:r>
      <w:r w:rsidRPr="00D12C6F">
        <w:t>s pollution response financial capability, costs are met by the Government. Given the unpredictable nature, scale, and timing of ship</w:t>
      </w:r>
      <w:r w:rsidR="00880FAB">
        <w:noBreakHyphen/>
      </w:r>
      <w:r w:rsidRPr="00D12C6F">
        <w:t>sourced pollution incidents, it is not possible to estimate the amounts of any payments that may be required.</w:t>
      </w:r>
    </w:p>
    <w:p w14:paraId="6F4D422B" w14:textId="662B000E" w:rsidR="001B5007" w:rsidRPr="00D12C6F" w:rsidRDefault="001B5007" w:rsidP="001B5007">
      <w:pPr>
        <w:pStyle w:val="Heading4"/>
        <w:rPr>
          <w:rFonts w:eastAsia="Arial"/>
        </w:rPr>
      </w:pPr>
      <w:r w:rsidRPr="00D12C6F">
        <w:rPr>
          <w:rFonts w:eastAsia="Arial"/>
        </w:rPr>
        <w:t>Aviation rescue and firefighting services potential per</w:t>
      </w:r>
      <w:r w:rsidR="00880FAB">
        <w:rPr>
          <w:rFonts w:eastAsia="Arial"/>
        </w:rPr>
        <w:noBreakHyphen/>
      </w:r>
      <w:r w:rsidRPr="00D12C6F">
        <w:rPr>
          <w:rFonts w:eastAsia="Arial"/>
        </w:rPr>
        <w:t xml:space="preserve"> and poly</w:t>
      </w:r>
      <w:r w:rsidR="00880FAB">
        <w:rPr>
          <w:rFonts w:eastAsia="Arial"/>
        </w:rPr>
        <w:noBreakHyphen/>
      </w:r>
      <w:r w:rsidRPr="00D12C6F">
        <w:rPr>
          <w:rFonts w:eastAsia="Arial"/>
        </w:rPr>
        <w:t>fluoroalkyl substances contamination</w:t>
      </w:r>
      <w:bookmarkEnd w:id="201"/>
    </w:p>
    <w:p w14:paraId="01F06E60" w14:textId="5E3D9EB3" w:rsidR="001B5007" w:rsidRPr="00D12C6F" w:rsidRDefault="001B5007" w:rsidP="001B5007">
      <w:pPr>
        <w:rPr>
          <w:rFonts w:eastAsia="Calibri"/>
          <w:lang w:eastAsia="en-US"/>
        </w:rPr>
      </w:pPr>
      <w:bookmarkStart w:id="203" w:name="_Hlk182824988"/>
      <w:bookmarkEnd w:id="187"/>
      <w:bookmarkEnd w:id="202"/>
      <w:r w:rsidRPr="00D12C6F">
        <w:rPr>
          <w:rFonts w:eastAsia="Calibri"/>
          <w:lang w:eastAsia="en-US"/>
        </w:rPr>
        <w:t xml:space="preserve">The Department of Infrastructure, Transport, Regional Development, Communications, Sport and the Arts (DITRDCSA) has identified </w:t>
      </w:r>
      <w:proofErr w:type="gramStart"/>
      <w:r w:rsidRPr="00D12C6F">
        <w:rPr>
          <w:rFonts w:eastAsia="Calibri"/>
          <w:lang w:eastAsia="en-US"/>
        </w:rPr>
        <w:t>a number of</w:t>
      </w:r>
      <w:proofErr w:type="gramEnd"/>
      <w:r w:rsidRPr="00D12C6F">
        <w:rPr>
          <w:rFonts w:eastAsia="Calibri"/>
          <w:lang w:eastAsia="en-US"/>
        </w:rPr>
        <w:t xml:space="preserve"> sites in Australia potentially contaminated with per</w:t>
      </w:r>
      <w:r w:rsidR="00880FAB">
        <w:rPr>
          <w:rFonts w:eastAsia="Calibri"/>
          <w:lang w:eastAsia="en-US"/>
        </w:rPr>
        <w:noBreakHyphen/>
      </w:r>
      <w:r w:rsidRPr="00D12C6F">
        <w:rPr>
          <w:rFonts w:eastAsia="Calibri"/>
          <w:lang w:eastAsia="en-US"/>
        </w:rPr>
        <w:t xml:space="preserve"> and poly</w:t>
      </w:r>
      <w:r w:rsidR="00880FAB">
        <w:rPr>
          <w:rFonts w:eastAsia="Calibri"/>
          <w:lang w:eastAsia="en-US"/>
        </w:rPr>
        <w:noBreakHyphen/>
      </w:r>
      <w:r w:rsidRPr="00D12C6F">
        <w:rPr>
          <w:rFonts w:eastAsia="Calibri"/>
          <w:lang w:eastAsia="en-US"/>
        </w:rPr>
        <w:t xml:space="preserve">fluoroalkyl substances (PFAS), which were contained in firefighting foams. </w:t>
      </w:r>
    </w:p>
    <w:p w14:paraId="7FC70B00" w14:textId="77777777" w:rsidR="001B5007" w:rsidRPr="00D12C6F" w:rsidRDefault="001B5007" w:rsidP="001B5007">
      <w:pPr>
        <w:rPr>
          <w:rFonts w:eastAsia="Calibri"/>
          <w:lang w:eastAsia="en-US"/>
        </w:rPr>
      </w:pPr>
      <w:r w:rsidRPr="00D12C6F">
        <w:rPr>
          <w:rFonts w:eastAsia="Calibri"/>
          <w:lang w:eastAsia="en-US"/>
        </w:rPr>
        <w:t xml:space="preserve">PFAS contaminants do not naturally break down in the environment, and several have been listed on the Stockholm Convention as persistent contaminants. Australian health and environmental agencies have set a range of standards for environmental protection and precautionary health measures. </w:t>
      </w:r>
    </w:p>
    <w:p w14:paraId="11FDECB3" w14:textId="1360CDE3" w:rsidR="001B5007" w:rsidRPr="00D12C6F" w:rsidRDefault="001B5007" w:rsidP="001B5007">
      <w:pPr>
        <w:rPr>
          <w:rFonts w:eastAsia="Calibri"/>
          <w:lang w:eastAsia="en-US"/>
        </w:rPr>
      </w:pPr>
      <w:r w:rsidRPr="00D12C6F">
        <w:rPr>
          <w:rFonts w:eastAsia="Calibri"/>
          <w:lang w:eastAsia="en-US"/>
        </w:rPr>
        <w:t>Up to 37</w:t>
      </w:r>
      <w:r>
        <w:rPr>
          <w:rFonts w:eastAsia="Calibri"/>
          <w:lang w:eastAsia="en-US"/>
        </w:rPr>
        <w:t> </w:t>
      </w:r>
      <w:r w:rsidRPr="00D12C6F">
        <w:rPr>
          <w:rFonts w:eastAsia="Calibri"/>
          <w:lang w:eastAsia="en-US"/>
        </w:rPr>
        <w:t>airport sites are potentially contaminated with PFAS (20</w:t>
      </w:r>
      <w:r>
        <w:rPr>
          <w:rFonts w:eastAsia="Calibri"/>
          <w:lang w:eastAsia="en-US"/>
        </w:rPr>
        <w:t> </w:t>
      </w:r>
      <w:r w:rsidRPr="00D12C6F">
        <w:rPr>
          <w:rFonts w:eastAsia="Calibri"/>
          <w:lang w:eastAsia="en-US"/>
        </w:rPr>
        <w:t>federally</w:t>
      </w:r>
      <w:r w:rsidR="00880FAB">
        <w:rPr>
          <w:rFonts w:eastAsia="Calibri"/>
          <w:lang w:eastAsia="en-US"/>
        </w:rPr>
        <w:noBreakHyphen/>
      </w:r>
      <w:r w:rsidRPr="00D12C6F">
        <w:rPr>
          <w:rFonts w:eastAsia="Calibri"/>
          <w:lang w:eastAsia="en-US"/>
        </w:rPr>
        <w:t>leased airports and 17</w:t>
      </w:r>
      <w:r>
        <w:rPr>
          <w:rFonts w:eastAsia="Calibri"/>
          <w:lang w:eastAsia="en-US"/>
        </w:rPr>
        <w:t> </w:t>
      </w:r>
      <w:r w:rsidRPr="00D12C6F">
        <w:rPr>
          <w:rFonts w:eastAsia="Calibri"/>
          <w:lang w:eastAsia="en-US"/>
        </w:rPr>
        <w:t>regional airports), which relate to the Government</w:t>
      </w:r>
      <w:r w:rsidR="00880FAB">
        <w:rPr>
          <w:rFonts w:eastAsia="Calibri"/>
          <w:lang w:eastAsia="en-US"/>
        </w:rPr>
        <w:t>’</w:t>
      </w:r>
      <w:r w:rsidRPr="00D12C6F">
        <w:rPr>
          <w:rFonts w:eastAsia="Calibri"/>
          <w:lang w:eastAsia="en-US"/>
        </w:rPr>
        <w:t>s provision of firefighting services. DITRDCSA is undertaking PFAS investigations at these airports to understand the risks and develop management plans for any identified PFAS contamination. These investigations are funded under DITRDCSA</w:t>
      </w:r>
      <w:r w:rsidR="00880FAB">
        <w:rPr>
          <w:rFonts w:eastAsia="Calibri"/>
          <w:lang w:eastAsia="en-US"/>
        </w:rPr>
        <w:t>’</w:t>
      </w:r>
      <w:r w:rsidRPr="00D12C6F">
        <w:rPr>
          <w:rFonts w:eastAsia="Calibri"/>
          <w:lang w:eastAsia="en-US"/>
        </w:rPr>
        <w:t>s $130.5 million PFAS Airports Investigation Program (the Program). Airservices Australia (Airservices) is continuing to implement the National PFAS Management Program, which includes ongoing PFAS investigations at 18 airport sites. The costs of potential long</w:t>
      </w:r>
      <w:r w:rsidR="00880FAB">
        <w:rPr>
          <w:rFonts w:eastAsia="Calibri"/>
          <w:lang w:eastAsia="en-US"/>
        </w:rPr>
        <w:noBreakHyphen/>
      </w:r>
      <w:r w:rsidRPr="00D12C6F">
        <w:rPr>
          <w:rFonts w:eastAsia="Calibri"/>
          <w:lang w:eastAsia="en-US"/>
        </w:rPr>
        <w:t xml:space="preserve">term management options cannot be accurately quantified at this time. </w:t>
      </w:r>
    </w:p>
    <w:p w14:paraId="556E5695" w14:textId="0E3CC1BD" w:rsidR="001B5007" w:rsidRPr="00D12C6F" w:rsidRDefault="001B5007" w:rsidP="001B5007">
      <w:pPr>
        <w:rPr>
          <w:rFonts w:eastAsia="Calibri"/>
          <w:lang w:eastAsia="en-US"/>
        </w:rPr>
      </w:pPr>
      <w:r w:rsidRPr="00D12C6F">
        <w:rPr>
          <w:rFonts w:eastAsia="Calibri"/>
          <w:lang w:eastAsia="en-US"/>
        </w:rPr>
        <w:lastRenderedPageBreak/>
        <w:t>For Commonwealth</w:t>
      </w:r>
      <w:r w:rsidR="00880FAB">
        <w:rPr>
          <w:rFonts w:eastAsia="Calibri"/>
          <w:lang w:eastAsia="en-US"/>
        </w:rPr>
        <w:noBreakHyphen/>
      </w:r>
      <w:r w:rsidRPr="00D12C6F">
        <w:rPr>
          <w:rFonts w:eastAsia="Calibri"/>
          <w:lang w:eastAsia="en-US"/>
        </w:rPr>
        <w:t>owned airports that are leased on a long</w:t>
      </w:r>
      <w:r w:rsidR="00880FAB">
        <w:rPr>
          <w:rFonts w:eastAsia="Calibri"/>
          <w:lang w:eastAsia="en-US"/>
        </w:rPr>
        <w:noBreakHyphen/>
      </w:r>
      <w:r w:rsidRPr="00D12C6F">
        <w:rPr>
          <w:rFonts w:eastAsia="Calibri"/>
          <w:lang w:eastAsia="en-US"/>
        </w:rPr>
        <w:t xml:space="preserve">term basis, </w:t>
      </w:r>
      <w:r>
        <w:rPr>
          <w:rFonts w:eastAsia="Calibri"/>
          <w:lang w:eastAsia="en-US"/>
        </w:rPr>
        <w:t>a</w:t>
      </w:r>
      <w:r w:rsidRPr="00D12C6F">
        <w:rPr>
          <w:rFonts w:eastAsia="Calibri"/>
          <w:lang w:eastAsia="en-US"/>
        </w:rPr>
        <w:t xml:space="preserve">irport </w:t>
      </w:r>
      <w:r>
        <w:rPr>
          <w:rFonts w:eastAsia="Calibri"/>
          <w:lang w:eastAsia="en-US"/>
        </w:rPr>
        <w:t>l</w:t>
      </w:r>
      <w:r w:rsidRPr="00D12C6F">
        <w:rPr>
          <w:rFonts w:eastAsia="Calibri"/>
          <w:lang w:eastAsia="en-US"/>
        </w:rPr>
        <w:t xml:space="preserve">essee </w:t>
      </w:r>
      <w:r>
        <w:rPr>
          <w:rFonts w:eastAsia="Calibri"/>
          <w:lang w:eastAsia="en-US"/>
        </w:rPr>
        <w:t>c</w:t>
      </w:r>
      <w:r w:rsidRPr="00D12C6F">
        <w:rPr>
          <w:rFonts w:eastAsia="Calibri"/>
          <w:lang w:eastAsia="en-US"/>
        </w:rPr>
        <w:t>ompanies are responsible for environmental management of their airport sites. Airport leases indemnify the Commonwealth in relation to damages or injury to the environment, including in respect of costs and claims arising due to such damages or injury. However, these leases do not indemnify Airservices, as it is a corporate Commonwealth entity. The Commonwealth is not indemnified for 16 airports (which are privately or local government owned) in the Program</w:t>
      </w:r>
      <w:r w:rsidR="00880FAB">
        <w:rPr>
          <w:rFonts w:eastAsia="Calibri"/>
          <w:lang w:eastAsia="en-US"/>
        </w:rPr>
        <w:t>’</w:t>
      </w:r>
      <w:r w:rsidRPr="00D12C6F">
        <w:rPr>
          <w:rFonts w:eastAsia="Calibri"/>
          <w:lang w:eastAsia="en-US"/>
        </w:rPr>
        <w:t>s scope because the Commonwealth is not a party to any lease deed at these airports. The costs of potential long</w:t>
      </w:r>
      <w:r w:rsidR="00880FAB">
        <w:rPr>
          <w:rFonts w:eastAsia="Calibri"/>
          <w:lang w:eastAsia="en-US"/>
        </w:rPr>
        <w:noBreakHyphen/>
      </w:r>
      <w:r w:rsidRPr="00D12C6F">
        <w:rPr>
          <w:rFonts w:eastAsia="Calibri"/>
          <w:lang w:eastAsia="en-US"/>
        </w:rPr>
        <w:t xml:space="preserve">term management options cannot be quantified at this time. </w:t>
      </w:r>
    </w:p>
    <w:p w14:paraId="04FC7DE1" w14:textId="6B824240" w:rsidR="001B5007" w:rsidRPr="00D12C6F" w:rsidRDefault="001B5007" w:rsidP="001B5007">
      <w:pPr>
        <w:rPr>
          <w:rFonts w:eastAsia="Calibri"/>
          <w:lang w:eastAsia="en-US"/>
        </w:rPr>
      </w:pPr>
      <w:proofErr w:type="gramStart"/>
      <w:r w:rsidRPr="00D12C6F">
        <w:rPr>
          <w:rFonts w:eastAsia="Calibri"/>
          <w:lang w:eastAsia="en-US"/>
        </w:rPr>
        <w:t>A number of</w:t>
      </w:r>
      <w:proofErr w:type="gramEnd"/>
      <w:r w:rsidRPr="00D12C6F">
        <w:rPr>
          <w:rFonts w:eastAsia="Calibri"/>
          <w:lang w:eastAsia="en-US"/>
        </w:rPr>
        <w:t xml:space="preserve"> Airport Lessee Companies have requested that Airport Environment Officers (AEOs) issue remedial orders to Airservices for PFAS contamination under the </w:t>
      </w:r>
      <w:r w:rsidRPr="00D12C6F">
        <w:rPr>
          <w:rFonts w:eastAsia="Calibri"/>
          <w:i/>
          <w:iCs/>
        </w:rPr>
        <w:t>Airports (Environment Protection) Regulations 1997</w:t>
      </w:r>
      <w:r w:rsidRPr="00D12C6F">
        <w:rPr>
          <w:rFonts w:eastAsia="Calibri"/>
        </w:rPr>
        <w:t xml:space="preserve">. </w:t>
      </w:r>
      <w:r w:rsidRPr="00D12C6F">
        <w:rPr>
          <w:rFonts w:eastAsia="Calibri"/>
          <w:lang w:eastAsia="en-US"/>
        </w:rPr>
        <w:t xml:space="preserve">Two Environmental Remedial Orders have been issued to Airservices, directing it to undertake specified remedial work at Launceston and Canberra airports, within a set timeframe. AEOs are also actively considering regulatory action at Brisbane, Moorabbin and Sydney Airports. </w:t>
      </w:r>
    </w:p>
    <w:p w14:paraId="6575DBDB" w14:textId="19E7E68A" w:rsidR="001B5007" w:rsidRPr="00D12C6F" w:rsidRDefault="001B5007" w:rsidP="001B5007">
      <w:pPr>
        <w:rPr>
          <w:rFonts w:eastAsia="Calibri"/>
          <w:lang w:eastAsia="en-US"/>
        </w:rPr>
      </w:pPr>
      <w:r w:rsidRPr="00D12C6F">
        <w:rPr>
          <w:rFonts w:eastAsia="Calibri"/>
          <w:lang w:eastAsia="en-US"/>
        </w:rPr>
        <w:t>Brisbane Airport Corporation has commenced legal proceedings in the Queensland Supreme Court against Airservices concerning legacy PFAS contamination from Airservices</w:t>
      </w:r>
      <w:r w:rsidR="00880FAB">
        <w:rPr>
          <w:rFonts w:eastAsia="Calibri"/>
          <w:lang w:eastAsia="en-US"/>
        </w:rPr>
        <w:t>’</w:t>
      </w:r>
      <w:r w:rsidRPr="00D12C6F">
        <w:rPr>
          <w:rFonts w:eastAsia="Calibri"/>
          <w:lang w:eastAsia="en-US"/>
        </w:rPr>
        <w:t xml:space="preserve"> use of firefighting foams containing PFAS at the airport. Perth Airport Pty Ltd has also commenced legal proceedings against Airservices in relation to PFAS contamination in the Federal Court. Potential costs relating to these matters are unquantifiable </w:t>
      </w:r>
      <w:proofErr w:type="gramStart"/>
      <w:r w:rsidRPr="00D12C6F">
        <w:rPr>
          <w:rFonts w:eastAsia="Calibri"/>
          <w:lang w:eastAsia="en-US"/>
        </w:rPr>
        <w:t>at this time</w:t>
      </w:r>
      <w:proofErr w:type="gramEnd"/>
      <w:r w:rsidRPr="00D12C6F">
        <w:rPr>
          <w:rFonts w:eastAsia="Calibri"/>
          <w:lang w:eastAsia="en-US"/>
        </w:rPr>
        <w:t>.</w:t>
      </w:r>
      <w:bookmarkEnd w:id="203"/>
      <w:r w:rsidRPr="00D12C6F">
        <w:rPr>
          <w:rFonts w:eastAsia="Calibri"/>
          <w:lang w:eastAsia="en-US"/>
        </w:rPr>
        <w:t xml:space="preserve"> </w:t>
      </w:r>
    </w:p>
    <w:p w14:paraId="75804675" w14:textId="77777777" w:rsidR="001B5007" w:rsidRPr="00D12C6F" w:rsidRDefault="001B5007" w:rsidP="001B5007">
      <w:pPr>
        <w:pStyle w:val="Heading4"/>
      </w:pPr>
      <w:r w:rsidRPr="00D12C6F">
        <w:t>Indemnity provided to the New South Wales Rural Fire Fighting Service in relation to the Jervis Bay Territory</w:t>
      </w:r>
    </w:p>
    <w:p w14:paraId="551BF7E7" w14:textId="11F89C0D" w:rsidR="001B5007" w:rsidRPr="00D12C6F" w:rsidRDefault="001B5007" w:rsidP="001B5007">
      <w:pPr>
        <w:rPr>
          <w:rFonts w:eastAsia="Arial"/>
          <w:b/>
          <w:bCs/>
          <w:lang w:val="en-US"/>
        </w:rPr>
      </w:pPr>
      <w:bookmarkStart w:id="204" w:name="_Toc71117868"/>
      <w:r w:rsidRPr="00D12C6F">
        <w:t>The Department of Infrastructure, Transport, Regional Development, Communications, Sport and the Arts (DITRDCSA) engages the New South Wales Rural Fire Service (NSW</w:t>
      </w:r>
      <w:r>
        <w:t> </w:t>
      </w:r>
      <w:r w:rsidRPr="00D12C6F">
        <w:t xml:space="preserve">RFS) to provide fire management in the Jervis Bay Territory (JBT). To provide these services, the NSW RFS requires the Australian Government to provide an uncapped indemnity against any actions or claims resulting from the actions of the NSW RFS while providing fire management services in the JBT. The indemnity covers the same </w:t>
      </w:r>
      <w:proofErr w:type="gramStart"/>
      <w:r w:rsidRPr="00D12C6F">
        <w:t>period of time</w:t>
      </w:r>
      <w:proofErr w:type="gramEnd"/>
      <w:r w:rsidRPr="00D12C6F">
        <w:t xml:space="preserve"> for which NSW RFS is engaged to provide the fire management services. The likelihood of an event occurring that may result in a liability for the Australian</w:t>
      </w:r>
      <w:r>
        <w:t> </w:t>
      </w:r>
      <w:r w:rsidRPr="00D12C6F">
        <w:t xml:space="preserve">Government is assessed as unlikely. The risk of a liability is mitigated through a range of risk management measures, including the </w:t>
      </w:r>
      <w:r w:rsidRPr="00D12C6F">
        <w:rPr>
          <w:rStyle w:val="Emphasis"/>
        </w:rPr>
        <w:t>Jervis Bay Territory Rural Fires Ordinance 2014</w:t>
      </w:r>
      <w:r w:rsidRPr="00D12C6F">
        <w:t>, the establishment of a JBT Emergency Management Committee (EMC), a fire management plan prepared and implemented by the EMC, NSW RFS staff training and professional qualifications and DITRDCSA actively managing the Service Level Agreement with the NSW</w:t>
      </w:r>
      <w:r w:rsidR="00081CA0">
        <w:t> </w:t>
      </w:r>
      <w:r w:rsidRPr="00D12C6F">
        <w:t>RFS.</w:t>
      </w:r>
    </w:p>
    <w:p w14:paraId="2D024D6F" w14:textId="77777777" w:rsidR="001B5007" w:rsidRPr="00D12C6F" w:rsidRDefault="001B5007" w:rsidP="001B5007">
      <w:pPr>
        <w:pStyle w:val="Heading4"/>
      </w:pPr>
      <w:r w:rsidRPr="00D12C6F">
        <w:t>Major sporting events</w:t>
      </w:r>
    </w:p>
    <w:p w14:paraId="4C61601C" w14:textId="79F9A729" w:rsidR="001B5007" w:rsidRPr="00B90E54" w:rsidRDefault="001B5007" w:rsidP="001B5007">
      <w:r w:rsidRPr="00B90E54">
        <w:rPr>
          <w:b/>
          <w:bCs/>
        </w:rPr>
        <w:t>Brisbane 2032 Olympic and Paralympic Games</w:t>
      </w:r>
      <w:r w:rsidRPr="00B90E54">
        <w:t xml:space="preserve"> – On 21 July 2021, the International Olympic Committee selected Brisbane to host the 2032 Olympic and Paralympic Games. On 19 August</w:t>
      </w:r>
      <w:r w:rsidR="004341C4">
        <w:t> 2025</w:t>
      </w:r>
      <w:r w:rsidRPr="00B90E54">
        <w:t xml:space="preserve">, the Australian Government and the Queensland Government signed a revised bilateral agreement on matters of shared interest, including a capped capital </w:t>
      </w:r>
      <w:r w:rsidRPr="00B90E54">
        <w:lastRenderedPageBreak/>
        <w:t xml:space="preserve">contribution towards the Games venue infrastructure by the Australian Government. The Australian Government has also committed to provide a range of guarantees to the International Olympic Committee for provision of government services in support of Brisbane hosting the Games. The financial implications of this support are not quantifiable </w:t>
      </w:r>
      <w:proofErr w:type="gramStart"/>
      <w:r w:rsidRPr="00B90E54">
        <w:t>at this time</w:t>
      </w:r>
      <w:proofErr w:type="gramEnd"/>
      <w:r w:rsidRPr="00B90E54">
        <w:t>.</w:t>
      </w:r>
    </w:p>
    <w:p w14:paraId="4EB0E245" w14:textId="0CDD5263" w:rsidR="001B5007" w:rsidRPr="00EA55E3" w:rsidRDefault="001B5007" w:rsidP="001B5007">
      <w:bookmarkStart w:id="205" w:name="_Toc71117869"/>
      <w:bookmarkEnd w:id="204"/>
      <w:r w:rsidRPr="00EA55E3">
        <w:rPr>
          <w:b/>
          <w:bCs/>
        </w:rPr>
        <w:t>2027 Rugby World Cup and 2029 Women</w:t>
      </w:r>
      <w:r w:rsidR="00880FAB">
        <w:rPr>
          <w:b/>
          <w:bCs/>
        </w:rPr>
        <w:t>’</w:t>
      </w:r>
      <w:r w:rsidRPr="00EA55E3">
        <w:rPr>
          <w:b/>
          <w:bCs/>
        </w:rPr>
        <w:t>s Rugby World Cup</w:t>
      </w:r>
      <w:r w:rsidRPr="00EA55E3">
        <w:t xml:space="preserve"> – On 12 May 2022, World Rugby selected Australia as the host of the 2027 Rugby World Cup and the 2029 Women</w:t>
      </w:r>
      <w:r w:rsidR="00880FAB">
        <w:t>’</w:t>
      </w:r>
      <w:r w:rsidRPr="00EA55E3">
        <w:t>s Rugby World Cup. In addition to the financial assistance provided in the 2022</w:t>
      </w:r>
      <w:r w:rsidRPr="00EA55E3">
        <w:rPr>
          <w:rFonts w:ascii="Times New Roman" w:hAnsi="Times New Roman"/>
        </w:rPr>
        <w:t>‍</w:t>
      </w:r>
      <w:r w:rsidRPr="00EA55E3">
        <w:rPr>
          <w:rFonts w:cs="Book Antiqua"/>
        </w:rPr>
        <w:t>–</w:t>
      </w:r>
      <w:r w:rsidRPr="00EA55E3">
        <w:rPr>
          <w:rFonts w:ascii="Times New Roman" w:hAnsi="Times New Roman"/>
        </w:rPr>
        <w:t>‍</w:t>
      </w:r>
      <w:r w:rsidRPr="00EA55E3">
        <w:t>23</w:t>
      </w:r>
      <w:r w:rsidRPr="00EA55E3">
        <w:rPr>
          <w:rFonts w:cs="Book Antiqua"/>
        </w:rPr>
        <w:t> </w:t>
      </w:r>
      <w:r w:rsidRPr="00EA55E3">
        <w:t>March</w:t>
      </w:r>
      <w:r w:rsidRPr="00EA55E3">
        <w:rPr>
          <w:rFonts w:cs="Book Antiqua"/>
        </w:rPr>
        <w:t> </w:t>
      </w:r>
      <w:r w:rsidRPr="00EA55E3">
        <w:t>Budget to support event delivery and legacy programs, the Government has</w:t>
      </w:r>
      <w:r w:rsidRPr="00EA55E3">
        <w:rPr>
          <w:rFonts w:cs="Book Antiqua"/>
        </w:rPr>
        <w:t> </w:t>
      </w:r>
      <w:r w:rsidRPr="00EA55E3">
        <w:t xml:space="preserve">committed to provide services and support (such as security commitments and visa processing for participants and support staff). The financial implication of this additional support is not quantifiable </w:t>
      </w:r>
      <w:proofErr w:type="gramStart"/>
      <w:r w:rsidRPr="00EA55E3">
        <w:t>at this time</w:t>
      </w:r>
      <w:proofErr w:type="gramEnd"/>
      <w:r w:rsidRPr="00EA55E3">
        <w:t>.</w:t>
      </w:r>
    </w:p>
    <w:p w14:paraId="72E55192" w14:textId="77777777" w:rsidR="001B5007" w:rsidRPr="00D12C6F" w:rsidRDefault="001B5007" w:rsidP="001B5007">
      <w:pPr>
        <w:pStyle w:val="Heading4"/>
      </w:pPr>
      <w:r w:rsidRPr="00D12C6F">
        <w:t>Moorebank Intermodal Project – Georges River rail crossing</w:t>
      </w:r>
    </w:p>
    <w:p w14:paraId="62774C71" w14:textId="78C65865" w:rsidR="001B5007" w:rsidRPr="00D12C6F" w:rsidRDefault="001B5007" w:rsidP="001B5007">
      <w:r w:rsidRPr="00D12C6F">
        <w:t>The</w:t>
      </w:r>
      <w:r w:rsidRPr="00D12C6F">
        <w:rPr>
          <w:spacing w:val="-12"/>
        </w:rPr>
        <w:t xml:space="preserve"> </w:t>
      </w:r>
      <w:r w:rsidRPr="00D12C6F">
        <w:t>Australian</w:t>
      </w:r>
      <w:r w:rsidRPr="00D12C6F">
        <w:rPr>
          <w:spacing w:val="-13"/>
        </w:rPr>
        <w:t xml:space="preserve"> </w:t>
      </w:r>
      <w:r w:rsidRPr="00D12C6F">
        <w:t>Government</w:t>
      </w:r>
      <w:r w:rsidRPr="00D12C6F">
        <w:rPr>
          <w:spacing w:val="-12"/>
        </w:rPr>
        <w:t xml:space="preserve"> </w:t>
      </w:r>
      <w:r w:rsidRPr="00D12C6F">
        <w:t>has</w:t>
      </w:r>
      <w:r w:rsidRPr="00D12C6F">
        <w:rPr>
          <w:spacing w:val="-13"/>
        </w:rPr>
        <w:t xml:space="preserve"> </w:t>
      </w:r>
      <w:r w:rsidRPr="00D12C6F">
        <w:t>provided</w:t>
      </w:r>
      <w:r w:rsidRPr="00D12C6F">
        <w:rPr>
          <w:spacing w:val="-12"/>
        </w:rPr>
        <w:t xml:space="preserve"> </w:t>
      </w:r>
      <w:r w:rsidRPr="00D12C6F">
        <w:t>an</w:t>
      </w:r>
      <w:r w:rsidRPr="00D12C6F">
        <w:rPr>
          <w:spacing w:val="-12"/>
        </w:rPr>
        <w:t xml:space="preserve"> </w:t>
      </w:r>
      <w:r w:rsidRPr="00D12C6F">
        <w:t>indemnity</w:t>
      </w:r>
      <w:r w:rsidRPr="00D12C6F">
        <w:rPr>
          <w:spacing w:val="-13"/>
        </w:rPr>
        <w:t xml:space="preserve"> </w:t>
      </w:r>
      <w:r w:rsidRPr="00D12C6F">
        <w:t>to</w:t>
      </w:r>
      <w:r w:rsidRPr="00D12C6F">
        <w:rPr>
          <w:spacing w:val="-14"/>
        </w:rPr>
        <w:t xml:space="preserve"> </w:t>
      </w:r>
      <w:r w:rsidRPr="00D12C6F">
        <w:t>cover</w:t>
      </w:r>
      <w:r w:rsidRPr="00D12C6F">
        <w:rPr>
          <w:spacing w:val="-11"/>
        </w:rPr>
        <w:t xml:space="preserve"> </w:t>
      </w:r>
      <w:r w:rsidRPr="00D12C6F">
        <w:t>costs</w:t>
      </w:r>
      <w:r w:rsidRPr="00D12C6F">
        <w:rPr>
          <w:spacing w:val="-13"/>
        </w:rPr>
        <w:t xml:space="preserve"> </w:t>
      </w:r>
      <w:r w:rsidRPr="00D12C6F">
        <w:t>and</w:t>
      </w:r>
      <w:r w:rsidRPr="00D12C6F">
        <w:rPr>
          <w:spacing w:val="-12"/>
        </w:rPr>
        <w:t xml:space="preserve"> </w:t>
      </w:r>
      <w:r w:rsidRPr="00D12C6F">
        <w:t>liabilities</w:t>
      </w:r>
      <w:r w:rsidRPr="00D12C6F">
        <w:rPr>
          <w:spacing w:val="-12"/>
        </w:rPr>
        <w:t xml:space="preserve"> </w:t>
      </w:r>
      <w:r w:rsidRPr="00D12C6F">
        <w:t>that may</w:t>
      </w:r>
      <w:r w:rsidRPr="00D12C6F">
        <w:rPr>
          <w:spacing w:val="-7"/>
        </w:rPr>
        <w:t xml:space="preserve"> </w:t>
      </w:r>
      <w:r w:rsidRPr="00D12C6F">
        <w:t>be</w:t>
      </w:r>
      <w:r w:rsidRPr="00D12C6F">
        <w:rPr>
          <w:spacing w:val="-6"/>
        </w:rPr>
        <w:t xml:space="preserve"> </w:t>
      </w:r>
      <w:r w:rsidRPr="00D12C6F">
        <w:t>incurred</w:t>
      </w:r>
      <w:r w:rsidRPr="00D12C6F">
        <w:rPr>
          <w:spacing w:val="-6"/>
        </w:rPr>
        <w:t xml:space="preserve"> </w:t>
      </w:r>
      <w:r w:rsidRPr="00D12C6F">
        <w:t>by</w:t>
      </w:r>
      <w:r w:rsidRPr="00D12C6F">
        <w:rPr>
          <w:spacing w:val="-7"/>
        </w:rPr>
        <w:t xml:space="preserve"> </w:t>
      </w:r>
      <w:r w:rsidRPr="00D12C6F">
        <w:t>New</w:t>
      </w:r>
      <w:r w:rsidRPr="00D12C6F">
        <w:rPr>
          <w:spacing w:val="-7"/>
        </w:rPr>
        <w:t xml:space="preserve"> </w:t>
      </w:r>
      <w:r w:rsidRPr="00D12C6F">
        <w:t>South</w:t>
      </w:r>
      <w:r w:rsidRPr="00D12C6F">
        <w:rPr>
          <w:spacing w:val="-5"/>
        </w:rPr>
        <w:t xml:space="preserve"> </w:t>
      </w:r>
      <w:r w:rsidRPr="00D12C6F">
        <w:t>Wales</w:t>
      </w:r>
      <w:r w:rsidRPr="00D12C6F">
        <w:rPr>
          <w:spacing w:val="-7"/>
        </w:rPr>
        <w:t xml:space="preserve"> </w:t>
      </w:r>
      <w:r w:rsidRPr="00D12C6F">
        <w:t>arising</w:t>
      </w:r>
      <w:r w:rsidRPr="00D12C6F">
        <w:rPr>
          <w:spacing w:val="-7"/>
        </w:rPr>
        <w:t xml:space="preserve"> </w:t>
      </w:r>
      <w:r w:rsidRPr="00D12C6F">
        <w:t>under</w:t>
      </w:r>
      <w:r w:rsidRPr="00D12C6F">
        <w:rPr>
          <w:spacing w:val="-6"/>
        </w:rPr>
        <w:t xml:space="preserve"> </w:t>
      </w:r>
      <w:r w:rsidRPr="00D12C6F">
        <w:t>the</w:t>
      </w:r>
      <w:r w:rsidRPr="00D12C6F">
        <w:rPr>
          <w:spacing w:val="-1"/>
        </w:rPr>
        <w:t xml:space="preserve"> </w:t>
      </w:r>
      <w:r w:rsidRPr="00D12C6F">
        <w:rPr>
          <w:i/>
          <w:iCs/>
        </w:rPr>
        <w:t>Native Title Act 1993 (</w:t>
      </w:r>
      <w:proofErr w:type="spellStart"/>
      <w:r w:rsidRPr="00D12C6F">
        <w:rPr>
          <w:i/>
          <w:iCs/>
        </w:rPr>
        <w:t>Cth</w:t>
      </w:r>
      <w:proofErr w:type="spellEnd"/>
      <w:r w:rsidRPr="00D12C6F">
        <w:rPr>
          <w:i/>
          <w:iCs/>
        </w:rPr>
        <w:t>)</w:t>
      </w:r>
      <w:r w:rsidRPr="00D12C6F">
        <w:rPr>
          <w:i/>
        </w:rPr>
        <w:t xml:space="preserve"> </w:t>
      </w:r>
      <w:r w:rsidRPr="00D12C6F">
        <w:t xml:space="preserve">associated with the rail bridge over the Georges River </w:t>
      </w:r>
      <w:r w:rsidRPr="00D12C6F">
        <w:rPr>
          <w:spacing w:val="4"/>
        </w:rPr>
        <w:t xml:space="preserve">to </w:t>
      </w:r>
      <w:r w:rsidRPr="00D12C6F">
        <w:t>the Moorebank Intermodal Terminal. The likelihood of costs being incurred is considered remote and potential costs are unquantifiable.</w:t>
      </w:r>
    </w:p>
    <w:p w14:paraId="15BC7560" w14:textId="77777777" w:rsidR="001B5007" w:rsidRPr="00D12C6F" w:rsidRDefault="001B5007" w:rsidP="001B5007">
      <w:pPr>
        <w:pStyle w:val="Heading4"/>
        <w:rPr>
          <w:rFonts w:eastAsia="Arial"/>
        </w:rPr>
      </w:pPr>
      <w:r w:rsidRPr="00D12C6F">
        <w:rPr>
          <w:rFonts w:eastAsia="Arial"/>
        </w:rPr>
        <w:t xml:space="preserve">Service Delivery Arrangement Indemnities </w:t>
      </w:r>
      <w:r w:rsidRPr="00D12C6F">
        <w:rPr>
          <w:rFonts w:eastAsia="Calibri"/>
        </w:rPr>
        <w:t>–</w:t>
      </w:r>
      <w:r w:rsidRPr="00D12C6F">
        <w:rPr>
          <w:rFonts w:eastAsia="Arial"/>
        </w:rPr>
        <w:t xml:space="preserve"> Indian Ocean Territories and Jervis Bay Territory</w:t>
      </w:r>
      <w:bookmarkEnd w:id="205"/>
    </w:p>
    <w:p w14:paraId="79EFB40C" w14:textId="6C3A1C3D" w:rsidR="001B5007" w:rsidRPr="00D12C6F" w:rsidRDefault="001B5007" w:rsidP="001B5007">
      <w:bookmarkStart w:id="206" w:name="_Toc71117870"/>
      <w:r w:rsidRPr="00D12C6F">
        <w:t xml:space="preserve">Since 1992, the Australian Government has </w:t>
      </w:r>
      <w:proofErr w:type="gramStart"/>
      <w:r w:rsidRPr="00D12C6F">
        <w:t>entered into</w:t>
      </w:r>
      <w:proofErr w:type="gramEnd"/>
      <w:r w:rsidRPr="00D12C6F">
        <w:t xml:space="preserve"> Service Delivery Arrangements with the Western Australian (WA) Government for the provision of services to the Indian Ocean Territories of Christmas Island and the Cocos (Keeling) Islands. The Australian Government has provided certain indemnities for the WA Government and its respective officers, agents, contractors and employees against civil claims relating to their employment and conduct as officers.</w:t>
      </w:r>
    </w:p>
    <w:p w14:paraId="7BDB17D5" w14:textId="00200DA8" w:rsidR="001B5007" w:rsidRPr="00D12C6F" w:rsidRDefault="001B5007" w:rsidP="001B5007">
      <w:r w:rsidRPr="00D12C6F">
        <w:t>The Australian Capital Territory (ACT) Government provides services to the Jervis Bay Territory under a Memorandum of Understanding. The Australian Government has provided certain indemnities for the ACT Government authorities and officials in relation to the delivery of services to the Jervis Bay Territory.</w:t>
      </w:r>
    </w:p>
    <w:p w14:paraId="1F2E40BD" w14:textId="0C984565" w:rsidR="00491118" w:rsidRPr="00D12C6F" w:rsidRDefault="001B5007" w:rsidP="001B5007">
      <w:pPr>
        <w:rPr>
          <w:rFonts w:eastAsia="MS Mincho"/>
        </w:rPr>
      </w:pPr>
      <w:r w:rsidRPr="00D12C6F">
        <w:t>The likelihood of an event occurring that may result in a liability for the Australian Government has been assessed as remote and the risks are currently mitigated through the training and professional qualifications of the staff of these entities and the existence of systems, processes and standards for the delivery of services.</w:t>
      </w:r>
      <w:bookmarkEnd w:id="206"/>
    </w:p>
    <w:p w14:paraId="4C765DF6" w14:textId="77777777" w:rsidR="0004570F" w:rsidRPr="00D12C6F" w:rsidRDefault="0004570F" w:rsidP="0004570F">
      <w:pPr>
        <w:pStyle w:val="Heading2"/>
      </w:pPr>
      <w:bookmarkStart w:id="207" w:name="_Toc228987418"/>
      <w:bookmarkEnd w:id="181"/>
      <w:bookmarkEnd w:id="182"/>
      <w:r w:rsidRPr="00D12C6F">
        <w:lastRenderedPageBreak/>
        <w:t>Social Services</w:t>
      </w:r>
      <w:bookmarkEnd w:id="207"/>
      <w:r w:rsidRPr="00D12C6F">
        <w:t xml:space="preserve"> </w:t>
      </w:r>
      <w:bookmarkStart w:id="208" w:name="_Toc184039494"/>
    </w:p>
    <w:p w14:paraId="73FF9542" w14:textId="0B8157B4" w:rsidR="0004570F" w:rsidRPr="00D12C6F" w:rsidRDefault="0004570F" w:rsidP="0004570F">
      <w:pPr>
        <w:pStyle w:val="Heading3"/>
      </w:pPr>
      <w:bookmarkStart w:id="209" w:name="_Toc223077579"/>
      <w:bookmarkStart w:id="210" w:name="_Toc228987419"/>
      <w:bookmarkEnd w:id="208"/>
      <w:r w:rsidRPr="00D12C6F">
        <w:t xml:space="preserve">Contingent liabilities </w:t>
      </w:r>
      <w:r w:rsidRPr="00D12C6F">
        <w:rPr>
          <w:rFonts w:hint="eastAsia"/>
        </w:rPr>
        <w:t>–</w:t>
      </w:r>
      <w:r w:rsidRPr="00D12C6F">
        <w:t xml:space="preserve"> unquantifiable</w:t>
      </w:r>
      <w:bookmarkEnd w:id="209"/>
      <w:bookmarkEnd w:id="210"/>
    </w:p>
    <w:p w14:paraId="2F0DFE96" w14:textId="77777777" w:rsidR="0004570F" w:rsidRPr="00D12C6F" w:rsidRDefault="0004570F" w:rsidP="0004570F">
      <w:pPr>
        <w:pStyle w:val="Heading4"/>
        <w:rPr>
          <w:rFonts w:eastAsia="Arial"/>
        </w:rPr>
      </w:pPr>
      <w:bookmarkStart w:id="211" w:name="_Hlk214451632"/>
      <w:r w:rsidRPr="00D12C6F">
        <w:rPr>
          <w:rFonts w:eastAsia="Arial"/>
        </w:rPr>
        <w:t>Matthew Chaplin v Secretary, Department of Social Services</w:t>
      </w:r>
      <w:r w:rsidRPr="00D12C6F" w:rsidDel="007E0C03">
        <w:rPr>
          <w:rFonts w:eastAsia="Arial"/>
        </w:rPr>
        <w:t xml:space="preserve"> </w:t>
      </w:r>
      <w:bookmarkEnd w:id="211"/>
    </w:p>
    <w:p w14:paraId="46EC92D7" w14:textId="736E07E2" w:rsidR="0004570F" w:rsidRPr="00D12C6F" w:rsidRDefault="0004570F" w:rsidP="0004570F">
      <w:pPr>
        <w:rPr>
          <w:rFonts w:eastAsia="Calibri"/>
          <w:lang w:eastAsia="en-US"/>
        </w:rPr>
      </w:pPr>
      <w:bookmarkStart w:id="212" w:name="_Hlk181886079"/>
      <w:bookmarkStart w:id="213" w:name="_Toc99141895"/>
      <w:bookmarkStart w:id="214" w:name="_Toc184039495"/>
      <w:bookmarkStart w:id="215" w:name="_Toc223077580"/>
      <w:r w:rsidRPr="00D12C6F">
        <w:rPr>
          <w:rFonts w:eastAsia="Calibri"/>
          <w:lang w:eastAsia="en-US"/>
        </w:rPr>
        <w:t>On 6 November</w:t>
      </w:r>
      <w:r w:rsidR="004341C4">
        <w:rPr>
          <w:rFonts w:eastAsia="Calibri"/>
          <w:lang w:eastAsia="en-US"/>
        </w:rPr>
        <w:t> 2025</w:t>
      </w:r>
      <w:r w:rsidRPr="00D12C6F">
        <w:rPr>
          <w:rFonts w:eastAsia="Calibri"/>
          <w:lang w:eastAsia="en-US"/>
        </w:rPr>
        <w:t>, the High Court of Australia granted Mr Chaplin (represented by Victoria Legal Aid) special leave to appeal the Full Federal Court</w:t>
      </w:r>
      <w:r w:rsidR="00880FAB">
        <w:rPr>
          <w:rFonts w:eastAsia="Calibri"/>
          <w:lang w:eastAsia="en-US"/>
        </w:rPr>
        <w:t>’</w:t>
      </w:r>
      <w:r w:rsidRPr="00D12C6F">
        <w:rPr>
          <w:rFonts w:eastAsia="Calibri"/>
          <w:lang w:eastAsia="en-US"/>
        </w:rPr>
        <w:t xml:space="preserve">s decision in </w:t>
      </w:r>
      <w:r w:rsidRPr="00D12C6F">
        <w:rPr>
          <w:rFonts w:eastAsia="Calibri"/>
          <w:i/>
          <w:iCs/>
          <w:lang w:eastAsia="en-US"/>
        </w:rPr>
        <w:t>Chaplin v Secretary, Department of Social Services</w:t>
      </w:r>
      <w:r w:rsidRPr="00D12C6F">
        <w:rPr>
          <w:rFonts w:eastAsia="Calibri"/>
          <w:lang w:eastAsia="en-US"/>
        </w:rPr>
        <w:t xml:space="preserve"> [2025] FCAFC 89 (</w:t>
      </w:r>
      <w:r w:rsidRPr="00D12C6F">
        <w:rPr>
          <w:rFonts w:eastAsia="Calibri"/>
          <w:i/>
          <w:iCs/>
          <w:lang w:eastAsia="en-US"/>
        </w:rPr>
        <w:t>Chaplin case</w:t>
      </w:r>
      <w:r w:rsidRPr="00D12C6F">
        <w:rPr>
          <w:rFonts w:eastAsia="Calibri"/>
          <w:lang w:eastAsia="en-US"/>
        </w:rPr>
        <w:t xml:space="preserve">). Costs associated with the appeal (if any) are not quantifiable until the matter is determined by the Court or otherwise resolved. The contingent liability is partially mitigated by the </w:t>
      </w:r>
      <w:r w:rsidRPr="00D12C6F">
        <w:rPr>
          <w:rFonts w:eastAsia="Calibri"/>
          <w:i/>
          <w:iCs/>
          <w:lang w:eastAsia="en-US"/>
        </w:rPr>
        <w:t>Social Security and Other Legislation Amendment (Technical Changes No. 2) Act 2025,</w:t>
      </w:r>
      <w:r w:rsidRPr="00D12C6F">
        <w:rPr>
          <w:rFonts w:eastAsia="Calibri"/>
          <w:lang w:eastAsia="en-US"/>
        </w:rPr>
        <w:t xml:space="preserve"> which validates the historical practice of income apportionment and provides for a hierarchy of methodologies to be followed in the calculation of debts involving pre</w:t>
      </w:r>
      <w:r w:rsidR="00880FAB">
        <w:rPr>
          <w:rFonts w:eastAsia="Calibri"/>
          <w:lang w:eastAsia="en-US"/>
        </w:rPr>
        <w:noBreakHyphen/>
      </w:r>
      <w:r w:rsidRPr="00D12C6F">
        <w:rPr>
          <w:rFonts w:eastAsia="Calibri"/>
          <w:lang w:eastAsia="en-US"/>
        </w:rPr>
        <w:t>7 December</w:t>
      </w:r>
      <w:r>
        <w:rPr>
          <w:rFonts w:eastAsia="Calibri"/>
          <w:lang w:eastAsia="en-US"/>
        </w:rPr>
        <w:t> </w:t>
      </w:r>
      <w:r w:rsidRPr="00D12C6F">
        <w:rPr>
          <w:rFonts w:eastAsia="Calibri"/>
          <w:lang w:eastAsia="en-US"/>
        </w:rPr>
        <w:t>2020 employment income. </w:t>
      </w:r>
      <w:bookmarkEnd w:id="212"/>
    </w:p>
    <w:p w14:paraId="7CCA0D7B" w14:textId="7C0E53B4" w:rsidR="0004570F" w:rsidRPr="00D12C6F" w:rsidRDefault="0004570F" w:rsidP="0004570F">
      <w:pPr>
        <w:pStyle w:val="Heading3"/>
      </w:pPr>
      <w:bookmarkStart w:id="216" w:name="_Toc228987420"/>
      <w:r w:rsidRPr="00D12C6F">
        <w:t>Contingent assets – quantifiable</w:t>
      </w:r>
      <w:bookmarkEnd w:id="213"/>
      <w:bookmarkEnd w:id="214"/>
      <w:bookmarkEnd w:id="215"/>
      <w:bookmarkEnd w:id="216"/>
    </w:p>
    <w:p w14:paraId="6E741D8B" w14:textId="77777777" w:rsidR="0004570F" w:rsidRPr="00D12C6F" w:rsidRDefault="0004570F" w:rsidP="0004570F">
      <w:pPr>
        <w:pStyle w:val="Heading4"/>
        <w:rPr>
          <w:rFonts w:eastAsia="Arial"/>
        </w:rPr>
      </w:pPr>
      <w:r w:rsidRPr="00D12C6F">
        <w:rPr>
          <w:rFonts w:eastAsia="Arial"/>
        </w:rPr>
        <w:t>National Redress Scheme</w:t>
      </w:r>
    </w:p>
    <w:p w14:paraId="779E530E" w14:textId="77777777" w:rsidR="0004570F" w:rsidRPr="00D12C6F" w:rsidRDefault="0004570F" w:rsidP="0004570F">
      <w:r w:rsidRPr="00D12C6F">
        <w:t xml:space="preserve">The </w:t>
      </w:r>
      <w:r w:rsidRPr="00D12C6F">
        <w:rPr>
          <w:i/>
          <w:iCs/>
        </w:rPr>
        <w:t>National Redress Scheme for Institutional</w:t>
      </w:r>
      <w:r w:rsidRPr="00D12C6F">
        <w:t xml:space="preserve"> </w:t>
      </w:r>
      <w:r w:rsidRPr="00D12C6F">
        <w:rPr>
          <w:i/>
          <w:iCs/>
        </w:rPr>
        <w:t xml:space="preserve">Child Sexual Abuse Act 2018 </w:t>
      </w:r>
      <w:r w:rsidRPr="00D12C6F">
        <w:t>supports people who experienced institutional child sexual abuse by providing a monetary payment and facilitating access to counselling and psychological services and a direct personal response from the institution determined to be responsible for the abuse. The Department of Social Services (DSS) administers the National Redress Scheme. In this capacity, DSS makes the monetary payment to the survivor and then recovers this amount from the responsible institution.</w:t>
      </w:r>
    </w:p>
    <w:p w14:paraId="0FE54024" w14:textId="5C9EB55F" w:rsidR="0004570F" w:rsidRPr="00D12C6F" w:rsidRDefault="0004570F" w:rsidP="0004570F">
      <w:r w:rsidRPr="00D12C6F">
        <w:t xml:space="preserve">As </w:t>
      </w:r>
      <w:proofErr w:type="gramStart"/>
      <w:r w:rsidRPr="00D12C6F">
        <w:t>at</w:t>
      </w:r>
      <w:proofErr w:type="gramEnd"/>
      <w:r w:rsidRPr="00D12C6F">
        <w:t xml:space="preserve"> 31</w:t>
      </w:r>
      <w:r>
        <w:t> </w:t>
      </w:r>
      <w:r w:rsidRPr="00D12C6F">
        <w:t>March</w:t>
      </w:r>
      <w:r>
        <w:t> </w:t>
      </w:r>
      <w:r w:rsidRPr="00D12C6F">
        <w:t>2026, DSS has an administered quantifiable contingent asset of $1,027.4 million in relation to the probable recovery from responsible institutions of monetary payments that may be made to survivors. The value is based on applications that</w:t>
      </w:r>
      <w:r>
        <w:t> </w:t>
      </w:r>
      <w:r w:rsidRPr="00D12C6F">
        <w:t>have been referred to an independent decision maker for assessment and average payment</w:t>
      </w:r>
      <w:r>
        <w:t> </w:t>
      </w:r>
      <w:r w:rsidRPr="00D12C6F">
        <w:t xml:space="preserve">values. </w:t>
      </w:r>
    </w:p>
    <w:p w14:paraId="68DA68E3" w14:textId="185357F2" w:rsidR="00491118" w:rsidRPr="00D12C6F" w:rsidRDefault="0004570F" w:rsidP="0004570F">
      <w:pPr>
        <w:rPr>
          <w:iCs/>
        </w:rPr>
      </w:pPr>
      <w:r w:rsidRPr="00D12C6F">
        <w:t xml:space="preserve">As </w:t>
      </w:r>
      <w:proofErr w:type="gramStart"/>
      <w:r w:rsidRPr="00D12C6F">
        <w:t>at</w:t>
      </w:r>
      <w:proofErr w:type="gramEnd"/>
      <w:r w:rsidRPr="00D12C6F">
        <w:t xml:space="preserve"> 31</w:t>
      </w:r>
      <w:r>
        <w:t> </w:t>
      </w:r>
      <w:r w:rsidRPr="00D12C6F">
        <w:t>March</w:t>
      </w:r>
      <w:r>
        <w:t> </w:t>
      </w:r>
      <w:r w:rsidRPr="00D12C6F">
        <w:t>2026, DSS has an administered quantifiable contingent liability of $712.9 million in relation to applications made under the National Redress Scheme that have been referred to an independent decision maker for assessment. The amount is based on the number of applications and average payment values.</w:t>
      </w:r>
      <w:r w:rsidR="00491118" w:rsidRPr="00D12C6F">
        <w:t xml:space="preserve"> </w:t>
      </w:r>
    </w:p>
    <w:p w14:paraId="5EBA5E87" w14:textId="77777777" w:rsidR="00E660A1" w:rsidRPr="00E6602F" w:rsidRDefault="00E660A1" w:rsidP="00E6602F">
      <w:r>
        <w:br w:type="page"/>
      </w:r>
    </w:p>
    <w:p w14:paraId="33076757" w14:textId="515FAE9B" w:rsidR="000916F6" w:rsidRPr="00D12C6F" w:rsidRDefault="000916F6" w:rsidP="000916F6">
      <w:pPr>
        <w:pStyle w:val="Heading2"/>
      </w:pPr>
      <w:bookmarkStart w:id="217" w:name="_Toc228987421"/>
      <w:bookmarkStart w:id="218" w:name="_Toc166165537"/>
      <w:bookmarkStart w:id="219" w:name="_Toc223077586"/>
      <w:bookmarkStart w:id="220" w:name="_Toc99141902"/>
      <w:bookmarkStart w:id="221" w:name="_Toc184039500"/>
      <w:bookmarkEnd w:id="159"/>
      <w:bookmarkEnd w:id="160"/>
      <w:r w:rsidRPr="00D12C6F">
        <w:lastRenderedPageBreak/>
        <w:t>Treasury</w:t>
      </w:r>
      <w:bookmarkEnd w:id="217"/>
    </w:p>
    <w:p w14:paraId="0A2D0838" w14:textId="41AD5A1E" w:rsidR="000916F6" w:rsidRDefault="000916F6" w:rsidP="000916F6">
      <w:pPr>
        <w:pStyle w:val="Heading3"/>
      </w:pPr>
      <w:bookmarkStart w:id="222" w:name="_Toc184039497"/>
      <w:bookmarkStart w:id="223" w:name="_Toc223077582"/>
      <w:bookmarkStart w:id="224" w:name="_Toc228987422"/>
      <w:bookmarkStart w:id="225" w:name="_Toc71117880"/>
      <w:bookmarkStart w:id="226" w:name="_Toc99141897"/>
      <w:bookmarkStart w:id="227" w:name="_Toc99141900"/>
      <w:r w:rsidRPr="00D12C6F">
        <w:t>Fiscal risk</w:t>
      </w:r>
      <w:bookmarkEnd w:id="222"/>
      <w:bookmarkEnd w:id="223"/>
      <w:r w:rsidRPr="00D12C6F">
        <w:t>s</w:t>
      </w:r>
      <w:bookmarkEnd w:id="224"/>
    </w:p>
    <w:p w14:paraId="6A96DD4B" w14:textId="77777777" w:rsidR="000916F6" w:rsidRDefault="000916F6" w:rsidP="000916F6">
      <w:pPr>
        <w:pStyle w:val="Heading4"/>
      </w:pPr>
      <w:r>
        <w:t xml:space="preserve">New Homes Bonus </w:t>
      </w:r>
    </w:p>
    <w:p w14:paraId="0287455B" w14:textId="104C09DB" w:rsidR="000916F6" w:rsidRPr="00A64C7F" w:rsidRDefault="000916F6" w:rsidP="000916F6">
      <w:r>
        <w:t>In December</w:t>
      </w:r>
      <w:r w:rsidR="001370F4">
        <w:t> 2023</w:t>
      </w:r>
      <w:r>
        <w:t>, the Australian Government established the New Homes Bonus program, which provides for incentive payments to states and territories (states) to deliver an additional 200,000 homes above the 1</w:t>
      </w:r>
      <w:r>
        <w:rPr>
          <w:rFonts w:ascii="Times New Roman" w:hAnsi="Times New Roman"/>
        </w:rPr>
        <w:t>‍</w:t>
      </w:r>
      <w:r w:rsidR="00AA06F4">
        <w:t> million</w:t>
      </w:r>
      <w:r>
        <w:t xml:space="preserve"> homes target agreed under the National</w:t>
      </w:r>
      <w:r w:rsidR="00081CA0">
        <w:t> </w:t>
      </w:r>
      <w:r>
        <w:t>Housing Accord in 2022. The Australian Government</w:t>
      </w:r>
      <w:r w:rsidR="00880FAB">
        <w:t>’</w:t>
      </w:r>
      <w:r>
        <w:t xml:space="preserve">s committed to provide up to $3.0 billion in 2029–30 in incentive payments should states sign the agreement and meet their targets. </w:t>
      </w:r>
      <w:r w:rsidRPr="00B775EA">
        <w:t>The forward estimates reflect incentive payments based on projected dwelling completions</w:t>
      </w:r>
      <w:r>
        <w:t>.</w:t>
      </w:r>
    </w:p>
    <w:p w14:paraId="7CA10FB3" w14:textId="45865EA8" w:rsidR="000916F6" w:rsidRPr="00D12C6F" w:rsidRDefault="000916F6" w:rsidP="000916F6">
      <w:pPr>
        <w:pStyle w:val="Heading4"/>
      </w:pPr>
      <w:bookmarkStart w:id="228" w:name="_Toc184039498"/>
      <w:r w:rsidRPr="00D12C6F">
        <w:t>Guarantee for Australia and New Zealand Banking Group Limited</w:t>
      </w:r>
      <w:r w:rsidR="00880FAB">
        <w:t>’</w:t>
      </w:r>
      <w:r w:rsidRPr="00D12C6F">
        <w:t xml:space="preserve">s Pacific Liabilities </w:t>
      </w:r>
    </w:p>
    <w:bookmarkEnd w:id="225"/>
    <w:bookmarkEnd w:id="226"/>
    <w:bookmarkEnd w:id="227"/>
    <w:bookmarkEnd w:id="228"/>
    <w:p w14:paraId="49E4518B" w14:textId="60D52689" w:rsidR="000916F6" w:rsidRPr="00D12C6F" w:rsidRDefault="000916F6" w:rsidP="000916F6">
      <w:pPr>
        <w:rPr>
          <w:rFonts w:eastAsia="Book Antiqua"/>
        </w:rPr>
      </w:pPr>
      <w:r w:rsidRPr="00D12C6F">
        <w:rPr>
          <w:rFonts w:eastAsia="Book Antiqua"/>
        </w:rPr>
        <w:t>The Commonwealth has provided a 10</w:t>
      </w:r>
      <w:r w:rsidR="00880FAB">
        <w:rPr>
          <w:rFonts w:eastAsia="Book Antiqua"/>
        </w:rPr>
        <w:noBreakHyphen/>
      </w:r>
      <w:r w:rsidRPr="00D12C6F">
        <w:rPr>
          <w:rFonts w:eastAsia="Book Antiqua"/>
        </w:rPr>
        <w:t>year limited guarantee to Australia and New</w:t>
      </w:r>
      <w:r>
        <w:rPr>
          <w:rFonts w:eastAsia="Book Antiqua"/>
        </w:rPr>
        <w:t> </w:t>
      </w:r>
      <w:r w:rsidRPr="00D12C6F">
        <w:rPr>
          <w:rFonts w:eastAsia="Book Antiqua"/>
        </w:rPr>
        <w:t>Zealand Banking Group Limited (ANZ) to secure its long</w:t>
      </w:r>
      <w:r w:rsidR="00880FAB">
        <w:rPr>
          <w:rFonts w:eastAsia="Book Antiqua"/>
        </w:rPr>
        <w:noBreakHyphen/>
      </w:r>
      <w:r w:rsidRPr="00D12C6F">
        <w:rPr>
          <w:rFonts w:eastAsia="Book Antiqua"/>
        </w:rPr>
        <w:t>term commitment to the Pacific. The guarantee transfers certain risks associated with eligible liabilities related to ANZ</w:t>
      </w:r>
      <w:r w:rsidR="00880FAB">
        <w:rPr>
          <w:rFonts w:eastAsia="Book Antiqua"/>
        </w:rPr>
        <w:t>’</w:t>
      </w:r>
      <w:r w:rsidRPr="00D12C6F">
        <w:rPr>
          <w:rFonts w:eastAsia="Book Antiqua"/>
        </w:rPr>
        <w:t>s Pacific operations to the Commonwealth. The guarantee can only be called on for certain events that result in a loss for ANZ. The Commonwealth</w:t>
      </w:r>
      <w:r w:rsidR="00880FAB">
        <w:rPr>
          <w:rFonts w:eastAsia="Book Antiqua"/>
        </w:rPr>
        <w:t>’</w:t>
      </w:r>
      <w:r w:rsidRPr="00D12C6F">
        <w:rPr>
          <w:rFonts w:eastAsia="Book Antiqua"/>
        </w:rPr>
        <w:t>s maximum liability is capped at $2.0</w:t>
      </w:r>
      <w:r>
        <w:rPr>
          <w:rFonts w:eastAsia="Book Antiqua"/>
        </w:rPr>
        <w:t> </w:t>
      </w:r>
      <w:r w:rsidRPr="00D12C6F">
        <w:rPr>
          <w:rFonts w:eastAsia="Book Antiqua"/>
        </w:rPr>
        <w:t>billion. The guarantee will support ANZ to maintain and enhance its current retail banking services in the Pacific, and deliver financial literacy and inclusion programs, supporting the ongoing connectivity of the Pacific region and Timor</w:t>
      </w:r>
      <w:r w:rsidR="00880FAB">
        <w:rPr>
          <w:rFonts w:eastAsia="Book Antiqua"/>
        </w:rPr>
        <w:noBreakHyphen/>
      </w:r>
      <w:r w:rsidRPr="00D12C6F">
        <w:rPr>
          <w:rFonts w:eastAsia="Book Antiqua"/>
        </w:rPr>
        <w:t>Leste to the Australian and global financial systems.</w:t>
      </w:r>
    </w:p>
    <w:p w14:paraId="571923BA" w14:textId="2A32B86A" w:rsidR="000916F6" w:rsidRPr="00D12C6F" w:rsidRDefault="000916F6" w:rsidP="000916F6">
      <w:pPr>
        <w:pStyle w:val="Heading4"/>
      </w:pPr>
      <w:r w:rsidRPr="00D12C6F">
        <w:t>Guarantee for the Asian Development Bank</w:t>
      </w:r>
      <w:r w:rsidR="00880FAB">
        <w:t>’</w:t>
      </w:r>
      <w:r w:rsidRPr="00D12C6F">
        <w:t>s Innovative Finance Facility</w:t>
      </w:r>
    </w:p>
    <w:p w14:paraId="7A7C756D" w14:textId="4FA408E0" w:rsidR="000916F6" w:rsidRPr="00D12C6F" w:rsidRDefault="000916F6" w:rsidP="000916F6">
      <w:pPr>
        <w:rPr>
          <w:rFonts w:eastAsia="MS Mincho"/>
          <w:lang w:val="en-US"/>
        </w:rPr>
      </w:pPr>
      <w:r w:rsidRPr="00D12C6F">
        <w:rPr>
          <w:rFonts w:eastAsia="MS Mincho"/>
          <w:lang w:val="en-US"/>
        </w:rPr>
        <w:t>The Australian Government has committed to enter into a 25</w:t>
      </w:r>
      <w:r w:rsidR="00880FAB">
        <w:rPr>
          <w:rFonts w:eastAsia="MS Mincho"/>
          <w:lang w:val="en-US"/>
        </w:rPr>
        <w:noBreakHyphen/>
      </w:r>
      <w:r w:rsidRPr="00D12C6F">
        <w:rPr>
          <w:rFonts w:eastAsia="MS Mincho"/>
          <w:lang w:val="en-US"/>
        </w:rPr>
        <w:t>year guarantee capped at US$200 million (approximately A$283.6</w:t>
      </w:r>
      <w:r>
        <w:rPr>
          <w:rFonts w:eastAsia="MS Mincho"/>
          <w:lang w:val="en-US"/>
        </w:rPr>
        <w:t> </w:t>
      </w:r>
      <w:r w:rsidRPr="00D12C6F">
        <w:rPr>
          <w:rFonts w:eastAsia="MS Mincho"/>
          <w:lang w:val="en-US"/>
        </w:rPr>
        <w:t xml:space="preserve">million as </w:t>
      </w:r>
      <w:proofErr w:type="gramStart"/>
      <w:r w:rsidRPr="00D12C6F">
        <w:rPr>
          <w:rFonts w:eastAsia="MS Mincho"/>
          <w:lang w:val="en-US"/>
        </w:rPr>
        <w:t>at</w:t>
      </w:r>
      <w:proofErr w:type="gramEnd"/>
      <w:r w:rsidRPr="00D12C6F">
        <w:rPr>
          <w:rFonts w:eastAsia="MS Mincho"/>
          <w:lang w:val="en-US"/>
        </w:rPr>
        <w:t xml:space="preserve"> 5</w:t>
      </w:r>
      <w:r>
        <w:rPr>
          <w:rFonts w:eastAsia="MS Mincho"/>
          <w:lang w:val="en-US"/>
        </w:rPr>
        <w:t> </w:t>
      </w:r>
      <w:r w:rsidRPr="00D12C6F">
        <w:rPr>
          <w:rFonts w:eastAsia="MS Mincho"/>
          <w:lang w:val="en-US"/>
        </w:rPr>
        <w:t>March</w:t>
      </w:r>
      <w:r>
        <w:rPr>
          <w:rFonts w:eastAsia="MS Mincho"/>
          <w:lang w:val="en-US"/>
        </w:rPr>
        <w:t> </w:t>
      </w:r>
      <w:r w:rsidRPr="00D12C6F">
        <w:rPr>
          <w:rFonts w:eastAsia="MS Mincho"/>
          <w:lang w:val="en-US"/>
        </w:rPr>
        <w:t>2026) with the Asian</w:t>
      </w:r>
      <w:r>
        <w:rPr>
          <w:rFonts w:eastAsia="MS Mincho"/>
          <w:lang w:val="en-US"/>
        </w:rPr>
        <w:t> </w:t>
      </w:r>
      <w:r w:rsidRPr="00D12C6F">
        <w:rPr>
          <w:rFonts w:eastAsia="MS Mincho"/>
          <w:lang w:val="en-US"/>
        </w:rPr>
        <w:t>Development Bank (ADB) to support its Innovative Finance Facility for Climate in Asia and the Pacific (the ADB facility). The ADB facility will support climate mitigation and adaptation finance projects of sovereign nations identified by ADB in the Asia and Pacific</w:t>
      </w:r>
      <w:r>
        <w:rPr>
          <w:rFonts w:eastAsia="MS Mincho"/>
          <w:lang w:val="en-US"/>
        </w:rPr>
        <w:t> </w:t>
      </w:r>
      <w:r w:rsidRPr="00D12C6F">
        <w:rPr>
          <w:rFonts w:eastAsia="MS Mincho"/>
          <w:lang w:val="en-US"/>
        </w:rPr>
        <w:t xml:space="preserve">region. </w:t>
      </w:r>
    </w:p>
    <w:p w14:paraId="13B1D528" w14:textId="0FCD1DAB" w:rsidR="000916F6" w:rsidRPr="00D12C6F" w:rsidRDefault="000916F6" w:rsidP="000916F6">
      <w:pPr>
        <w:rPr>
          <w:rFonts w:eastAsia="MS Mincho"/>
          <w:lang w:val="en-US"/>
        </w:rPr>
      </w:pPr>
      <w:r w:rsidRPr="00D12C6F">
        <w:rPr>
          <w:rFonts w:eastAsia="MS Mincho"/>
          <w:lang w:val="en-US"/>
        </w:rPr>
        <w:t>The guarantee transfers a portion of risk associated with sovereign nations</w:t>
      </w:r>
      <w:r w:rsidR="00880FAB">
        <w:rPr>
          <w:rFonts w:eastAsia="MS Mincho"/>
          <w:lang w:val="en-US"/>
        </w:rPr>
        <w:t>’</w:t>
      </w:r>
      <w:r w:rsidRPr="00D12C6F">
        <w:rPr>
          <w:rFonts w:eastAsia="MS Mincho"/>
          <w:lang w:val="en-US"/>
        </w:rPr>
        <w:t xml:space="preserve"> default from the ADB facility to the Australian Government. The guarantee will only be called on in the event of a sovereign nation defaulting on a project under the ADB facility.</w:t>
      </w:r>
    </w:p>
    <w:p w14:paraId="284B0B11" w14:textId="77777777" w:rsidR="000916F6" w:rsidRPr="00D12C6F" w:rsidRDefault="000916F6" w:rsidP="000916F6">
      <w:pPr>
        <w:pStyle w:val="Heading3"/>
      </w:pPr>
      <w:bookmarkStart w:id="229" w:name="_Toc223077583"/>
      <w:bookmarkStart w:id="230" w:name="_Toc228987423"/>
      <w:r w:rsidRPr="00D12C6F">
        <w:t>Significant but remote contingencies</w:t>
      </w:r>
      <w:bookmarkEnd w:id="229"/>
      <w:bookmarkEnd w:id="230"/>
    </w:p>
    <w:p w14:paraId="61F4531B" w14:textId="77777777" w:rsidR="000916F6" w:rsidRPr="00D12C6F" w:rsidRDefault="000916F6" w:rsidP="000916F6">
      <w:pPr>
        <w:pStyle w:val="Heading4"/>
      </w:pPr>
      <w:bookmarkStart w:id="231" w:name="_Toc71117881"/>
      <w:bookmarkStart w:id="232" w:name="_Toc71117882"/>
      <w:bookmarkStart w:id="233" w:name="_Toc71117883"/>
      <w:r w:rsidRPr="00D12C6F">
        <w:t>Asbestos Injuries Compensation Fund</w:t>
      </w:r>
      <w:bookmarkEnd w:id="231"/>
    </w:p>
    <w:bookmarkEnd w:id="232"/>
    <w:p w14:paraId="75251B08" w14:textId="58E9BE3E" w:rsidR="000916F6" w:rsidRPr="00D12C6F" w:rsidRDefault="000916F6" w:rsidP="000916F6">
      <w:pPr>
        <w:rPr>
          <w:rFonts w:eastAsia="MS Mincho"/>
        </w:rPr>
      </w:pPr>
      <w:r w:rsidRPr="00D12C6F">
        <w:rPr>
          <w:rFonts w:eastAsia="MS Mincho"/>
        </w:rPr>
        <w:t>In February 2016, the Commonwealth agreed to assume one third of the default risk associated with a $320 million New South Wales (NSW) Government loan to the Asbestos</w:t>
      </w:r>
      <w:r>
        <w:rPr>
          <w:rFonts w:eastAsia="MS Mincho"/>
        </w:rPr>
        <w:t> </w:t>
      </w:r>
      <w:r w:rsidRPr="00D12C6F">
        <w:rPr>
          <w:rFonts w:eastAsia="MS Mincho"/>
        </w:rPr>
        <w:t xml:space="preserve">Injuries Compensation Fund (AICF), contingent on all states and territories </w:t>
      </w:r>
      <w:r w:rsidRPr="00D12C6F">
        <w:rPr>
          <w:rFonts w:eastAsia="MS Mincho"/>
        </w:rPr>
        <w:lastRenderedPageBreak/>
        <w:t>agreeing to assume the remaining default risk. States and territories agreed to assume the remaining default risk following the publication of the 2016–17 Budget.</w:t>
      </w:r>
    </w:p>
    <w:p w14:paraId="2B8AF526" w14:textId="77777777" w:rsidR="000916F6" w:rsidRPr="00D12C6F" w:rsidRDefault="000916F6" w:rsidP="000916F6">
      <w:pPr>
        <w:rPr>
          <w:rFonts w:eastAsia="MS Mincho"/>
        </w:rPr>
      </w:pPr>
      <w:r w:rsidRPr="00D12C6F">
        <w:rPr>
          <w:rFonts w:eastAsia="MS Mincho"/>
        </w:rPr>
        <w:t xml:space="preserve">The AICF provides compensation to Australian asbestos disease related claims against former subsidiaries of the James Hardie Group and is funded on an ongoing basis through contributions from the James Hardie Group. NSW provided a $320 million loan facility in 2010 to enable AICF to continue to pay compensation as lump sums, rather than in instalments. </w:t>
      </w:r>
    </w:p>
    <w:p w14:paraId="0CEB745F" w14:textId="77777777" w:rsidR="000916F6" w:rsidRPr="00D12C6F" w:rsidRDefault="000916F6" w:rsidP="000916F6">
      <w:pPr>
        <w:rPr>
          <w:rFonts w:eastAsia="MS Mincho"/>
        </w:rPr>
      </w:pPr>
      <w:r w:rsidRPr="00D12C6F">
        <w:rPr>
          <w:rFonts w:eastAsia="MS Mincho"/>
        </w:rPr>
        <w:t>The AICF remains a contingent liability until 2030 or until the NSW loan facility to the AICF is removed, whichever comes first.</w:t>
      </w:r>
    </w:p>
    <w:bookmarkEnd w:id="233"/>
    <w:p w14:paraId="714FD279" w14:textId="77777777" w:rsidR="000916F6" w:rsidRPr="00D12C6F" w:rsidRDefault="000916F6" w:rsidP="000916F6">
      <w:pPr>
        <w:pStyle w:val="Heading4"/>
      </w:pPr>
      <w:r w:rsidRPr="00D12C6F">
        <w:t>Financial Claims Scheme</w:t>
      </w:r>
    </w:p>
    <w:p w14:paraId="7898C6D9" w14:textId="786977F1" w:rsidR="000916F6" w:rsidRPr="00D12C6F" w:rsidRDefault="000916F6" w:rsidP="000916F6">
      <w:pPr>
        <w:rPr>
          <w:rFonts w:eastAsia="MS Mincho"/>
        </w:rPr>
      </w:pPr>
      <w:r w:rsidRPr="00D12C6F">
        <w:rPr>
          <w:rFonts w:eastAsia="MS Mincho"/>
        </w:rPr>
        <w:t>The Financial Claims Scheme (the Scheme) provides depositors of authorised deposit</w:t>
      </w:r>
      <w:r w:rsidR="00880FAB">
        <w:rPr>
          <w:rFonts w:eastAsia="MS Mincho"/>
        </w:rPr>
        <w:noBreakHyphen/>
      </w:r>
      <w:r w:rsidRPr="00D12C6F">
        <w:rPr>
          <w:rFonts w:eastAsia="MS Mincho"/>
        </w:rPr>
        <w:t xml:space="preserve">taking institutions (ADIs) and claimants against general insurers with timely access to their funds in the event of a financial institution failure. </w:t>
      </w:r>
    </w:p>
    <w:p w14:paraId="2166AFF7" w14:textId="233B1B38" w:rsidR="000916F6" w:rsidRPr="00D12C6F" w:rsidRDefault="000916F6" w:rsidP="000916F6">
      <w:pPr>
        <w:rPr>
          <w:rFonts w:eastAsia="MS Mincho"/>
        </w:rPr>
      </w:pPr>
      <w:r w:rsidRPr="00D12C6F">
        <w:rPr>
          <w:rFonts w:eastAsia="MS Mincho"/>
        </w:rPr>
        <w:t xml:space="preserve">Under the </w:t>
      </w:r>
      <w:r w:rsidRPr="00D12C6F">
        <w:rPr>
          <w:rFonts w:eastAsia="MS Mincho"/>
          <w:i/>
          <w:iCs/>
        </w:rPr>
        <w:t>Banking Act 1959</w:t>
      </w:r>
      <w:r w:rsidRPr="00D12C6F">
        <w:rPr>
          <w:rFonts w:eastAsia="MS Mincho"/>
        </w:rPr>
        <w:t>, the Scheme provides a mechanism for making payments to depositors under the Government</w:t>
      </w:r>
      <w:r w:rsidR="00880FAB">
        <w:rPr>
          <w:rFonts w:eastAsia="MS Mincho"/>
        </w:rPr>
        <w:t>’</w:t>
      </w:r>
      <w:r w:rsidRPr="00D12C6F">
        <w:rPr>
          <w:rFonts w:eastAsia="MS Mincho"/>
        </w:rPr>
        <w:t>s guarantee of deposits in ADIs. Payments are capped at $250,000 per account holder per ADI. The estimated total value of deposits eligible for coverage under the Scheme was $1.46</w:t>
      </w:r>
      <w:r>
        <w:rPr>
          <w:rFonts w:eastAsia="MS Mincho"/>
        </w:rPr>
        <w:t> </w:t>
      </w:r>
      <w:r w:rsidRPr="00D12C6F">
        <w:rPr>
          <w:rFonts w:eastAsia="MS Mincho"/>
        </w:rPr>
        <w:t xml:space="preserve">trillion </w:t>
      </w:r>
      <w:proofErr w:type="gramStart"/>
      <w:r w:rsidRPr="00D12C6F">
        <w:rPr>
          <w:rFonts w:eastAsia="MS Mincho"/>
        </w:rPr>
        <w:t>at</w:t>
      </w:r>
      <w:proofErr w:type="gramEnd"/>
      <w:r w:rsidRPr="00D12C6F">
        <w:rPr>
          <w:rFonts w:eastAsia="MS Mincho"/>
        </w:rPr>
        <w:t xml:space="preserve"> 31</w:t>
      </w:r>
      <w:r>
        <w:rPr>
          <w:rFonts w:eastAsia="MS Mincho"/>
        </w:rPr>
        <w:t> </w:t>
      </w:r>
      <w:r w:rsidRPr="00D12C6F">
        <w:rPr>
          <w:rFonts w:eastAsia="MS Mincho"/>
        </w:rPr>
        <w:t>December</w:t>
      </w:r>
      <w:r>
        <w:rPr>
          <w:rFonts w:eastAsia="MS Mincho"/>
        </w:rPr>
        <w:t> </w:t>
      </w:r>
      <w:r w:rsidRPr="00D12C6F">
        <w:rPr>
          <w:rFonts w:eastAsia="MS Mincho"/>
        </w:rPr>
        <w:t xml:space="preserve">2025. </w:t>
      </w:r>
    </w:p>
    <w:p w14:paraId="7B796720" w14:textId="77777777" w:rsidR="000916F6" w:rsidRPr="00D12C6F" w:rsidRDefault="000916F6" w:rsidP="000916F6">
      <w:pPr>
        <w:rPr>
          <w:rFonts w:eastAsia="MS Mincho"/>
        </w:rPr>
      </w:pPr>
      <w:r w:rsidRPr="00D12C6F">
        <w:rPr>
          <w:rFonts w:eastAsia="MS Mincho"/>
        </w:rPr>
        <w:t>Under the</w:t>
      </w:r>
      <w:r w:rsidRPr="00D12C6F">
        <w:rPr>
          <w:rFonts w:eastAsia="MS Mincho"/>
          <w:i/>
        </w:rPr>
        <w:t xml:space="preserve"> </w:t>
      </w:r>
      <w:r w:rsidRPr="00D12C6F">
        <w:rPr>
          <w:rFonts w:eastAsia="MS Mincho"/>
          <w:i/>
          <w:iCs/>
        </w:rPr>
        <w:t>Insurance Act 1973</w:t>
      </w:r>
      <w:r w:rsidRPr="00D12C6F">
        <w:rPr>
          <w:rFonts w:eastAsia="MS Mincho"/>
        </w:rPr>
        <w:t>, the Scheme provides a mechanism for making payments to eligible beneficiaries with a valid claim against a failed general insurer. It is not possible to estimate the amounts of any eventual payments that may be required in relation to general insurance claims.</w:t>
      </w:r>
    </w:p>
    <w:p w14:paraId="2A6FA813" w14:textId="628474D6" w:rsidR="000916F6" w:rsidRPr="00D12C6F" w:rsidRDefault="000916F6" w:rsidP="000916F6">
      <w:pPr>
        <w:rPr>
          <w:rFonts w:eastAsia="MS Mincho"/>
        </w:rPr>
      </w:pPr>
      <w:r w:rsidRPr="00D12C6F">
        <w:rPr>
          <w:rFonts w:eastAsia="MS Mincho"/>
        </w:rPr>
        <w:t xml:space="preserve">In the unlikely event of an ADI or general insurer failure, which requires the triggering of the Scheme, any payments made under the Scheme would be recovered through the liquidation of the failed institution. If there was a shortfall in the amount recovered through the liquidation of the failed institution, a levy could be applied to the relevant industry to recover the difference between the amount expended and the amount recovered in the liquidation. </w:t>
      </w:r>
    </w:p>
    <w:p w14:paraId="188FA278" w14:textId="086DEBBC" w:rsidR="000916F6" w:rsidRPr="00D12C6F" w:rsidRDefault="000916F6" w:rsidP="000916F6">
      <w:pPr>
        <w:rPr>
          <w:rFonts w:eastAsia="MS Mincho"/>
        </w:rPr>
      </w:pPr>
      <w:r w:rsidRPr="00D12C6F">
        <w:rPr>
          <w:rFonts w:eastAsia="MS Mincho"/>
        </w:rPr>
        <w:t>The Australian Prudential Regulation Authority (APRA) is responsible for the administration of the Scheme. Under the Scheme, any payments to account holders with eligible protected accounts or eligible claimants would be made from APRA</w:t>
      </w:r>
      <w:r w:rsidR="00880FAB">
        <w:rPr>
          <w:rFonts w:eastAsia="MS Mincho"/>
        </w:rPr>
        <w:t>’</w:t>
      </w:r>
      <w:r w:rsidRPr="00D12C6F">
        <w:rPr>
          <w:rFonts w:eastAsia="MS Mincho"/>
        </w:rPr>
        <w:t>s Financial Claims Scheme Special Account. Under the legislation, upon declaration by the Minister in relation to a specified ADI, up to $20 billion per institution would be available to meet the Scheme payments and up to $100 million per institution for administration costs.</w:t>
      </w:r>
    </w:p>
    <w:p w14:paraId="7DDFCB18" w14:textId="77777777" w:rsidR="00081CA0" w:rsidRDefault="00081CA0">
      <w:pPr>
        <w:spacing w:before="0" w:after="160" w:line="259" w:lineRule="auto"/>
        <w:rPr>
          <w:rFonts w:eastAsia="MS Mincho"/>
        </w:rPr>
      </w:pPr>
      <w:r>
        <w:rPr>
          <w:rFonts w:eastAsia="MS Mincho"/>
        </w:rPr>
        <w:br w:type="page"/>
      </w:r>
    </w:p>
    <w:p w14:paraId="59588698" w14:textId="77777777" w:rsidR="000916F6" w:rsidRPr="00D12C6F" w:rsidRDefault="000916F6" w:rsidP="000916F6">
      <w:pPr>
        <w:pStyle w:val="Heading4"/>
      </w:pPr>
      <w:r w:rsidRPr="00D12C6F">
        <w:lastRenderedPageBreak/>
        <w:t xml:space="preserve">Guarantee for Housing Australia </w:t>
      </w:r>
    </w:p>
    <w:p w14:paraId="34306D7B" w14:textId="5932682C" w:rsidR="000916F6" w:rsidRPr="00D12C6F" w:rsidRDefault="000916F6" w:rsidP="000916F6">
      <w:r w:rsidRPr="00D12C6F">
        <w:t xml:space="preserve">The Government guarantees the due payment of money payable by Housing Australia to anyone other than the Government. </w:t>
      </w:r>
    </w:p>
    <w:p w14:paraId="40E4CF9D" w14:textId="71FFD882" w:rsidR="000916F6" w:rsidRPr="00D12C6F" w:rsidRDefault="000916F6" w:rsidP="000916F6">
      <w:r w:rsidRPr="00D12C6F">
        <w:t xml:space="preserve">The Housing Australia Board must not allow Housing Australia to </w:t>
      </w:r>
      <w:proofErr w:type="gramStart"/>
      <w:r w:rsidRPr="00D12C6F">
        <w:t>enter into</w:t>
      </w:r>
      <w:proofErr w:type="gramEnd"/>
      <w:r w:rsidRPr="00D12C6F">
        <w:t xml:space="preserve"> a transaction that would result in its total guaranteed commitments, and any outstanding amount borrowed from the Government, to exceed $44</w:t>
      </w:r>
      <w:r w:rsidR="00AA06F4">
        <w:t> billion</w:t>
      </w:r>
      <w:r w:rsidRPr="00D12C6F">
        <w:t>, unless approved by the Government.</w:t>
      </w:r>
    </w:p>
    <w:p w14:paraId="24FDA243" w14:textId="77777777" w:rsidR="000916F6" w:rsidRPr="00D12C6F" w:rsidRDefault="000916F6" w:rsidP="000916F6">
      <w:pPr>
        <w:pStyle w:val="Heading4"/>
        <w:rPr>
          <w:rFonts w:eastAsia="Arial"/>
        </w:rPr>
      </w:pPr>
      <w:r w:rsidRPr="00D12C6F">
        <w:rPr>
          <w:rFonts w:eastAsia="Arial"/>
        </w:rPr>
        <w:t xml:space="preserve">Guarantees under the </w:t>
      </w:r>
      <w:r w:rsidRPr="00D12C6F">
        <w:rPr>
          <w:rStyle w:val="Emphasis"/>
          <w:rFonts w:eastAsia="Arial"/>
        </w:rPr>
        <w:t>Commonwealth Bank Sale Act 1995</w:t>
      </w:r>
    </w:p>
    <w:p w14:paraId="3146B138" w14:textId="036880B1" w:rsidR="000916F6" w:rsidRPr="00D12C6F" w:rsidRDefault="000916F6" w:rsidP="000916F6">
      <w:pPr>
        <w:rPr>
          <w:rFonts w:eastAsia="MS Mincho"/>
        </w:rPr>
      </w:pPr>
      <w:bookmarkStart w:id="234" w:name="_Toc99141898"/>
      <w:r w:rsidRPr="00D12C6F">
        <w:rPr>
          <w:rFonts w:eastAsia="MS Mincho"/>
        </w:rPr>
        <w:t xml:space="preserve">Under the </w:t>
      </w:r>
      <w:r w:rsidRPr="00D12C6F">
        <w:rPr>
          <w:rFonts w:eastAsia="MS Mincho"/>
          <w:i/>
          <w:iCs/>
        </w:rPr>
        <w:t>Commonwealth Bank Sale Act 1995</w:t>
      </w:r>
      <w:r w:rsidRPr="00D12C6F">
        <w:rPr>
          <w:rFonts w:eastAsia="MS Mincho"/>
        </w:rPr>
        <w:t xml:space="preserve">, the Government guarantees various superannuation and other liabilities of the Commonwealth Bank of Australia. As </w:t>
      </w:r>
      <w:proofErr w:type="gramStart"/>
      <w:r w:rsidRPr="00D12C6F">
        <w:rPr>
          <w:rFonts w:eastAsia="MS Mincho"/>
        </w:rPr>
        <w:t>at</w:t>
      </w:r>
      <w:proofErr w:type="gramEnd"/>
      <w:r w:rsidRPr="00D12C6F">
        <w:rPr>
          <w:rFonts w:eastAsia="MS Mincho"/>
        </w:rPr>
        <w:t xml:space="preserve"> 31</w:t>
      </w:r>
      <w:r>
        <w:rPr>
          <w:rFonts w:eastAsia="MS Mincho"/>
        </w:rPr>
        <w:t> </w:t>
      </w:r>
      <w:r w:rsidRPr="00D12C6F">
        <w:rPr>
          <w:rFonts w:eastAsia="MS Mincho"/>
        </w:rPr>
        <w:t>December</w:t>
      </w:r>
      <w:r w:rsidR="004341C4">
        <w:rPr>
          <w:rFonts w:eastAsia="MS Mincho"/>
        </w:rPr>
        <w:t> 2025</w:t>
      </w:r>
      <w:r w:rsidRPr="00D12C6F">
        <w:rPr>
          <w:rFonts w:eastAsia="MS Mincho"/>
        </w:rPr>
        <w:t>, the Commonwealth Bank of Australia holds no attributed liabilities and</w:t>
      </w:r>
      <w:r>
        <w:rPr>
          <w:rFonts w:eastAsia="MS Mincho"/>
        </w:rPr>
        <w:t> </w:t>
      </w:r>
      <w:r w:rsidRPr="00D12C6F">
        <w:rPr>
          <w:rFonts w:eastAsia="MS Mincho"/>
        </w:rPr>
        <w:t xml:space="preserve">$4.37 billion is attributable to liabilities of the Commonwealth Bank </w:t>
      </w:r>
      <w:r>
        <w:rPr>
          <w:rFonts w:eastAsia="MS Mincho"/>
        </w:rPr>
        <w:t>o</w:t>
      </w:r>
      <w:r w:rsidRPr="00D12C6F">
        <w:rPr>
          <w:rFonts w:eastAsia="MS Mincho"/>
        </w:rPr>
        <w:t>fficers</w:t>
      </w:r>
      <w:r w:rsidR="00880FAB">
        <w:rPr>
          <w:rFonts w:eastAsia="MS Mincho"/>
        </w:rPr>
        <w:t>’</w:t>
      </w:r>
      <w:r w:rsidRPr="00D12C6F">
        <w:rPr>
          <w:rFonts w:eastAsia="MS Mincho"/>
        </w:rPr>
        <w:t xml:space="preserve"> Superannuation.</w:t>
      </w:r>
    </w:p>
    <w:p w14:paraId="000972C3" w14:textId="77777777" w:rsidR="000916F6" w:rsidRPr="00D12C6F" w:rsidRDefault="000916F6" w:rsidP="000916F6">
      <w:pPr>
        <w:pStyle w:val="Heading4"/>
      </w:pPr>
      <w:r w:rsidRPr="00D12C6F">
        <w:t xml:space="preserve">Reserve Bank of Australia </w:t>
      </w:r>
      <w:r w:rsidRPr="00D12C6F">
        <w:rPr>
          <w:rFonts w:eastAsia="Calibri"/>
        </w:rPr>
        <w:t>–</w:t>
      </w:r>
      <w:r w:rsidRPr="00D12C6F">
        <w:t xml:space="preserve"> Guarantee</w:t>
      </w:r>
    </w:p>
    <w:p w14:paraId="058445E9" w14:textId="57828EBD" w:rsidR="000916F6" w:rsidRPr="00D12C6F" w:rsidRDefault="000916F6" w:rsidP="000916F6">
      <w:pPr>
        <w:rPr>
          <w:rFonts w:eastAsia="MS Mincho"/>
        </w:rPr>
      </w:pPr>
      <w:bookmarkStart w:id="235" w:name="_Toc223077584"/>
      <w:bookmarkStart w:id="236" w:name="_Toc99141899"/>
      <w:bookmarkStart w:id="237" w:name="_Toc184039499"/>
      <w:bookmarkEnd w:id="234"/>
      <w:r w:rsidRPr="00D12C6F">
        <w:rPr>
          <w:rFonts w:eastAsia="MS Mincho"/>
        </w:rPr>
        <w:t>The Government guarantees the liabilities of the Reserve Bank of Australia (RBA), measured as the RBA</w:t>
      </w:r>
      <w:r w:rsidR="00880FAB">
        <w:rPr>
          <w:rFonts w:eastAsia="MS Mincho"/>
        </w:rPr>
        <w:t>’</w:t>
      </w:r>
      <w:r w:rsidRPr="00D12C6F">
        <w:rPr>
          <w:rFonts w:eastAsia="MS Mincho"/>
        </w:rPr>
        <w:t>s total liabilities excluding capital, reserves, and Australian Government deposits. The principal component of the RBA</w:t>
      </w:r>
      <w:r w:rsidR="00880FAB">
        <w:rPr>
          <w:rFonts w:eastAsia="MS Mincho"/>
        </w:rPr>
        <w:t>’</w:t>
      </w:r>
      <w:r w:rsidRPr="00D12C6F">
        <w:rPr>
          <w:rFonts w:eastAsia="MS Mincho"/>
        </w:rPr>
        <w:t xml:space="preserve">s liabilities consists of exchange settlement balances. </w:t>
      </w:r>
    </w:p>
    <w:p w14:paraId="3E7AAF6C" w14:textId="1D225BB3" w:rsidR="000916F6" w:rsidRPr="00D12C6F" w:rsidRDefault="000916F6" w:rsidP="000916F6">
      <w:pPr>
        <w:rPr>
          <w:rFonts w:eastAsia="MS Mincho"/>
        </w:rPr>
      </w:pPr>
      <w:r w:rsidRPr="00D12C6F">
        <w:rPr>
          <w:rFonts w:eastAsia="MS Mincho"/>
        </w:rPr>
        <w:t xml:space="preserve">As </w:t>
      </w:r>
      <w:proofErr w:type="gramStart"/>
      <w:r w:rsidRPr="00D12C6F">
        <w:rPr>
          <w:rFonts w:eastAsia="MS Mincho"/>
        </w:rPr>
        <w:t>at</w:t>
      </w:r>
      <w:proofErr w:type="gramEnd"/>
      <w:r w:rsidRPr="00D12C6F">
        <w:rPr>
          <w:rFonts w:eastAsia="MS Mincho"/>
        </w:rPr>
        <w:t xml:space="preserve"> 25 February</w:t>
      </w:r>
      <w:r w:rsidR="004341C4">
        <w:rPr>
          <w:rFonts w:eastAsia="MS Mincho"/>
        </w:rPr>
        <w:t> 2026</w:t>
      </w:r>
      <w:r w:rsidRPr="00D12C6F">
        <w:rPr>
          <w:rFonts w:eastAsia="MS Mincho"/>
        </w:rPr>
        <w:t>, exchange settlement balances amount to $182.9 billion, and the total guarantee is $303.2 billion.</w:t>
      </w:r>
    </w:p>
    <w:p w14:paraId="03A89713" w14:textId="77777777" w:rsidR="000916F6" w:rsidRPr="00D12C6F" w:rsidRDefault="000916F6" w:rsidP="000916F6">
      <w:pPr>
        <w:pStyle w:val="Heading3"/>
        <w:rPr>
          <w:rFonts w:eastAsia="Arial"/>
        </w:rPr>
      </w:pPr>
      <w:bookmarkStart w:id="238" w:name="_Toc228987424"/>
      <w:r w:rsidRPr="00D12C6F">
        <w:rPr>
          <w:rFonts w:eastAsia="Arial"/>
        </w:rPr>
        <w:t>Contingent liabilities – unquantifiable</w:t>
      </w:r>
      <w:bookmarkEnd w:id="235"/>
      <w:bookmarkEnd w:id="238"/>
    </w:p>
    <w:p w14:paraId="75B8772F" w14:textId="77777777" w:rsidR="000916F6" w:rsidRPr="00D12C6F" w:rsidRDefault="000916F6" w:rsidP="000916F6">
      <w:pPr>
        <w:pStyle w:val="Heading4"/>
        <w:rPr>
          <w:rFonts w:eastAsia="Arial"/>
        </w:rPr>
      </w:pPr>
      <w:bookmarkStart w:id="239" w:name="_Toc71117879"/>
      <w:bookmarkStart w:id="240" w:name="_Hlk192664357"/>
      <w:r w:rsidRPr="00D12C6F">
        <w:rPr>
          <w:rFonts w:eastAsia="Arial"/>
        </w:rPr>
        <w:t>Guarantee of a cyclone and related flooding reinsurance pool</w:t>
      </w:r>
      <w:bookmarkEnd w:id="239"/>
    </w:p>
    <w:bookmarkEnd w:id="240"/>
    <w:p w14:paraId="40C14A9F" w14:textId="25F54D16" w:rsidR="000916F6" w:rsidRPr="00D12C6F" w:rsidRDefault="000916F6" w:rsidP="000916F6">
      <w:pPr>
        <w:rPr>
          <w:rFonts w:eastAsia="MS Mincho"/>
        </w:rPr>
      </w:pPr>
      <w:r w:rsidRPr="00D12C6F">
        <w:rPr>
          <w:rFonts w:eastAsia="MS Mincho"/>
        </w:rPr>
        <w:t>The Government provides an annually reinstated Government guarantee to the Australian Reinsurance Pool Corporation (ARPC) of $10 billion, or a larger amount if required, to support a reinsurance pool for the impact of cyclones and related flooding on eligible insured properties. The guarantee took effect from 1</w:t>
      </w:r>
      <w:r w:rsidRPr="00D12C6F">
        <w:rPr>
          <w:rFonts w:eastAsia="MS Mincho" w:hint="cs"/>
        </w:rPr>
        <w:t> July </w:t>
      </w:r>
      <w:r w:rsidRPr="00D12C6F">
        <w:rPr>
          <w:rFonts w:eastAsia="MS Mincho"/>
        </w:rPr>
        <w:t>2022, and may be called upon in the event of a large cyclone and related flooding, or in a year with a high number of cyclones and related flooding, to ensure the ARPC can pay all liabilities.</w:t>
      </w:r>
    </w:p>
    <w:p w14:paraId="52589C0A" w14:textId="00ABF9EF" w:rsidR="000916F6" w:rsidRPr="00D12C6F" w:rsidRDefault="000916F6" w:rsidP="000916F6">
      <w:pPr>
        <w:rPr>
          <w:rFonts w:eastAsia="MS Mincho"/>
        </w:rPr>
      </w:pPr>
      <w:r w:rsidRPr="00D12C6F">
        <w:rPr>
          <w:rFonts w:eastAsia="MS Mincho"/>
        </w:rPr>
        <w:t>The reinsurance pool is designed to be cost neutral to Government over time, based on the predicted cost and frequency of cyclone events. The estimated value and range of calls on the guarantee is unquantifiable due to significant uncertainty in the frequency and severity of cyclones and the resulting losses.</w:t>
      </w:r>
    </w:p>
    <w:p w14:paraId="60A007D6" w14:textId="77777777" w:rsidR="00081CA0" w:rsidRDefault="00081CA0">
      <w:pPr>
        <w:spacing w:before="0" w:after="160" w:line="259" w:lineRule="auto"/>
        <w:rPr>
          <w:rFonts w:eastAsia="MS Mincho"/>
        </w:rPr>
      </w:pPr>
      <w:r>
        <w:rPr>
          <w:rFonts w:eastAsia="MS Mincho"/>
        </w:rPr>
        <w:br w:type="page"/>
      </w:r>
    </w:p>
    <w:p w14:paraId="2C670327" w14:textId="77777777" w:rsidR="000916F6" w:rsidRPr="00D12C6F" w:rsidRDefault="000916F6" w:rsidP="000916F6">
      <w:pPr>
        <w:pStyle w:val="Heading4"/>
      </w:pPr>
      <w:bookmarkStart w:id="241" w:name="_Toc71117887"/>
      <w:bookmarkStart w:id="242" w:name="_Hlk71275883"/>
      <w:r w:rsidRPr="00D12C6F">
        <w:lastRenderedPageBreak/>
        <w:t xml:space="preserve">Guarantees for housing </w:t>
      </w:r>
    </w:p>
    <w:p w14:paraId="59825B44" w14:textId="6F75A874" w:rsidR="000916F6" w:rsidRPr="00D12C6F" w:rsidRDefault="000916F6" w:rsidP="000916F6">
      <w:r w:rsidRPr="00D12C6F">
        <w:t>On 1</w:t>
      </w:r>
      <w:r>
        <w:t> </w:t>
      </w:r>
      <w:r w:rsidRPr="00D12C6F">
        <w:t>October</w:t>
      </w:r>
      <w:r>
        <w:t> </w:t>
      </w:r>
      <w:r w:rsidRPr="00D12C6F">
        <w:t xml:space="preserve">2025, the Government expanded the 5% Deposit Scheme (the Scheme) (formerly the Home Guarantee Scheme) by uncapping places under all streams, removing the income caps, and increasing property price caps. The Scheme comprises the </w:t>
      </w:r>
      <w:r w:rsidRPr="00D12C6F">
        <w:rPr>
          <w:b/>
          <w:bCs/>
        </w:rPr>
        <w:t>General</w:t>
      </w:r>
      <w:r>
        <w:rPr>
          <w:b/>
          <w:bCs/>
        </w:rPr>
        <w:t> </w:t>
      </w:r>
      <w:r w:rsidRPr="00D12C6F">
        <w:rPr>
          <w:b/>
          <w:bCs/>
        </w:rPr>
        <w:t>Stream</w:t>
      </w:r>
      <w:r w:rsidRPr="00D12C6F">
        <w:t xml:space="preserve"> and the </w:t>
      </w:r>
      <w:r w:rsidRPr="00D12C6F">
        <w:rPr>
          <w:b/>
          <w:bCs/>
        </w:rPr>
        <w:t>Single Parent Stream</w:t>
      </w:r>
      <w:r w:rsidRPr="00D12C6F">
        <w:t>.</w:t>
      </w:r>
    </w:p>
    <w:p w14:paraId="78F428AD" w14:textId="7754B1B8" w:rsidR="000916F6" w:rsidRPr="00D12C6F" w:rsidRDefault="000916F6" w:rsidP="000916F6">
      <w:r w:rsidRPr="00D12C6F">
        <w:t xml:space="preserve">The General Stream (formerly the </w:t>
      </w:r>
      <w:r w:rsidRPr="00D12C6F">
        <w:rPr>
          <w:b/>
          <w:bCs/>
        </w:rPr>
        <w:t>First Home Guarantee</w:t>
      </w:r>
      <w:r w:rsidRPr="00D12C6F">
        <w:t xml:space="preserve"> and the </w:t>
      </w:r>
      <w:r w:rsidRPr="00D12C6F">
        <w:rPr>
          <w:b/>
          <w:bCs/>
        </w:rPr>
        <w:t>First Home Loan Deposit</w:t>
      </w:r>
      <w:r w:rsidR="00081CA0">
        <w:rPr>
          <w:b/>
          <w:bCs/>
        </w:rPr>
        <w:t> </w:t>
      </w:r>
      <w:r w:rsidRPr="00D12C6F">
        <w:rPr>
          <w:b/>
          <w:bCs/>
        </w:rPr>
        <w:t>Scheme</w:t>
      </w:r>
      <w:r w:rsidRPr="00D12C6F">
        <w:t>) is designed to support eligible first home buyers, and non</w:t>
      </w:r>
      <w:r w:rsidR="00880FAB">
        <w:noBreakHyphen/>
      </w:r>
      <w:r w:rsidRPr="00D12C6F">
        <w:t>first home buyers who have not owned a property in Australia within the past ten years, to build or purchase a home by providing a guarantee to participating lenders for up to 15 per cent of the property purchase value.</w:t>
      </w:r>
    </w:p>
    <w:p w14:paraId="49C9610B" w14:textId="44403B4A" w:rsidR="000916F6" w:rsidRPr="00D12C6F" w:rsidRDefault="000916F6" w:rsidP="000916F6">
      <w:r w:rsidRPr="00D12C6F">
        <w:t xml:space="preserve">The </w:t>
      </w:r>
      <w:r w:rsidRPr="00D12C6F">
        <w:rPr>
          <w:b/>
          <w:bCs/>
        </w:rPr>
        <w:t xml:space="preserve">Single Parent Stream </w:t>
      </w:r>
      <w:r w:rsidRPr="00D12C6F">
        <w:t>(formerly the</w:t>
      </w:r>
      <w:r w:rsidRPr="00D12C6F">
        <w:rPr>
          <w:b/>
          <w:bCs/>
        </w:rPr>
        <w:t xml:space="preserve"> Family Home Guarantee) </w:t>
      </w:r>
      <w:r w:rsidRPr="00D12C6F">
        <w:t>is designed to support single parents and single legal guardians with dependents seeking to enter, or re</w:t>
      </w:r>
      <w:r w:rsidR="00880FAB">
        <w:noBreakHyphen/>
      </w:r>
      <w:r w:rsidRPr="00D12C6F">
        <w:t>enter, the housing market by providing a guarantee to participating lenders for up to 18</w:t>
      </w:r>
      <w:r>
        <w:t> </w:t>
      </w:r>
      <w:r w:rsidRPr="00D12C6F">
        <w:t>per</w:t>
      </w:r>
      <w:r>
        <w:t> </w:t>
      </w:r>
      <w:r w:rsidRPr="00D12C6F">
        <w:t>cent of the property purchase value.</w:t>
      </w:r>
    </w:p>
    <w:p w14:paraId="4D9CC7ED" w14:textId="07E5A3E1" w:rsidR="000916F6" w:rsidRPr="00D12C6F" w:rsidRDefault="000916F6" w:rsidP="000916F6">
      <w:r w:rsidRPr="00D12C6F">
        <w:t>The following programs previously operated under the Home Guarantee Scheme but have now concluded. Guarantees previously issued under these programs remain active.</w:t>
      </w:r>
    </w:p>
    <w:p w14:paraId="12AE9C47" w14:textId="5D7ED42E" w:rsidR="000916F6" w:rsidRPr="00D12C6F" w:rsidRDefault="000916F6" w:rsidP="000916F6">
      <w:r w:rsidRPr="00D12C6F">
        <w:t xml:space="preserve">The </w:t>
      </w:r>
      <w:r w:rsidRPr="00880FAB">
        <w:rPr>
          <w:rStyle w:val="Strong"/>
        </w:rPr>
        <w:t>New Home Guarantee</w:t>
      </w:r>
      <w:r w:rsidRPr="00D12C6F">
        <w:rPr>
          <w:b/>
        </w:rPr>
        <w:t xml:space="preserve"> </w:t>
      </w:r>
      <w:r w:rsidRPr="00D12C6F">
        <w:t>was designed to support eligible first home buyers seeking to build a new home or purchase a newly built home by providing a guarantee to participating lenders for up to 15 per cent of the property purchase value. The New Home Guarantee concluded on 30</w:t>
      </w:r>
      <w:r w:rsidRPr="00D12C6F">
        <w:rPr>
          <w:rFonts w:hint="eastAsia"/>
        </w:rPr>
        <w:t> </w:t>
      </w:r>
      <w:r w:rsidRPr="00D12C6F">
        <w:t>June</w:t>
      </w:r>
      <w:r w:rsidRPr="00D12C6F">
        <w:rPr>
          <w:rFonts w:hint="eastAsia"/>
        </w:rPr>
        <w:t> </w:t>
      </w:r>
      <w:r w:rsidRPr="00D12C6F">
        <w:t>2022.</w:t>
      </w:r>
    </w:p>
    <w:p w14:paraId="14974920" w14:textId="059DC339" w:rsidR="000916F6" w:rsidRPr="00D12C6F" w:rsidRDefault="000916F6" w:rsidP="000916F6">
      <w:r w:rsidRPr="00D12C6F">
        <w:t>The</w:t>
      </w:r>
      <w:r w:rsidRPr="00D12C6F">
        <w:rPr>
          <w:b/>
        </w:rPr>
        <w:t xml:space="preserve"> </w:t>
      </w:r>
      <w:r w:rsidRPr="00880FAB">
        <w:rPr>
          <w:rStyle w:val="Strong"/>
        </w:rPr>
        <w:t>Regional First Home Buyer Guarantee</w:t>
      </w:r>
      <w:r w:rsidRPr="00D12C6F">
        <w:rPr>
          <w:b/>
        </w:rPr>
        <w:t xml:space="preserve"> </w:t>
      </w:r>
      <w:bookmarkStart w:id="243" w:name="_Hlk214876579"/>
      <w:r w:rsidRPr="00D12C6F">
        <w:t xml:space="preserve">was designed </w:t>
      </w:r>
      <w:bookmarkEnd w:id="243"/>
      <w:r w:rsidRPr="00D12C6F">
        <w:t>to support regional eligible first home buyers and non</w:t>
      </w:r>
      <w:r w:rsidR="00880FAB">
        <w:noBreakHyphen/>
      </w:r>
      <w:r w:rsidRPr="00D12C6F">
        <w:t xml:space="preserve">first home buyers who have not owned a property in Australia within the past ten years, to build or purchase a home in a regional location by providing a guarantee to participating lenders of up to 15 per cent of the property purchase value (subject to a minimum deposit of </w:t>
      </w:r>
      <w:r>
        <w:t>five</w:t>
      </w:r>
      <w:r w:rsidRPr="00D12C6F">
        <w:t> per cent). The Regional First Home Buyer Guarantee commenced on 1 October 2022</w:t>
      </w:r>
      <w:r>
        <w:t xml:space="preserve"> and</w:t>
      </w:r>
      <w:r w:rsidRPr="00D12C6F">
        <w:t xml:space="preserve"> concluded on 30 September 2025.</w:t>
      </w:r>
    </w:p>
    <w:p w14:paraId="624479CA" w14:textId="2164699F" w:rsidR="000916F6" w:rsidRPr="00D12C6F" w:rsidRDefault="000916F6" w:rsidP="000916F6">
      <w:r w:rsidRPr="00D12C6F">
        <w:t>For the four programs listed above, the Government guarantees the liabilities as they arise. Guaranteed liabilities arise where a lender</w:t>
      </w:r>
      <w:r w:rsidR="00880FAB">
        <w:t>’</w:t>
      </w:r>
      <w:r w:rsidRPr="00D12C6F">
        <w:t>s loss is covered by the guarantee. The lender then makes a claim against the guarantee and Housing Australia assesses the claim. Given liabilities under the Scheme are met by a standing appropriation, Housing Australia is not required to maintain capital and reserves to meet the liabilities associated with these programs.</w:t>
      </w:r>
    </w:p>
    <w:p w14:paraId="78011604" w14:textId="7630D0A0" w:rsidR="000916F6" w:rsidRPr="00D12C6F" w:rsidRDefault="000916F6" w:rsidP="000916F6">
      <w:pPr>
        <w:pStyle w:val="Heading4"/>
      </w:pPr>
      <w:r w:rsidRPr="00D12C6F">
        <w:t>Indemnities for specialised external advisers during the COVID</w:t>
      </w:r>
      <w:r w:rsidR="00880FAB">
        <w:noBreakHyphen/>
      </w:r>
      <w:r w:rsidRPr="00D12C6F">
        <w:t>19 pandemic</w:t>
      </w:r>
      <w:bookmarkEnd w:id="241"/>
    </w:p>
    <w:p w14:paraId="5CB69D46" w14:textId="78A49FFC" w:rsidR="000916F6" w:rsidRPr="00D12C6F" w:rsidRDefault="000916F6" w:rsidP="000916F6">
      <w:pPr>
        <w:rPr>
          <w:rFonts w:eastAsia="Book Antiqua"/>
        </w:rPr>
      </w:pPr>
      <w:bookmarkStart w:id="244" w:name="_Toc71117888"/>
      <w:bookmarkEnd w:id="242"/>
      <w:r w:rsidRPr="00D12C6F">
        <w:rPr>
          <w:rFonts w:eastAsia="Book Antiqua"/>
        </w:rPr>
        <w:t>The Government has provided indemnities for certain specialised external advisers engaged to provide advice on emerging markets issues related to COVID</w:t>
      </w:r>
      <w:r w:rsidR="00880FAB">
        <w:rPr>
          <w:rFonts w:eastAsia="Book Antiqua"/>
        </w:rPr>
        <w:noBreakHyphen/>
      </w:r>
      <w:r w:rsidRPr="00D12C6F">
        <w:rPr>
          <w:rFonts w:eastAsia="Book Antiqua"/>
        </w:rPr>
        <w:t>19. Indemnities were provided to mitigate personal risk and provide coverage for costs related to any legal proceedings that may arise in relation to the provision of that advice.</w:t>
      </w:r>
    </w:p>
    <w:p w14:paraId="64BC7027" w14:textId="151F220F" w:rsidR="000916F6" w:rsidRPr="00D12C6F" w:rsidRDefault="000916F6" w:rsidP="000916F6">
      <w:pPr>
        <w:rPr>
          <w:rFonts w:eastAsia="Book Antiqua"/>
        </w:rPr>
      </w:pPr>
      <w:r w:rsidRPr="00D12C6F">
        <w:rPr>
          <w:rFonts w:eastAsia="Book Antiqua"/>
        </w:rPr>
        <w:lastRenderedPageBreak/>
        <w:t>The indemnities apply for the period of engagement as advisers and for claims that are notified within 12 years after cessation of the adviser</w:t>
      </w:r>
      <w:r w:rsidR="00880FAB">
        <w:rPr>
          <w:rFonts w:eastAsia="Book Antiqua"/>
        </w:rPr>
        <w:t>’</w:t>
      </w:r>
      <w:r w:rsidRPr="00D12C6F">
        <w:rPr>
          <w:rFonts w:eastAsia="Book Antiqua"/>
        </w:rPr>
        <w:t>s engagement. Until the indemnity agreements are varied or expire, they will remain as contingent and unquantifiable liabilities. The last indemnity agreement will expire in April 2034.</w:t>
      </w:r>
    </w:p>
    <w:p w14:paraId="2C276D53" w14:textId="77777777" w:rsidR="000916F6" w:rsidRPr="00D12C6F" w:rsidRDefault="000916F6" w:rsidP="000916F6">
      <w:pPr>
        <w:pStyle w:val="Heading4"/>
      </w:pPr>
      <w:r w:rsidRPr="00D12C6F">
        <w:t>Small and Medium Enterprise (SME) Guarantee Scheme</w:t>
      </w:r>
      <w:bookmarkEnd w:id="244"/>
      <w:r w:rsidRPr="00D12C6F">
        <w:t xml:space="preserve"> and SME Recovery Loan Scheme</w:t>
      </w:r>
    </w:p>
    <w:p w14:paraId="275ED06E" w14:textId="6A6F5737" w:rsidR="000916F6" w:rsidRPr="00D12C6F" w:rsidRDefault="000916F6" w:rsidP="000916F6">
      <w:pPr>
        <w:rPr>
          <w:rFonts w:eastAsia="Book Antiqua"/>
        </w:rPr>
      </w:pPr>
      <w:r w:rsidRPr="00D12C6F">
        <w:rPr>
          <w:rFonts w:eastAsia="Book Antiqua"/>
        </w:rPr>
        <w:t xml:space="preserve">The Government provided support for </w:t>
      </w:r>
      <w:r>
        <w:rPr>
          <w:rFonts w:eastAsia="Book Antiqua"/>
        </w:rPr>
        <w:t>SMEs</w:t>
      </w:r>
      <w:r w:rsidRPr="00D12C6F">
        <w:rPr>
          <w:rFonts w:eastAsia="Book Antiqua"/>
        </w:rPr>
        <w:t xml:space="preserve"> during the COVID</w:t>
      </w:r>
      <w:r w:rsidR="00880FAB">
        <w:rPr>
          <w:rFonts w:eastAsia="Book Antiqua"/>
        </w:rPr>
        <w:noBreakHyphen/>
      </w:r>
      <w:r w:rsidRPr="00D12C6F">
        <w:rPr>
          <w:rFonts w:eastAsia="Book Antiqua"/>
        </w:rPr>
        <w:t xml:space="preserve">19 pandemic through guaranteeing loans issued by participating lenders. This support was provided under </w:t>
      </w:r>
      <w:proofErr w:type="gramStart"/>
      <w:r w:rsidRPr="00D12C6F">
        <w:rPr>
          <w:rFonts w:eastAsia="Book Antiqua"/>
        </w:rPr>
        <w:t>a number of</w:t>
      </w:r>
      <w:proofErr w:type="gramEnd"/>
      <w:r w:rsidRPr="00D12C6F">
        <w:rPr>
          <w:rFonts w:eastAsia="Book Antiqua"/>
        </w:rPr>
        <w:t xml:space="preserve"> schemes.</w:t>
      </w:r>
    </w:p>
    <w:p w14:paraId="49226FEF" w14:textId="45246D72" w:rsidR="000916F6" w:rsidRPr="00D12C6F" w:rsidRDefault="000916F6" w:rsidP="000916F6">
      <w:pPr>
        <w:rPr>
          <w:rFonts w:eastAsia="Book Antiqua"/>
        </w:rPr>
      </w:pPr>
      <w:r w:rsidRPr="00D12C6F">
        <w:rPr>
          <w:rFonts w:eastAsia="Book Antiqua"/>
        </w:rPr>
        <w:t xml:space="preserve">The </w:t>
      </w:r>
      <w:r w:rsidRPr="00D12C6F">
        <w:rPr>
          <w:rStyle w:val="Strong"/>
          <w:rFonts w:eastAsia="Book Antiqua"/>
        </w:rPr>
        <w:t>Coronavirus Small and Medium Enterprises (SME) Guarantee Scheme</w:t>
      </w:r>
      <w:r w:rsidRPr="00D12C6F">
        <w:rPr>
          <w:rFonts w:eastAsia="Book Antiqua"/>
        </w:rPr>
        <w:t xml:space="preserve"> provided a guarantee of 50 per cent of the eligible loan amount for eligible </w:t>
      </w:r>
      <w:r>
        <w:rPr>
          <w:rFonts w:eastAsia="Book Antiqua"/>
        </w:rPr>
        <w:t>SMEs</w:t>
      </w:r>
      <w:r w:rsidRPr="00D12C6F">
        <w:rPr>
          <w:rFonts w:eastAsia="Book Antiqua"/>
        </w:rPr>
        <w:t xml:space="preserve"> and the </w:t>
      </w:r>
      <w:r w:rsidRPr="00D12C6F">
        <w:rPr>
          <w:rStyle w:val="Strong"/>
          <w:rFonts w:eastAsia="Book Antiqua"/>
        </w:rPr>
        <w:t>Show Starter Loan Scheme</w:t>
      </w:r>
      <w:r w:rsidRPr="00D12C6F">
        <w:rPr>
          <w:rFonts w:eastAsia="Book Antiqua"/>
        </w:rPr>
        <w:t xml:space="preserve"> provided a guarantee of 100 per cent of the eligible loan amount for the arts and entertainment businesses, with both schemes closing for new loans on 30</w:t>
      </w:r>
      <w:r w:rsidRPr="00D12C6F">
        <w:rPr>
          <w:rFonts w:eastAsia="Book Antiqua" w:hint="cs"/>
        </w:rPr>
        <w:t> </w:t>
      </w:r>
      <w:r w:rsidRPr="00D12C6F">
        <w:rPr>
          <w:rFonts w:eastAsia="Book Antiqua"/>
        </w:rPr>
        <w:t>June</w:t>
      </w:r>
      <w:r w:rsidRPr="00D12C6F">
        <w:rPr>
          <w:rFonts w:eastAsia="Book Antiqua" w:hint="cs"/>
        </w:rPr>
        <w:t> </w:t>
      </w:r>
      <w:r w:rsidRPr="00D12C6F">
        <w:rPr>
          <w:rFonts w:eastAsia="Book Antiqua"/>
        </w:rPr>
        <w:t>2021.</w:t>
      </w:r>
    </w:p>
    <w:p w14:paraId="492D0442" w14:textId="77777777" w:rsidR="000916F6" w:rsidRPr="00D12C6F" w:rsidRDefault="000916F6" w:rsidP="000916F6">
      <w:pPr>
        <w:rPr>
          <w:rFonts w:eastAsia="Book Antiqua"/>
        </w:rPr>
      </w:pPr>
      <w:r w:rsidRPr="00D12C6F">
        <w:rPr>
          <w:rFonts w:eastAsia="Book Antiqua"/>
        </w:rPr>
        <w:t xml:space="preserve">The </w:t>
      </w:r>
      <w:r w:rsidRPr="00D12C6F">
        <w:rPr>
          <w:rStyle w:val="Strong"/>
          <w:rFonts w:eastAsia="Book Antiqua"/>
        </w:rPr>
        <w:t>SME Recovery Loan Scheme</w:t>
      </w:r>
      <w:r w:rsidRPr="00D12C6F">
        <w:rPr>
          <w:rFonts w:eastAsia="Book Antiqua"/>
        </w:rPr>
        <w:t>, an expansion and extension of the Coronavirus SME Guarantee Scheme, provided a guarantee of up to 80 per cent of the eligible loan amount, and was initially available to applicants from 1</w:t>
      </w:r>
      <w:r w:rsidRPr="00D12C6F">
        <w:rPr>
          <w:rFonts w:eastAsia="Book Antiqua" w:hint="cs"/>
        </w:rPr>
        <w:t> </w:t>
      </w:r>
      <w:r w:rsidRPr="00D12C6F">
        <w:rPr>
          <w:rFonts w:eastAsia="Book Antiqua"/>
        </w:rPr>
        <w:t>April</w:t>
      </w:r>
      <w:r w:rsidRPr="00D12C6F">
        <w:rPr>
          <w:rFonts w:eastAsia="Book Antiqua" w:hint="cs"/>
        </w:rPr>
        <w:t> </w:t>
      </w:r>
      <w:r w:rsidRPr="00D12C6F">
        <w:rPr>
          <w:rFonts w:eastAsia="Book Antiqua"/>
        </w:rPr>
        <w:t>2021 until 31</w:t>
      </w:r>
      <w:r w:rsidRPr="00D12C6F">
        <w:rPr>
          <w:rFonts w:eastAsia="Book Antiqua" w:hint="cs"/>
        </w:rPr>
        <w:t> </w:t>
      </w:r>
      <w:r w:rsidRPr="00D12C6F">
        <w:rPr>
          <w:rFonts w:eastAsia="Book Antiqua"/>
        </w:rPr>
        <w:t>December</w:t>
      </w:r>
      <w:r w:rsidRPr="00D12C6F">
        <w:rPr>
          <w:rFonts w:eastAsia="Book Antiqua" w:hint="cs"/>
        </w:rPr>
        <w:t> </w:t>
      </w:r>
      <w:r w:rsidRPr="00D12C6F">
        <w:rPr>
          <w:rFonts w:eastAsia="Book Antiqua"/>
        </w:rPr>
        <w:t>2021.</w:t>
      </w:r>
    </w:p>
    <w:p w14:paraId="5F09290C" w14:textId="77777777" w:rsidR="000916F6" w:rsidRPr="00D12C6F" w:rsidRDefault="000916F6" w:rsidP="000916F6">
      <w:pPr>
        <w:rPr>
          <w:rFonts w:eastAsia="Book Antiqua"/>
        </w:rPr>
      </w:pPr>
      <w:r w:rsidRPr="00D12C6F">
        <w:rPr>
          <w:rFonts w:eastAsia="Book Antiqua"/>
        </w:rPr>
        <w:t>The SME Recovery Loan Scheme was extended from 1 January 2022 to 30</w:t>
      </w:r>
      <w:r w:rsidRPr="00D12C6F">
        <w:rPr>
          <w:rFonts w:eastAsia="Book Antiqua" w:hint="cs"/>
        </w:rPr>
        <w:t> </w:t>
      </w:r>
      <w:r w:rsidRPr="00D12C6F">
        <w:rPr>
          <w:rFonts w:eastAsia="Book Antiqua"/>
        </w:rPr>
        <w:t>June</w:t>
      </w:r>
      <w:r w:rsidRPr="00D12C6F">
        <w:rPr>
          <w:rFonts w:eastAsia="Book Antiqua" w:hint="cs"/>
        </w:rPr>
        <w:t> </w:t>
      </w:r>
      <w:r w:rsidRPr="00D12C6F">
        <w:rPr>
          <w:rFonts w:eastAsia="Book Antiqua"/>
        </w:rPr>
        <w:t>2022, and during this period the Government provided a guarantee of 50 per cent of the eligible loan amount.</w:t>
      </w:r>
    </w:p>
    <w:p w14:paraId="7D789FBA" w14:textId="21877C57" w:rsidR="000916F6" w:rsidRPr="00D12C6F" w:rsidRDefault="000916F6" w:rsidP="000916F6">
      <w:pPr>
        <w:rPr>
          <w:rFonts w:eastAsia="Book Antiqua"/>
        </w:rPr>
      </w:pPr>
      <w:r w:rsidRPr="00D12C6F">
        <w:rPr>
          <w:rFonts w:eastAsia="Book Antiqua"/>
        </w:rPr>
        <w:t xml:space="preserve">Under each of the above schemes, the Government guaranteed to pay an approved lender in the event of default by </w:t>
      </w:r>
      <w:r>
        <w:rPr>
          <w:rFonts w:eastAsia="Book Antiqua"/>
        </w:rPr>
        <w:t>SMEs</w:t>
      </w:r>
      <w:r w:rsidRPr="00D12C6F">
        <w:rPr>
          <w:rFonts w:eastAsia="Book Antiqua"/>
        </w:rPr>
        <w:t>. Although all schemes have closed to new loans, the risk to the Australian</w:t>
      </w:r>
      <w:r w:rsidRPr="00D12C6F">
        <w:rPr>
          <w:rFonts w:eastAsia="Book Antiqua" w:hint="cs"/>
        </w:rPr>
        <w:t> </w:t>
      </w:r>
      <w:r w:rsidRPr="00D12C6F">
        <w:rPr>
          <w:rFonts w:eastAsia="Book Antiqua"/>
        </w:rPr>
        <w:t>Government remains until the final claim date for SME Recovery Loan Scheme on 30</w:t>
      </w:r>
      <w:r w:rsidRPr="00D12C6F">
        <w:rPr>
          <w:rFonts w:eastAsia="Book Antiqua" w:hint="cs"/>
        </w:rPr>
        <w:t> </w:t>
      </w:r>
      <w:r w:rsidRPr="00D12C6F">
        <w:rPr>
          <w:rFonts w:eastAsia="Book Antiqua"/>
        </w:rPr>
        <w:t>September</w:t>
      </w:r>
      <w:r w:rsidRPr="00D12C6F">
        <w:rPr>
          <w:rFonts w:eastAsia="Book Antiqua" w:hint="cs"/>
        </w:rPr>
        <w:t> </w:t>
      </w:r>
      <w:r w:rsidRPr="00D12C6F">
        <w:rPr>
          <w:rFonts w:eastAsia="Book Antiqua"/>
        </w:rPr>
        <w:t xml:space="preserve">2033. </w:t>
      </w:r>
    </w:p>
    <w:p w14:paraId="179491C4" w14:textId="77777777" w:rsidR="000916F6" w:rsidRPr="00D12C6F" w:rsidRDefault="000916F6" w:rsidP="000916F6">
      <w:pPr>
        <w:pStyle w:val="Heading4"/>
        <w:rPr>
          <w:rFonts w:eastAsia="Arial"/>
        </w:rPr>
      </w:pPr>
      <w:r w:rsidRPr="00D12C6F">
        <w:rPr>
          <w:rFonts w:eastAsia="Arial"/>
        </w:rPr>
        <w:t>Terrorism insurance – commercial cover</w:t>
      </w:r>
    </w:p>
    <w:p w14:paraId="39A8D4F6" w14:textId="16697988" w:rsidR="000916F6" w:rsidRPr="00D12C6F" w:rsidRDefault="000916F6" w:rsidP="000916F6">
      <w:pPr>
        <w:rPr>
          <w:rFonts w:eastAsiaTheme="minorEastAsia"/>
        </w:rPr>
      </w:pPr>
      <w:r w:rsidRPr="00D12C6F">
        <w:rPr>
          <w:rFonts w:eastAsiaTheme="minorEastAsia"/>
          <w:lang w:val="en-US"/>
        </w:rPr>
        <w:t xml:space="preserve">The </w:t>
      </w:r>
      <w:r w:rsidRPr="00D12C6F">
        <w:rPr>
          <w:rStyle w:val="Emphasis"/>
          <w:rFonts w:eastAsiaTheme="minorEastAsia"/>
        </w:rPr>
        <w:t>Terrorism and Cyclone Insurance Act 2003</w:t>
      </w:r>
      <w:r w:rsidRPr="00D12C6F">
        <w:rPr>
          <w:rFonts w:eastAsiaTheme="minorEastAsia"/>
          <w:lang w:val="en-US"/>
        </w:rPr>
        <w:t xml:space="preserve"> established a scheme for terrorism insurance covering damage to commercial property, including associated business interruption and public liability (extended in 2017 to mixed</w:t>
      </w:r>
      <w:r w:rsidR="00880FAB">
        <w:rPr>
          <w:rFonts w:eastAsiaTheme="minorEastAsia"/>
          <w:lang w:val="en-US"/>
        </w:rPr>
        <w:noBreakHyphen/>
      </w:r>
      <w:r w:rsidRPr="00D12C6F">
        <w:rPr>
          <w:rFonts w:eastAsiaTheme="minorEastAsia"/>
          <w:lang w:val="en-US"/>
        </w:rPr>
        <w:t>use and high</w:t>
      </w:r>
      <w:r w:rsidR="00880FAB">
        <w:rPr>
          <w:rFonts w:eastAsiaTheme="minorEastAsia"/>
          <w:lang w:val="en-US"/>
        </w:rPr>
        <w:noBreakHyphen/>
      </w:r>
      <w:r w:rsidRPr="00D12C6F">
        <w:rPr>
          <w:rFonts w:eastAsiaTheme="minorEastAsia"/>
          <w:lang w:val="en-US"/>
        </w:rPr>
        <w:t>value residential buildings). The Australian Reinsurance Pool Corporation (ARPC) uses reinsurance premiums paid by insurers to meet its administrative expenses, to maintain a pool of funds and to purchase reinsurance to help meet future claims. The</w:t>
      </w:r>
      <w:r w:rsidRPr="00D12C6F" w:rsidDel="00175068">
        <w:rPr>
          <w:rFonts w:eastAsiaTheme="minorEastAsia"/>
        </w:rPr>
        <w:t xml:space="preserve"> </w:t>
      </w:r>
      <w:r w:rsidRPr="00D12C6F">
        <w:rPr>
          <w:rFonts w:eastAsiaTheme="minorEastAsia"/>
        </w:rPr>
        <w:t xml:space="preserve">Government guarantees to pay any liabilities of the </w:t>
      </w:r>
      <w:proofErr w:type="gramStart"/>
      <w:r w:rsidRPr="00D12C6F">
        <w:rPr>
          <w:rFonts w:eastAsiaTheme="minorEastAsia"/>
        </w:rPr>
        <w:t>ARPC,</w:t>
      </w:r>
      <w:proofErr w:type="gramEnd"/>
      <w:r w:rsidRPr="00D12C6F">
        <w:rPr>
          <w:rFonts w:eastAsiaTheme="minorEastAsia"/>
        </w:rPr>
        <w:t xml:space="preserve"> however the responsible Minister (or delegate) must declare a reduced payout rate to insured entities if the Government</w:t>
      </w:r>
      <w:r w:rsidR="00880FAB">
        <w:rPr>
          <w:rFonts w:eastAsiaTheme="minorEastAsia"/>
        </w:rPr>
        <w:t>’</w:t>
      </w:r>
      <w:r w:rsidRPr="00D12C6F">
        <w:rPr>
          <w:rFonts w:eastAsiaTheme="minorEastAsia"/>
        </w:rPr>
        <w:t>s liability would otherwise exceed $10 billion.</w:t>
      </w:r>
    </w:p>
    <w:p w14:paraId="32DC4630" w14:textId="77777777" w:rsidR="00081CA0" w:rsidRDefault="00081CA0">
      <w:pPr>
        <w:spacing w:before="0" w:after="160" w:line="259" w:lineRule="auto"/>
        <w:rPr>
          <w:rFonts w:eastAsiaTheme="minorEastAsia"/>
        </w:rPr>
      </w:pPr>
      <w:r>
        <w:rPr>
          <w:rFonts w:eastAsiaTheme="minorEastAsia"/>
        </w:rPr>
        <w:br w:type="page"/>
      </w:r>
    </w:p>
    <w:p w14:paraId="1CFEA328" w14:textId="77777777" w:rsidR="000916F6" w:rsidRPr="00D12C6F" w:rsidRDefault="000916F6" w:rsidP="000916F6">
      <w:pPr>
        <w:pStyle w:val="Heading3"/>
        <w:rPr>
          <w:rFonts w:eastAsia="Arial"/>
        </w:rPr>
      </w:pPr>
      <w:bookmarkStart w:id="245" w:name="_Toc223077585"/>
      <w:bookmarkStart w:id="246" w:name="_Toc228987425"/>
      <w:r w:rsidRPr="00D12C6F">
        <w:rPr>
          <w:rFonts w:eastAsia="Arial"/>
        </w:rPr>
        <w:lastRenderedPageBreak/>
        <w:t>Contingent liabilities – quantifiable</w:t>
      </w:r>
      <w:bookmarkEnd w:id="236"/>
      <w:bookmarkEnd w:id="237"/>
      <w:bookmarkEnd w:id="245"/>
      <w:bookmarkEnd w:id="246"/>
    </w:p>
    <w:p w14:paraId="6FC5FB70" w14:textId="77777777" w:rsidR="000916F6" w:rsidRPr="00D12C6F" w:rsidRDefault="000916F6" w:rsidP="000916F6">
      <w:pPr>
        <w:pStyle w:val="Heading4"/>
      </w:pPr>
      <w:bookmarkStart w:id="247" w:name="_Toc71117889"/>
      <w:r w:rsidRPr="00D12C6F">
        <w:t xml:space="preserve">Australian Taxation Office </w:t>
      </w:r>
      <w:r w:rsidRPr="00D12C6F">
        <w:rPr>
          <w:rFonts w:hint="eastAsia"/>
        </w:rPr>
        <w:t>–</w:t>
      </w:r>
      <w:r w:rsidRPr="00D12C6F">
        <w:t xml:space="preserve"> tax disputes</w:t>
      </w:r>
    </w:p>
    <w:bookmarkEnd w:id="247"/>
    <w:p w14:paraId="194BE396" w14:textId="0F11D843" w:rsidR="000916F6" w:rsidRPr="00D12C6F" w:rsidRDefault="000916F6" w:rsidP="000916F6">
      <w:pPr>
        <w:rPr>
          <w:rFonts w:eastAsia="MS Mincho"/>
        </w:rPr>
      </w:pPr>
      <w:r w:rsidRPr="00D12C6F">
        <w:rPr>
          <w:rFonts w:eastAsia="MS Mincho"/>
        </w:rPr>
        <w:t xml:space="preserve">The Australian Taxation Office is regularly involved in a range of dispute resolution processes, including litigation, relating to tax disputes. </w:t>
      </w:r>
    </w:p>
    <w:p w14:paraId="0F66BA8D" w14:textId="56B5B030" w:rsidR="000916F6" w:rsidRPr="00D12C6F" w:rsidRDefault="000916F6" w:rsidP="000916F6">
      <w:pPr>
        <w:rPr>
          <w:rFonts w:eastAsia="MS Mincho"/>
        </w:rPr>
      </w:pPr>
      <w:r w:rsidRPr="00D12C6F">
        <w:rPr>
          <w:rFonts w:eastAsia="MS Mincho"/>
        </w:rPr>
        <w:t>Details of the outcome of dispute resolution processes remain uncertain until a court ruling is made and/or an agreement is reached with the taxpayer. Accordingly, in most cases it is not possible to reliably estimate the likely financial impact of current disputes</w:t>
      </w:r>
      <w:r w:rsidRPr="00D12C6F">
        <w:rPr>
          <w:rFonts w:eastAsia="MS Mincho"/>
          <w:color w:val="000000" w:themeColor="text1"/>
        </w:rPr>
        <w:t xml:space="preserve">. The aggregate value of tax in dispute, for which a provision has not been made, was estimated to be $15.1 billion </w:t>
      </w:r>
      <w:proofErr w:type="gramStart"/>
      <w:r w:rsidRPr="00D12C6F">
        <w:rPr>
          <w:rFonts w:eastAsia="MS Mincho"/>
          <w:color w:val="000000" w:themeColor="text1"/>
        </w:rPr>
        <w:t>at</w:t>
      </w:r>
      <w:proofErr w:type="gramEnd"/>
      <w:r w:rsidRPr="00D12C6F">
        <w:rPr>
          <w:rFonts w:eastAsia="MS Mincho"/>
          <w:color w:val="000000" w:themeColor="text1"/>
        </w:rPr>
        <w:t xml:space="preserve"> 30</w:t>
      </w:r>
      <w:r>
        <w:rPr>
          <w:rFonts w:eastAsia="MS Mincho"/>
          <w:color w:val="000000" w:themeColor="text1"/>
        </w:rPr>
        <w:t> </w:t>
      </w:r>
      <w:r w:rsidRPr="00D12C6F">
        <w:rPr>
          <w:rFonts w:eastAsia="MS Mincho"/>
          <w:color w:val="000000" w:themeColor="text1"/>
        </w:rPr>
        <w:t>September</w:t>
      </w:r>
      <w:r>
        <w:rPr>
          <w:rFonts w:eastAsia="MS Mincho"/>
          <w:color w:val="000000" w:themeColor="text1"/>
        </w:rPr>
        <w:t> </w:t>
      </w:r>
      <w:r w:rsidRPr="00D12C6F">
        <w:rPr>
          <w:rFonts w:eastAsia="MS Mincho"/>
          <w:color w:val="000000" w:themeColor="text1"/>
        </w:rPr>
        <w:t xml:space="preserve">2025. </w:t>
      </w:r>
    </w:p>
    <w:p w14:paraId="730F6A84" w14:textId="1FCE1811" w:rsidR="000916F6" w:rsidRPr="00D12C6F" w:rsidRDefault="000916F6" w:rsidP="000916F6">
      <w:pPr>
        <w:rPr>
          <w:rFonts w:eastAsia="MS Mincho"/>
        </w:rPr>
      </w:pPr>
      <w:r w:rsidRPr="00D12C6F">
        <w:rPr>
          <w:rFonts w:eastAsia="MS Mincho"/>
        </w:rPr>
        <w:t>Outcomes of dispute resolution processes are included in the Commissioner of Taxation</w:t>
      </w:r>
      <w:r w:rsidR="00880FAB">
        <w:rPr>
          <w:rFonts w:eastAsia="MS Mincho"/>
        </w:rPr>
        <w:t>’</w:t>
      </w:r>
      <w:r w:rsidRPr="00D12C6F">
        <w:rPr>
          <w:rFonts w:eastAsia="MS Mincho"/>
        </w:rPr>
        <w:t>s Annual Report each year. This may include disputes resolved through objections, settlements and court and tribunal decisions. It may also include amounts owed by taxpayers that are subject to dispute but not finalised.</w:t>
      </w:r>
    </w:p>
    <w:p w14:paraId="31764C1B" w14:textId="77777777" w:rsidR="000916F6" w:rsidRPr="00D12C6F" w:rsidRDefault="000916F6" w:rsidP="000916F6">
      <w:pPr>
        <w:pStyle w:val="Heading4"/>
      </w:pPr>
      <w:r w:rsidRPr="00D12C6F">
        <w:t xml:space="preserve">International financial institutions </w:t>
      </w:r>
      <w:r w:rsidRPr="00D12C6F">
        <w:rPr>
          <w:rFonts w:hint="eastAsia"/>
        </w:rPr>
        <w:t>–</w:t>
      </w:r>
      <w:r w:rsidRPr="00D12C6F">
        <w:t xml:space="preserve"> uncalled capital subscriptions</w:t>
      </w:r>
    </w:p>
    <w:p w14:paraId="58AC59FC" w14:textId="3C618A07" w:rsidR="000916F6" w:rsidRDefault="000916F6" w:rsidP="000916F6">
      <w:pPr>
        <w:rPr>
          <w:rFonts w:eastAsia="MS Mincho"/>
        </w:rPr>
      </w:pPr>
      <w:r w:rsidRPr="00D12C6F">
        <w:rPr>
          <w:rFonts w:eastAsia="MS Mincho"/>
        </w:rPr>
        <w:t xml:space="preserve">The Government has held an uncalled capital subscription in the International Bank for Reconstruction and Development (IBRD) since 1947. As </w:t>
      </w:r>
      <w:proofErr w:type="gramStart"/>
      <w:r w:rsidRPr="00D12C6F">
        <w:rPr>
          <w:rFonts w:eastAsia="MS Mincho"/>
        </w:rPr>
        <w:t>at</w:t>
      </w:r>
      <w:proofErr w:type="gramEnd"/>
      <w:r w:rsidRPr="00D12C6F">
        <w:rPr>
          <w:rFonts w:eastAsia="MS Mincho"/>
        </w:rPr>
        <w:t xml:space="preserve"> 5</w:t>
      </w:r>
      <w:r>
        <w:rPr>
          <w:rFonts w:eastAsia="MS Mincho"/>
        </w:rPr>
        <w:t> </w:t>
      </w:r>
      <w:r w:rsidRPr="00D12C6F">
        <w:rPr>
          <w:rFonts w:eastAsia="MS Mincho"/>
        </w:rPr>
        <w:t>March</w:t>
      </w:r>
      <w:r>
        <w:rPr>
          <w:rFonts w:eastAsia="MS Mincho"/>
        </w:rPr>
        <w:t> </w:t>
      </w:r>
      <w:r w:rsidRPr="00D12C6F">
        <w:rPr>
          <w:rFonts w:eastAsia="MS Mincho"/>
        </w:rPr>
        <w:t>2026, Australia</w:t>
      </w:r>
      <w:r w:rsidR="00880FAB">
        <w:rPr>
          <w:rFonts w:eastAsia="MS Mincho"/>
        </w:rPr>
        <w:t>’</w:t>
      </w:r>
      <w:r w:rsidRPr="00D12C6F">
        <w:rPr>
          <w:rFonts w:eastAsia="MS Mincho"/>
        </w:rPr>
        <w:t>s uncalled capital subscription to the IBRD was around US$4.4 billion (approximately A$6.2</w:t>
      </w:r>
      <w:r>
        <w:rPr>
          <w:rFonts w:eastAsia="MS Mincho"/>
        </w:rPr>
        <w:t> </w:t>
      </w:r>
      <w:r w:rsidRPr="00D12C6F">
        <w:rPr>
          <w:rFonts w:eastAsia="MS Mincho"/>
        </w:rPr>
        <w:t>billion).</w:t>
      </w:r>
    </w:p>
    <w:p w14:paraId="2AF4F519" w14:textId="7BD281A4" w:rsidR="000916F6" w:rsidRPr="00D12C6F" w:rsidRDefault="000916F6" w:rsidP="000916F6">
      <w:pPr>
        <w:rPr>
          <w:rFonts w:eastAsia="MS Mincho"/>
        </w:rPr>
      </w:pPr>
      <w:r w:rsidRPr="00D12C6F">
        <w:rPr>
          <w:rFonts w:eastAsia="MS Mincho"/>
        </w:rPr>
        <w:t xml:space="preserve">The Government has held an uncalled capital subscription in the European Bank for Reconstruction and Development (EBRD) since 1991. As </w:t>
      </w:r>
      <w:proofErr w:type="gramStart"/>
      <w:r w:rsidRPr="00D12C6F">
        <w:rPr>
          <w:rFonts w:eastAsia="MS Mincho"/>
        </w:rPr>
        <w:t>at</w:t>
      </w:r>
      <w:proofErr w:type="gramEnd"/>
      <w:r w:rsidRPr="00D12C6F">
        <w:rPr>
          <w:rFonts w:eastAsia="MS Mincho"/>
        </w:rPr>
        <w:t xml:space="preserve"> 5 March</w:t>
      </w:r>
      <w:r w:rsidR="004341C4">
        <w:rPr>
          <w:rFonts w:eastAsia="MS Mincho"/>
        </w:rPr>
        <w:t> 2026</w:t>
      </w:r>
      <w:r w:rsidRPr="00D12C6F">
        <w:rPr>
          <w:rFonts w:eastAsia="MS Mincho"/>
        </w:rPr>
        <w:t>, Australia</w:t>
      </w:r>
      <w:r w:rsidR="00880FAB">
        <w:rPr>
          <w:rFonts w:eastAsia="MS Mincho"/>
        </w:rPr>
        <w:t>’</w:t>
      </w:r>
      <w:r w:rsidRPr="00D12C6F">
        <w:rPr>
          <w:rFonts w:eastAsia="MS Mincho"/>
        </w:rPr>
        <w:t>s uncalled capital subscription to the EBRD was around EUR237.5 million (approximately A$391.0</w:t>
      </w:r>
      <w:r w:rsidR="00AA06F4">
        <w:rPr>
          <w:rFonts w:eastAsia="MS Mincho"/>
        </w:rPr>
        <w:t> million</w:t>
      </w:r>
      <w:r w:rsidRPr="00D12C6F">
        <w:rPr>
          <w:rFonts w:eastAsia="MS Mincho"/>
        </w:rPr>
        <w:t xml:space="preserve">). </w:t>
      </w:r>
    </w:p>
    <w:p w14:paraId="126B81A6" w14:textId="1E8E1361" w:rsidR="000916F6" w:rsidRPr="00D12C6F" w:rsidRDefault="000916F6" w:rsidP="000916F6">
      <w:pPr>
        <w:rPr>
          <w:rFonts w:eastAsia="MS Mincho"/>
        </w:rPr>
      </w:pPr>
      <w:r w:rsidRPr="00D12C6F">
        <w:rPr>
          <w:rFonts w:eastAsia="MS Mincho"/>
        </w:rPr>
        <w:t xml:space="preserve">The Government has held an uncalled capital subscription in the Asian Development Bank (ADB) since 1966. As </w:t>
      </w:r>
      <w:proofErr w:type="gramStart"/>
      <w:r w:rsidRPr="00D12C6F">
        <w:rPr>
          <w:rFonts w:eastAsia="MS Mincho"/>
        </w:rPr>
        <w:t>at</w:t>
      </w:r>
      <w:proofErr w:type="gramEnd"/>
      <w:r w:rsidRPr="00D12C6F">
        <w:rPr>
          <w:rFonts w:eastAsia="MS Mincho"/>
        </w:rPr>
        <w:t xml:space="preserve"> 5</w:t>
      </w:r>
      <w:r>
        <w:rPr>
          <w:rFonts w:eastAsia="MS Mincho"/>
        </w:rPr>
        <w:t> </w:t>
      </w:r>
      <w:r w:rsidRPr="00D12C6F">
        <w:rPr>
          <w:rFonts w:eastAsia="MS Mincho"/>
        </w:rPr>
        <w:t>March</w:t>
      </w:r>
      <w:r>
        <w:rPr>
          <w:rFonts w:eastAsia="MS Mincho"/>
        </w:rPr>
        <w:t> </w:t>
      </w:r>
      <w:r w:rsidRPr="00D12C6F">
        <w:rPr>
          <w:rFonts w:eastAsia="MS Mincho"/>
        </w:rPr>
        <w:t>2026, Australia</w:t>
      </w:r>
      <w:r w:rsidR="00880FAB">
        <w:rPr>
          <w:rFonts w:eastAsia="MS Mincho"/>
        </w:rPr>
        <w:t>’</w:t>
      </w:r>
      <w:r w:rsidRPr="00D12C6F">
        <w:rPr>
          <w:rFonts w:eastAsia="MS Mincho"/>
        </w:rPr>
        <w:t>s uncalled capital subscription to the ADB was around US$7.0 billion (approximately A$10.0</w:t>
      </w:r>
      <w:r w:rsidR="00AA06F4">
        <w:rPr>
          <w:rFonts w:eastAsia="MS Mincho"/>
        </w:rPr>
        <w:t> billion</w:t>
      </w:r>
      <w:r w:rsidRPr="00D12C6F">
        <w:rPr>
          <w:rFonts w:eastAsia="MS Mincho"/>
        </w:rPr>
        <w:t xml:space="preserve">). </w:t>
      </w:r>
    </w:p>
    <w:p w14:paraId="41596E4F" w14:textId="695BBAAE" w:rsidR="000916F6" w:rsidRPr="00D12C6F" w:rsidRDefault="000916F6" w:rsidP="000916F6">
      <w:pPr>
        <w:rPr>
          <w:rFonts w:eastAsia="MS Mincho"/>
        </w:rPr>
      </w:pPr>
      <w:r w:rsidRPr="00D12C6F">
        <w:rPr>
          <w:rFonts w:eastAsia="MS Mincho"/>
        </w:rPr>
        <w:t xml:space="preserve">The Government has held an uncalled capital subscription in the Multilateral Investment Guarantee Agency (MIGA) since 1999. As </w:t>
      </w:r>
      <w:proofErr w:type="gramStart"/>
      <w:r w:rsidRPr="00D12C6F">
        <w:rPr>
          <w:rFonts w:eastAsia="MS Mincho"/>
        </w:rPr>
        <w:t>at</w:t>
      </w:r>
      <w:proofErr w:type="gramEnd"/>
      <w:r w:rsidRPr="00D12C6F">
        <w:rPr>
          <w:rFonts w:eastAsia="MS Mincho"/>
        </w:rPr>
        <w:t xml:space="preserve"> 5 March</w:t>
      </w:r>
      <w:r w:rsidR="004341C4">
        <w:rPr>
          <w:rFonts w:eastAsia="MS Mincho"/>
        </w:rPr>
        <w:t> 2026</w:t>
      </w:r>
      <w:r w:rsidRPr="00D12C6F">
        <w:rPr>
          <w:rFonts w:eastAsia="MS Mincho"/>
        </w:rPr>
        <w:t>, Australia</w:t>
      </w:r>
      <w:r w:rsidR="00880FAB">
        <w:rPr>
          <w:rFonts w:eastAsia="MS Mincho"/>
        </w:rPr>
        <w:t>’</w:t>
      </w:r>
      <w:r w:rsidRPr="00D12C6F">
        <w:rPr>
          <w:rFonts w:eastAsia="MS Mincho"/>
        </w:rPr>
        <w:t>s uncalled capital subscription to the MIGA was around US$26.5 million (approximately A$37.5</w:t>
      </w:r>
      <w:r w:rsidR="00AA06F4">
        <w:rPr>
          <w:rFonts w:eastAsia="MS Mincho"/>
        </w:rPr>
        <w:t> million</w:t>
      </w:r>
      <w:r w:rsidRPr="00D12C6F">
        <w:rPr>
          <w:rFonts w:eastAsia="MS Mincho"/>
        </w:rPr>
        <w:t xml:space="preserve">). </w:t>
      </w:r>
    </w:p>
    <w:p w14:paraId="76879F1F" w14:textId="774A80CC" w:rsidR="000916F6" w:rsidRPr="00D12C6F" w:rsidRDefault="000916F6" w:rsidP="000916F6">
      <w:pPr>
        <w:rPr>
          <w:rFonts w:eastAsia="MS Mincho"/>
          <w:b/>
        </w:rPr>
      </w:pPr>
      <w:r w:rsidRPr="00D12C6F">
        <w:rPr>
          <w:rFonts w:eastAsia="MS Mincho"/>
        </w:rPr>
        <w:t xml:space="preserve">The Government has held an uncalled capital subscription in the Asian Infrastructure Investment Bank (AIIB) since 2015. As </w:t>
      </w:r>
      <w:proofErr w:type="gramStart"/>
      <w:r w:rsidRPr="00D12C6F">
        <w:rPr>
          <w:rFonts w:eastAsia="MS Mincho"/>
        </w:rPr>
        <w:t>at</w:t>
      </w:r>
      <w:proofErr w:type="gramEnd"/>
      <w:r w:rsidRPr="00D12C6F">
        <w:rPr>
          <w:rFonts w:eastAsia="MS Mincho"/>
        </w:rPr>
        <w:t xml:space="preserve"> 5 March</w:t>
      </w:r>
      <w:r w:rsidR="004341C4">
        <w:rPr>
          <w:rFonts w:eastAsia="MS Mincho"/>
        </w:rPr>
        <w:t> 2026</w:t>
      </w:r>
      <w:r w:rsidRPr="00D12C6F">
        <w:rPr>
          <w:rFonts w:eastAsia="MS Mincho"/>
        </w:rPr>
        <w:t>, Australia</w:t>
      </w:r>
      <w:r w:rsidR="00880FAB">
        <w:rPr>
          <w:rFonts w:eastAsia="MS Mincho"/>
        </w:rPr>
        <w:t>’</w:t>
      </w:r>
      <w:r w:rsidRPr="00D12C6F">
        <w:rPr>
          <w:rFonts w:eastAsia="MS Mincho"/>
        </w:rPr>
        <w:t>s uncalled capital subscription to the AIIB was around US$3.0 billion (approximately A$4.2</w:t>
      </w:r>
      <w:r>
        <w:rPr>
          <w:rFonts w:eastAsia="MS Mincho"/>
        </w:rPr>
        <w:t> </w:t>
      </w:r>
      <w:r w:rsidRPr="00D12C6F">
        <w:rPr>
          <w:rFonts w:eastAsia="MS Mincho"/>
        </w:rPr>
        <w:t>billion).</w:t>
      </w:r>
    </w:p>
    <w:p w14:paraId="4BF04CD1" w14:textId="7DD1AF41" w:rsidR="000916F6" w:rsidRPr="00D12C6F" w:rsidRDefault="000916F6" w:rsidP="000916F6">
      <w:pPr>
        <w:pStyle w:val="Heading4"/>
        <w:rPr>
          <w:rFonts w:ascii="Arial" w:eastAsia="Arial" w:hAnsi="Arial" w:cs="Arial"/>
          <w:bCs/>
          <w:lang w:val="en-US"/>
        </w:rPr>
      </w:pPr>
      <w:r w:rsidRPr="00D12C6F">
        <w:rPr>
          <w:rFonts w:eastAsia="Arial"/>
        </w:rPr>
        <w:t>International Monetary Fund – 16</w:t>
      </w:r>
      <w:r w:rsidRPr="00D12C6F">
        <w:rPr>
          <w:rFonts w:eastAsia="Arial"/>
          <w:vertAlign w:val="superscript"/>
        </w:rPr>
        <w:t>th</w:t>
      </w:r>
      <w:r w:rsidRPr="00D12C6F">
        <w:rPr>
          <w:rFonts w:eastAsia="Arial"/>
        </w:rPr>
        <w:t xml:space="preserve"> General Review of Quota</w:t>
      </w:r>
    </w:p>
    <w:p w14:paraId="5CBFBEC6" w14:textId="18C8B925" w:rsidR="000916F6" w:rsidRPr="00D12C6F" w:rsidRDefault="000916F6" w:rsidP="000916F6">
      <w:r w:rsidRPr="00D12C6F">
        <w:t>The Government has consented to a 50 per cent increase to its International Monetary Fund</w:t>
      </w:r>
      <w:r>
        <w:t> </w:t>
      </w:r>
      <w:r w:rsidRPr="00D12C6F">
        <w:t>(IMF) quota. Under the agreement, Australia</w:t>
      </w:r>
      <w:r w:rsidR="00880FAB">
        <w:t>’</w:t>
      </w:r>
      <w:r w:rsidRPr="00D12C6F">
        <w:t>s quota will increase from Special</w:t>
      </w:r>
      <w:r>
        <w:t> </w:t>
      </w:r>
      <w:r w:rsidRPr="00D12C6F">
        <w:t>Drawing Rights (SDR) 6.6 billion (approximately A$12.7</w:t>
      </w:r>
      <w:r w:rsidR="00AA06F4">
        <w:t> billion</w:t>
      </w:r>
      <w:r w:rsidRPr="00D12C6F">
        <w:t xml:space="preserve"> as </w:t>
      </w:r>
      <w:proofErr w:type="gramStart"/>
      <w:r w:rsidRPr="00D12C6F">
        <w:t>at</w:t>
      </w:r>
      <w:proofErr w:type="gramEnd"/>
      <w:r w:rsidRPr="00D12C6F">
        <w:t xml:space="preserve"> 5</w:t>
      </w:r>
      <w:r>
        <w:t> </w:t>
      </w:r>
      <w:r w:rsidRPr="00D12C6F">
        <w:t>March</w:t>
      </w:r>
      <w:r>
        <w:t> </w:t>
      </w:r>
      <w:r w:rsidRPr="00D12C6F">
        <w:t>2026) to SDR 9.9 billion (approximately A$19.1 billion as at 5 March</w:t>
      </w:r>
      <w:r w:rsidR="004341C4">
        <w:t> 2026</w:t>
      </w:r>
      <w:r w:rsidRPr="00D12C6F">
        <w:t xml:space="preserve">). This increase </w:t>
      </w:r>
      <w:r w:rsidRPr="00D12C6F">
        <w:lastRenderedPageBreak/>
        <w:t>maintains Australia</w:t>
      </w:r>
      <w:r w:rsidR="00880FAB">
        <w:t>’</w:t>
      </w:r>
      <w:r w:rsidRPr="00D12C6F">
        <w:t xml:space="preserve">s voting power at the IMF and share of any future SDR allocation, and increases access to fund financing. </w:t>
      </w:r>
    </w:p>
    <w:p w14:paraId="43068B65" w14:textId="09EBA222" w:rsidR="000916F6" w:rsidRPr="00D12C6F" w:rsidRDefault="000916F6" w:rsidP="000916F6">
      <w:r w:rsidRPr="00D12C6F">
        <w:t xml:space="preserve">The timing of the implementation of the quota </w:t>
      </w:r>
      <w:proofErr w:type="gramStart"/>
      <w:r w:rsidRPr="00D12C6F">
        <w:t>increase</w:t>
      </w:r>
      <w:proofErr w:type="gramEnd"/>
      <w:r w:rsidRPr="00D12C6F">
        <w:t xml:space="preserve"> and the accompanying required contribution is uncertain and is subject to conditions, including consent by members representing 85 per cent of the existing quota. 25 per cent of the increase, SDR 821.6 million (approximately A$1.6</w:t>
      </w:r>
      <w:r>
        <w:t> </w:t>
      </w:r>
      <w:r w:rsidRPr="00D12C6F">
        <w:t xml:space="preserve">billion as </w:t>
      </w:r>
      <w:proofErr w:type="gramStart"/>
      <w:r w:rsidRPr="00D12C6F">
        <w:t>at</w:t>
      </w:r>
      <w:proofErr w:type="gramEnd"/>
      <w:r w:rsidRPr="00D12C6F">
        <w:t xml:space="preserve"> 5</w:t>
      </w:r>
      <w:r>
        <w:t> </w:t>
      </w:r>
      <w:r w:rsidRPr="00D12C6F">
        <w:t>March</w:t>
      </w:r>
      <w:r>
        <w:t> </w:t>
      </w:r>
      <w:r w:rsidRPr="00D12C6F">
        <w:t>2026), will be made in foreign currency (in</w:t>
      </w:r>
      <w:r>
        <w:t> </w:t>
      </w:r>
      <w:r w:rsidRPr="00D12C6F">
        <w:t>consultation with the IMF) and the remainder will be covered by Australian dollar denominated promissory notes. If the IMF Quota increase is implemented, it will be largely offset by reductions in Australia</w:t>
      </w:r>
      <w:r w:rsidR="00880FAB">
        <w:t>’</w:t>
      </w:r>
      <w:r w:rsidRPr="00D12C6F">
        <w:t>s other IMF commitments.</w:t>
      </w:r>
    </w:p>
    <w:p w14:paraId="6D1E76E2" w14:textId="77777777" w:rsidR="000916F6" w:rsidRPr="00D12C6F" w:rsidRDefault="000916F6" w:rsidP="000916F6">
      <w:pPr>
        <w:pStyle w:val="Heading4"/>
      </w:pPr>
      <w:r w:rsidRPr="00D12C6F">
        <w:t xml:space="preserve">International Monetary Fund </w:t>
      </w:r>
      <w:r w:rsidRPr="00D12C6F">
        <w:rPr>
          <w:rFonts w:hint="eastAsia"/>
        </w:rPr>
        <w:t>–</w:t>
      </w:r>
      <w:r w:rsidRPr="00D12C6F">
        <w:t xml:space="preserve"> New Arrangements to Borrow &amp; Bilateral Borrowing Agreement</w:t>
      </w:r>
    </w:p>
    <w:p w14:paraId="44C3AA19" w14:textId="77777777" w:rsidR="000916F6" w:rsidRPr="00D12C6F" w:rsidRDefault="000916F6" w:rsidP="000916F6">
      <w:r w:rsidRPr="00D12C6F">
        <w:t xml:space="preserve">Australia has made a line of credit available to the International Monetary Fund (IMF) under its New Arrangements to Borrow since 1998. This is a contingent loan to help ensure that the IMF has the resources available to maintain stability in the global economy. </w:t>
      </w:r>
    </w:p>
    <w:p w14:paraId="21614D70" w14:textId="661C6424" w:rsidR="000916F6" w:rsidRPr="00D12C6F" w:rsidRDefault="000916F6" w:rsidP="000916F6">
      <w:r w:rsidRPr="00D12C6F">
        <w:t>On 19</w:t>
      </w:r>
      <w:r>
        <w:t> </w:t>
      </w:r>
      <w:r w:rsidRPr="00D12C6F">
        <w:t>July</w:t>
      </w:r>
      <w:r>
        <w:t> </w:t>
      </w:r>
      <w:r w:rsidRPr="00D12C6F">
        <w:t>2024, a renewal of the New Arrangements to Borrow was adopted by a decision of the IMF</w:t>
      </w:r>
      <w:r w:rsidR="00880FAB">
        <w:t>’</w:t>
      </w:r>
      <w:r w:rsidRPr="00D12C6F">
        <w:t xml:space="preserve">s Executive Board. The Government has completed the required domestic </w:t>
      </w:r>
      <w:proofErr w:type="gramStart"/>
      <w:r w:rsidRPr="00D12C6F">
        <w:t>processes</w:t>
      </w:r>
      <w:proofErr w:type="gramEnd"/>
      <w:r w:rsidRPr="00D12C6F">
        <w:t xml:space="preserve"> and the arrangement is effective from 1 January</w:t>
      </w:r>
      <w:r w:rsidR="004341C4">
        <w:t> 2026</w:t>
      </w:r>
      <w:r w:rsidRPr="00D12C6F">
        <w:t xml:space="preserve"> to 31 December 2030 under the </w:t>
      </w:r>
      <w:r w:rsidRPr="00D12C6F">
        <w:rPr>
          <w:i/>
          <w:iCs/>
        </w:rPr>
        <w:t>International Monetary Agreements Act 1947</w:t>
      </w:r>
      <w:r w:rsidRPr="00D12C6F" w:rsidDel="00902E4B">
        <w:t>.</w:t>
      </w:r>
      <w:r w:rsidRPr="00D12C6F">
        <w:t xml:space="preserve"> As </w:t>
      </w:r>
      <w:proofErr w:type="gramStart"/>
      <w:r w:rsidRPr="00D12C6F">
        <w:t>at</w:t>
      </w:r>
      <w:proofErr w:type="gramEnd"/>
      <w:r w:rsidRPr="00D12C6F">
        <w:t xml:space="preserve"> 5 March</w:t>
      </w:r>
      <w:r w:rsidR="004341C4">
        <w:t> 2026</w:t>
      </w:r>
      <w:r w:rsidRPr="00D12C6F">
        <w:t>, the value of Australia</w:t>
      </w:r>
      <w:r w:rsidR="00880FAB">
        <w:t>’</w:t>
      </w:r>
      <w:r w:rsidRPr="00D12C6F">
        <w:t>s New Arrangements to Borrow credit arrangement is around Special Drawing Rights (SDR) 4.4 billion (approximately A$8.6</w:t>
      </w:r>
      <w:r w:rsidR="00AA06F4">
        <w:t> billion</w:t>
      </w:r>
      <w:r w:rsidRPr="00D12C6F">
        <w:t>). If the IMF quota increase is implemented, the value of Australia</w:t>
      </w:r>
      <w:r w:rsidR="00880FAB">
        <w:t>’</w:t>
      </w:r>
      <w:r w:rsidRPr="00D12C6F">
        <w:t>s contribution will decrease by around SDR 0.7</w:t>
      </w:r>
      <w:r>
        <w:t> </w:t>
      </w:r>
      <w:r w:rsidRPr="00D12C6F">
        <w:t>billion to around SDR</w:t>
      </w:r>
      <w:r>
        <w:t> </w:t>
      </w:r>
      <w:r w:rsidRPr="00D12C6F">
        <w:t>3.7</w:t>
      </w:r>
      <w:r>
        <w:t> </w:t>
      </w:r>
      <w:r w:rsidRPr="00D12C6F">
        <w:t>billion (approximately A$7.2</w:t>
      </w:r>
      <w:r>
        <w:t> </w:t>
      </w:r>
      <w:r w:rsidRPr="00D12C6F">
        <w:t xml:space="preserve">billion as </w:t>
      </w:r>
      <w:proofErr w:type="gramStart"/>
      <w:r w:rsidRPr="00D12C6F">
        <w:t>at</w:t>
      </w:r>
      <w:proofErr w:type="gramEnd"/>
      <w:r w:rsidRPr="00D12C6F">
        <w:t xml:space="preserve"> 5 March</w:t>
      </w:r>
      <w:r w:rsidR="004341C4">
        <w:t> 2026</w:t>
      </w:r>
      <w:r w:rsidRPr="00D12C6F">
        <w:t xml:space="preserve">). </w:t>
      </w:r>
    </w:p>
    <w:p w14:paraId="2CE478B0" w14:textId="68F71B6E" w:rsidR="000916F6" w:rsidRPr="00D12C6F" w:rsidRDefault="000916F6" w:rsidP="000916F6">
      <w:r w:rsidRPr="00D12C6F">
        <w:t>Australia has also made available around SDR 2.0</w:t>
      </w:r>
      <w:r w:rsidR="00AA06F4">
        <w:t> billion</w:t>
      </w:r>
      <w:r w:rsidRPr="00D12C6F">
        <w:t xml:space="preserve"> (approximately A$3.8</w:t>
      </w:r>
      <w:r>
        <w:t> </w:t>
      </w:r>
      <w:r w:rsidRPr="00D12C6F">
        <w:t xml:space="preserve">billion as </w:t>
      </w:r>
      <w:proofErr w:type="gramStart"/>
      <w:r w:rsidRPr="00D12C6F">
        <w:t>at</w:t>
      </w:r>
      <w:proofErr w:type="gramEnd"/>
      <w:r>
        <w:t> </w:t>
      </w:r>
      <w:r w:rsidRPr="00D12C6F">
        <w:t>5</w:t>
      </w:r>
      <w:r>
        <w:t> </w:t>
      </w:r>
      <w:r w:rsidRPr="00D12C6F">
        <w:t>March</w:t>
      </w:r>
      <w:r w:rsidR="004341C4">
        <w:t> 2026</w:t>
      </w:r>
      <w:r w:rsidRPr="00D12C6F">
        <w:t xml:space="preserve">) through a contingent bilateral loan to the IMF, known as a Bilateral Borrowing Agreement (the Agreement). This is on terms consistent with other bilateral loans and note purchase agreements between the IMF and other contributing countries. The </w:t>
      </w:r>
      <w:r>
        <w:t>Agreement</w:t>
      </w:r>
      <w:r w:rsidRPr="00D12C6F">
        <w:t xml:space="preserve"> will be drawn upon by the IMF only if needed to supplement the IMF</w:t>
      </w:r>
      <w:r w:rsidR="00880FAB">
        <w:t>’</w:t>
      </w:r>
      <w:r w:rsidRPr="00D12C6F">
        <w:t>s quota and New Arrangements to Borrow resources, and any drawings on loans would be repaid in full, with interest. On 20 November 2024, the Australian Government finalised an extension of the Agreement through to 31 December 2027, building on an earlier extension agreed in 2023. If the IMF quota increase is implemented before 31 December 2027, the Agreement will be allowed to expire.</w:t>
      </w:r>
    </w:p>
    <w:p w14:paraId="53F6B7DA" w14:textId="77777777" w:rsidR="000916F6" w:rsidRPr="00D12C6F" w:rsidRDefault="000916F6" w:rsidP="000916F6">
      <w:pPr>
        <w:pStyle w:val="Heading4"/>
      </w:pPr>
      <w:r w:rsidRPr="00D12C6F">
        <w:t xml:space="preserve">International Monetary Fund </w:t>
      </w:r>
      <w:r w:rsidRPr="00D12C6F">
        <w:rPr>
          <w:rFonts w:hint="eastAsia"/>
        </w:rPr>
        <w:t>–</w:t>
      </w:r>
      <w:r w:rsidRPr="00D12C6F">
        <w:t xml:space="preserve"> Poverty Reduction and Growth Trust</w:t>
      </w:r>
    </w:p>
    <w:p w14:paraId="3AF7FDB6" w14:textId="6E27F5ED" w:rsidR="000916F6" w:rsidRPr="00D12C6F" w:rsidRDefault="000916F6" w:rsidP="000916F6">
      <w:pPr>
        <w:rPr>
          <w:rFonts w:eastAsia="MS Mincho"/>
        </w:rPr>
      </w:pPr>
      <w:r w:rsidRPr="00D12C6F">
        <w:rPr>
          <w:rFonts w:eastAsia="MS Mincho"/>
        </w:rPr>
        <w:t>The Government has entered into agreements to make a line of credit available to the International Monetary Fund (IMF) under the Poverty Reduction and Growth Trust</w:t>
      </w:r>
      <w:r>
        <w:rPr>
          <w:rFonts w:eastAsia="MS Mincho"/>
        </w:rPr>
        <w:t xml:space="preserve"> (the Trust)</w:t>
      </w:r>
      <w:r w:rsidRPr="00D12C6F">
        <w:rPr>
          <w:rFonts w:eastAsia="MS Mincho"/>
        </w:rPr>
        <w:t xml:space="preserve"> through to 31 December 2029. The Trust provides concessional financial support to low</w:t>
      </w:r>
      <w:r w:rsidR="00880FAB">
        <w:rPr>
          <w:rFonts w:eastAsia="MS Mincho"/>
        </w:rPr>
        <w:noBreakHyphen/>
      </w:r>
      <w:r w:rsidRPr="00D12C6F">
        <w:rPr>
          <w:rFonts w:eastAsia="MS Mincho"/>
        </w:rPr>
        <w:t xml:space="preserve">income countries to help them achieve, maintain, or restore a stable and sustainable macroeconomic position. Poverty Reduction and Growth Trust funds are drawn upon by the IMF as needed and will be repaid in full, with interest. </w:t>
      </w:r>
    </w:p>
    <w:p w14:paraId="56CD0EF3" w14:textId="5781D506" w:rsidR="000916F6" w:rsidRPr="00D12C6F" w:rsidRDefault="000916F6" w:rsidP="000916F6">
      <w:pPr>
        <w:rPr>
          <w:rFonts w:eastAsia="MS Mincho"/>
        </w:rPr>
      </w:pPr>
      <w:r w:rsidRPr="00D12C6F">
        <w:rPr>
          <w:rFonts w:eastAsia="MS Mincho"/>
        </w:rPr>
        <w:lastRenderedPageBreak/>
        <w:t>Through these agreements, the Government has made available Special Drawing Rights (SDR) 1 billion (approximately A$1.9</w:t>
      </w:r>
      <w:r w:rsidR="00AA06F4">
        <w:rPr>
          <w:rFonts w:eastAsia="MS Mincho"/>
        </w:rPr>
        <w:t> billion</w:t>
      </w:r>
      <w:r w:rsidRPr="00D12C6F">
        <w:rPr>
          <w:rFonts w:eastAsia="MS Mincho"/>
        </w:rPr>
        <w:t xml:space="preserve"> as </w:t>
      </w:r>
      <w:proofErr w:type="gramStart"/>
      <w:r w:rsidRPr="00D12C6F">
        <w:rPr>
          <w:rFonts w:eastAsia="MS Mincho"/>
        </w:rPr>
        <w:t>at</w:t>
      </w:r>
      <w:proofErr w:type="gramEnd"/>
      <w:r w:rsidRPr="00D12C6F">
        <w:rPr>
          <w:rFonts w:eastAsia="MS Mincho"/>
        </w:rPr>
        <w:t xml:space="preserve"> </w:t>
      </w:r>
      <w:r w:rsidRPr="00D12C6F">
        <w:t>5 March</w:t>
      </w:r>
      <w:r w:rsidR="004341C4">
        <w:t> 2026</w:t>
      </w:r>
      <w:r w:rsidRPr="00D12C6F">
        <w:rPr>
          <w:rFonts w:eastAsia="MS Mincho"/>
        </w:rPr>
        <w:t>) to loan to the IMF under the Trust. It is estimated SDR 671.4 million (approximately A$1.3</w:t>
      </w:r>
      <w:r>
        <w:rPr>
          <w:rFonts w:eastAsia="MS Mincho"/>
        </w:rPr>
        <w:t> </w:t>
      </w:r>
      <w:r w:rsidRPr="00D12C6F">
        <w:rPr>
          <w:rFonts w:eastAsia="MS Mincho"/>
        </w:rPr>
        <w:t xml:space="preserve">billion as </w:t>
      </w:r>
      <w:proofErr w:type="gramStart"/>
      <w:r w:rsidRPr="00D12C6F">
        <w:rPr>
          <w:rFonts w:eastAsia="MS Mincho"/>
        </w:rPr>
        <w:t>at</w:t>
      </w:r>
      <w:proofErr w:type="gramEnd"/>
      <w:r w:rsidRPr="00D12C6F">
        <w:rPr>
          <w:rFonts w:eastAsia="MS Mincho"/>
        </w:rPr>
        <w:t xml:space="preserve"> </w:t>
      </w:r>
      <w:r w:rsidRPr="00D12C6F">
        <w:t>5 March</w:t>
      </w:r>
      <w:r w:rsidR="004341C4">
        <w:t> 2026</w:t>
      </w:r>
      <w:r w:rsidRPr="00D12C6F">
        <w:rPr>
          <w:rFonts w:eastAsia="MS Mincho"/>
        </w:rPr>
        <w:t>) will be available to the IMF under the Trust at 30 June</w:t>
      </w:r>
      <w:r w:rsidR="004341C4">
        <w:rPr>
          <w:rFonts w:eastAsia="MS Mincho"/>
        </w:rPr>
        <w:t> 2026</w:t>
      </w:r>
      <w:r w:rsidRPr="00D12C6F">
        <w:rPr>
          <w:rFonts w:eastAsia="MS Mincho"/>
        </w:rPr>
        <w:t>.</w:t>
      </w:r>
    </w:p>
    <w:p w14:paraId="13C36655" w14:textId="77777777" w:rsidR="000916F6" w:rsidRPr="00D12C6F" w:rsidRDefault="000916F6" w:rsidP="000916F6">
      <w:pPr>
        <w:pStyle w:val="Heading4"/>
      </w:pPr>
      <w:r w:rsidRPr="00D12C6F">
        <w:t xml:space="preserve">International Monetary Fund </w:t>
      </w:r>
      <w:r w:rsidRPr="00D12C6F">
        <w:rPr>
          <w:rFonts w:hint="eastAsia"/>
        </w:rPr>
        <w:t>–</w:t>
      </w:r>
      <w:r w:rsidRPr="00D12C6F">
        <w:t xml:space="preserve"> Resilience and Sustainability Trust</w:t>
      </w:r>
    </w:p>
    <w:p w14:paraId="4A398D7D" w14:textId="4020BFA9" w:rsidR="000916F6" w:rsidRPr="00D12C6F" w:rsidRDefault="000916F6" w:rsidP="000916F6">
      <w:pPr>
        <w:rPr>
          <w:rFonts w:eastAsia="MS Mincho"/>
        </w:rPr>
      </w:pPr>
      <w:r w:rsidRPr="00D12C6F">
        <w:rPr>
          <w:rFonts w:eastAsia="MS Mincho"/>
        </w:rPr>
        <w:t>On 11 October</w:t>
      </w:r>
      <w:r w:rsidR="001370F4">
        <w:rPr>
          <w:rFonts w:eastAsia="MS Mincho"/>
        </w:rPr>
        <w:t> 2022</w:t>
      </w:r>
      <w:r w:rsidRPr="00D12C6F">
        <w:rPr>
          <w:rFonts w:eastAsia="MS Mincho"/>
        </w:rPr>
        <w:t>, the Government entered into an agreement to make a line of credit of Special Drawing Rights (SDR) 760 million (approximately A$1.5</w:t>
      </w:r>
      <w:r w:rsidR="00AA06F4">
        <w:rPr>
          <w:rFonts w:eastAsia="MS Mincho"/>
        </w:rPr>
        <w:t> billion</w:t>
      </w:r>
      <w:r w:rsidRPr="00D12C6F">
        <w:rPr>
          <w:rFonts w:eastAsia="MS Mincho"/>
        </w:rPr>
        <w:t xml:space="preserve"> as </w:t>
      </w:r>
      <w:proofErr w:type="gramStart"/>
      <w:r w:rsidRPr="00D12C6F">
        <w:rPr>
          <w:rFonts w:eastAsia="MS Mincho"/>
        </w:rPr>
        <w:t>at</w:t>
      </w:r>
      <w:proofErr w:type="gramEnd"/>
      <w:r w:rsidRPr="00D12C6F">
        <w:rPr>
          <w:rFonts w:eastAsia="MS Mincho"/>
        </w:rPr>
        <w:t xml:space="preserve"> 5 March</w:t>
      </w:r>
      <w:r w:rsidR="004341C4">
        <w:rPr>
          <w:rFonts w:eastAsia="MS Mincho"/>
        </w:rPr>
        <w:t> 2026</w:t>
      </w:r>
      <w:r w:rsidRPr="00D12C6F">
        <w:rPr>
          <w:rFonts w:eastAsia="MS Mincho"/>
        </w:rPr>
        <w:t>) available to the International Monetary Fund (IMF) under the Resilience and Sustainability Trust through to 30 November 2030. The Resilience and Sustainability Trust will provide affordable long</w:t>
      </w:r>
      <w:r w:rsidR="00880FAB">
        <w:rPr>
          <w:rFonts w:eastAsia="MS Mincho"/>
        </w:rPr>
        <w:noBreakHyphen/>
      </w:r>
      <w:r w:rsidRPr="00D12C6F">
        <w:rPr>
          <w:rFonts w:eastAsia="MS Mincho"/>
        </w:rPr>
        <w:t xml:space="preserve">term financing to help vulnerable countries build resilience and sustainability to address risks stemming from climate change and pandemic preparedness. Resilience and Sustainability Trust line of credit funds are drawn upon by the IMF as needed and will be repaid in full, with interest. </w:t>
      </w:r>
    </w:p>
    <w:p w14:paraId="1CF5E09C" w14:textId="1A8A2845" w:rsidR="0037678F" w:rsidRPr="00D12C6F" w:rsidRDefault="000916F6" w:rsidP="000916F6">
      <w:pPr>
        <w:rPr>
          <w:rFonts w:eastAsia="MS Mincho"/>
        </w:rPr>
      </w:pPr>
      <w:r w:rsidRPr="00D12C6F">
        <w:rPr>
          <w:rFonts w:eastAsia="MS Mincho"/>
        </w:rPr>
        <w:t xml:space="preserve">It is estimated SDR 622.3 million (approximately A$1.2 billion as </w:t>
      </w:r>
      <w:proofErr w:type="gramStart"/>
      <w:r w:rsidRPr="00D12C6F">
        <w:rPr>
          <w:rFonts w:eastAsia="MS Mincho"/>
        </w:rPr>
        <w:t>at</w:t>
      </w:r>
      <w:proofErr w:type="gramEnd"/>
      <w:r w:rsidRPr="00D12C6F">
        <w:rPr>
          <w:rFonts w:eastAsia="MS Mincho"/>
        </w:rPr>
        <w:t xml:space="preserve"> 5 March</w:t>
      </w:r>
      <w:r w:rsidR="004341C4">
        <w:rPr>
          <w:rFonts w:eastAsia="MS Mincho"/>
        </w:rPr>
        <w:t> 2026</w:t>
      </w:r>
      <w:r w:rsidRPr="00D12C6F">
        <w:rPr>
          <w:rFonts w:eastAsia="MS Mincho"/>
        </w:rPr>
        <w:t>) will be available to the IMF under the Resilience and Sustainability Trust at 30 June</w:t>
      </w:r>
      <w:r w:rsidR="004341C4">
        <w:rPr>
          <w:rFonts w:eastAsia="MS Mincho"/>
        </w:rPr>
        <w:t> 2026</w:t>
      </w:r>
      <w:r w:rsidRPr="00D12C6F">
        <w:rPr>
          <w:rFonts w:eastAsia="MS Mincho"/>
        </w:rPr>
        <w:t>.</w:t>
      </w:r>
    </w:p>
    <w:p w14:paraId="46E668F5" w14:textId="49149CC0" w:rsidR="00C64A00" w:rsidRPr="00D12C6F" w:rsidRDefault="00C64A00" w:rsidP="00C64A00">
      <w:pPr>
        <w:pStyle w:val="Heading2"/>
        <w:rPr>
          <w:rFonts w:eastAsia="Arial"/>
        </w:rPr>
      </w:pPr>
      <w:bookmarkStart w:id="248" w:name="_Toc228987426"/>
      <w:bookmarkEnd w:id="218"/>
      <w:bookmarkEnd w:id="219"/>
      <w:r w:rsidRPr="00D12C6F">
        <w:rPr>
          <w:rFonts w:eastAsia="Arial"/>
        </w:rPr>
        <w:t>Veterans</w:t>
      </w:r>
      <w:r w:rsidR="00880FAB">
        <w:rPr>
          <w:rFonts w:eastAsia="Arial"/>
        </w:rPr>
        <w:t>’</w:t>
      </w:r>
      <w:r w:rsidRPr="00D12C6F">
        <w:rPr>
          <w:rFonts w:eastAsia="Arial"/>
        </w:rPr>
        <w:t xml:space="preserve"> Affairs</w:t>
      </w:r>
      <w:bookmarkEnd w:id="248"/>
    </w:p>
    <w:p w14:paraId="105552DA" w14:textId="4CAE0CE3" w:rsidR="00C64A00" w:rsidRPr="00D12C6F" w:rsidRDefault="00C64A00" w:rsidP="00C64A00">
      <w:pPr>
        <w:pStyle w:val="Heading3"/>
        <w:rPr>
          <w:rFonts w:eastAsia="Arial"/>
        </w:rPr>
      </w:pPr>
      <w:bookmarkStart w:id="249" w:name="_Toc99141901"/>
      <w:bookmarkStart w:id="250" w:name="_Toc166165538"/>
      <w:bookmarkStart w:id="251" w:name="_Toc223077587"/>
      <w:bookmarkStart w:id="252" w:name="_Toc228987427"/>
      <w:r w:rsidRPr="00D12C6F">
        <w:rPr>
          <w:rFonts w:eastAsia="Arial"/>
        </w:rPr>
        <w:t xml:space="preserve">Fiscal </w:t>
      </w:r>
      <w:bookmarkEnd w:id="249"/>
      <w:bookmarkEnd w:id="250"/>
      <w:bookmarkEnd w:id="251"/>
      <w:r w:rsidRPr="00D12C6F">
        <w:rPr>
          <w:rFonts w:eastAsia="Arial"/>
        </w:rPr>
        <w:t>Risks</w:t>
      </w:r>
      <w:bookmarkEnd w:id="252"/>
    </w:p>
    <w:p w14:paraId="2DF40EE1" w14:textId="77777777" w:rsidR="00C64A00" w:rsidRPr="00D12C6F" w:rsidRDefault="00C64A00" w:rsidP="00C64A00">
      <w:pPr>
        <w:pStyle w:val="Heading4"/>
        <w:rPr>
          <w:rFonts w:eastAsia="Arial"/>
        </w:rPr>
      </w:pPr>
      <w:r w:rsidRPr="00D12C6F">
        <w:rPr>
          <w:rFonts w:eastAsia="Arial"/>
        </w:rPr>
        <w:t>Defence Service Homes Insurance Scheme</w:t>
      </w:r>
    </w:p>
    <w:p w14:paraId="06EB89E9" w14:textId="77777777" w:rsidR="00C64A00" w:rsidRPr="00D12C6F" w:rsidRDefault="00C64A00" w:rsidP="00C64A00">
      <w:pPr>
        <w:rPr>
          <w:rFonts w:eastAsia="MS Mincho"/>
        </w:rPr>
      </w:pPr>
      <w:r w:rsidRPr="00D12C6F">
        <w:rPr>
          <w:rFonts w:eastAsia="Arial"/>
        </w:rPr>
        <w:t>The Defence Service Homes Insurance Scheme (DSH Insurance) was established in 1919 under</w:t>
      </w:r>
      <w:r w:rsidRPr="00D12C6F">
        <w:rPr>
          <w:rFonts w:eastAsia="Arial"/>
          <w:spacing w:val="-14"/>
        </w:rPr>
        <w:t xml:space="preserve"> </w:t>
      </w:r>
      <w:r w:rsidRPr="00D12C6F">
        <w:rPr>
          <w:rFonts w:eastAsia="Arial"/>
        </w:rPr>
        <w:t>the</w:t>
      </w:r>
      <w:r w:rsidRPr="00D12C6F">
        <w:rPr>
          <w:rFonts w:eastAsia="Arial"/>
          <w:spacing w:val="-13"/>
        </w:rPr>
        <w:t xml:space="preserve"> </w:t>
      </w:r>
      <w:r w:rsidRPr="00D12C6F">
        <w:rPr>
          <w:rFonts w:eastAsia="Arial"/>
          <w:i/>
          <w:iCs/>
        </w:rPr>
        <w:t>Defence Service Homes Act 1918</w:t>
      </w:r>
      <w:r w:rsidRPr="00D12C6F">
        <w:rPr>
          <w:rFonts w:eastAsia="Arial"/>
        </w:rPr>
        <w:t>.</w:t>
      </w:r>
      <w:r w:rsidRPr="00D12C6F">
        <w:rPr>
          <w:rFonts w:eastAsia="Arial"/>
          <w:spacing w:val="-16"/>
        </w:rPr>
        <w:t xml:space="preserve"> </w:t>
      </w:r>
      <w:r w:rsidRPr="00D12C6F">
        <w:rPr>
          <w:rFonts w:eastAsia="Arial"/>
        </w:rPr>
        <w:t>DSH Insurance</w:t>
      </w:r>
      <w:r w:rsidRPr="00D12C6F">
        <w:rPr>
          <w:rFonts w:eastAsia="Arial"/>
          <w:spacing w:val="-14"/>
        </w:rPr>
        <w:t xml:space="preserve"> </w:t>
      </w:r>
      <w:r w:rsidRPr="00D12C6F">
        <w:rPr>
          <w:rFonts w:eastAsia="Arial"/>
        </w:rPr>
        <w:t>offers a</w:t>
      </w:r>
      <w:r w:rsidRPr="00D12C6F">
        <w:rPr>
          <w:rFonts w:eastAsia="Arial"/>
          <w:spacing w:val="-14"/>
        </w:rPr>
        <w:t xml:space="preserve"> </w:t>
      </w:r>
      <w:r w:rsidRPr="00D12C6F">
        <w:rPr>
          <w:rFonts w:eastAsia="Arial"/>
        </w:rPr>
        <w:t>home building insurance</w:t>
      </w:r>
      <w:r w:rsidRPr="00D12C6F">
        <w:rPr>
          <w:rFonts w:eastAsia="Arial"/>
          <w:spacing w:val="-14"/>
        </w:rPr>
        <w:t xml:space="preserve"> </w:t>
      </w:r>
      <w:r w:rsidRPr="00D12C6F">
        <w:rPr>
          <w:rFonts w:eastAsia="Arial"/>
        </w:rPr>
        <w:t>product to eligible serving Australian Defence Force members, veterans and widow(er)s</w:t>
      </w:r>
      <w:r w:rsidRPr="00D12C6F">
        <w:rPr>
          <w:rFonts w:eastAsia="MS Mincho"/>
        </w:rPr>
        <w:t>.</w:t>
      </w:r>
    </w:p>
    <w:p w14:paraId="15165DA7" w14:textId="20B88E3D" w:rsidR="00C64A00" w:rsidRPr="00D12C6F" w:rsidRDefault="00C64A00" w:rsidP="00C64A00">
      <w:pPr>
        <w:rPr>
          <w:rFonts w:eastAsia="MS Mincho"/>
        </w:rPr>
      </w:pPr>
      <w:r w:rsidRPr="00D12C6F">
        <w:rPr>
          <w:rFonts w:eastAsia="MS Mincho"/>
        </w:rPr>
        <w:t>As experienced across the general insurance industry, DSH Insurance</w:t>
      </w:r>
      <w:r w:rsidR="00880FAB">
        <w:rPr>
          <w:rFonts w:eastAsia="MS Mincho"/>
        </w:rPr>
        <w:t>’</w:t>
      </w:r>
      <w:r w:rsidRPr="00D12C6F">
        <w:rPr>
          <w:rFonts w:eastAsia="MS Mincho"/>
        </w:rPr>
        <w:t xml:space="preserve">s financial performance can vary from year to year, affected by the number of insurable weather events that occur. </w:t>
      </w:r>
    </w:p>
    <w:p w14:paraId="16139761" w14:textId="77777777" w:rsidR="00C64A00" w:rsidRPr="00D12C6F" w:rsidRDefault="00C64A00" w:rsidP="00C64A00">
      <w:pPr>
        <w:rPr>
          <w:rFonts w:eastAsia="MS Mincho"/>
          <w:lang w:val="en-US"/>
        </w:rPr>
      </w:pPr>
      <w:r w:rsidRPr="00D12C6F">
        <w:rPr>
          <w:rFonts w:eastAsia="MS Mincho"/>
        </w:rPr>
        <w:t>If the higher frequency of catastrophic weather events experienced recently in Australia continues, there remains a risk that additional Government contributions could be required t</w:t>
      </w:r>
      <w:r w:rsidRPr="00D12C6F">
        <w:rPr>
          <w:rFonts w:eastAsia="MS Mincho"/>
          <w:lang w:val="en-US"/>
        </w:rPr>
        <w:t>o maintain DSH Insurance capital reserves.</w:t>
      </w:r>
    </w:p>
    <w:p w14:paraId="08A31133" w14:textId="77777777" w:rsidR="007531D0" w:rsidRPr="00D12C6F" w:rsidRDefault="00C64A00" w:rsidP="00C64A00">
      <w:pPr>
        <w:rPr>
          <w:rFonts w:eastAsia="MS Mincho"/>
          <w:bCs/>
        </w:rPr>
      </w:pPr>
      <w:r w:rsidRPr="00D12C6F">
        <w:rPr>
          <w:rFonts w:eastAsia="MS Mincho"/>
          <w:bCs/>
        </w:rPr>
        <w:t>DSH Insurance maintains a reinsurance program to recover the losses suffered from severe weather events. The recoveries vary for each program based on the deductible amount that must be retained by DSH Insurance. At its current settings, DSH Insurance has revenue to budget for two reinsurance claims per year, without impacting its budgeted capital reserves.</w:t>
      </w:r>
    </w:p>
    <w:p w14:paraId="6ED5BF9C" w14:textId="77777777" w:rsidR="00C85FC3" w:rsidRPr="00D12C6F" w:rsidRDefault="00C85FC3" w:rsidP="00D12C6F">
      <w:pPr>
        <w:spacing w:before="0" w:after="160" w:line="259" w:lineRule="auto"/>
        <w:rPr>
          <w:rFonts w:eastAsia="MS Mincho"/>
          <w:bCs/>
        </w:rPr>
      </w:pPr>
      <w:r w:rsidRPr="00D12C6F">
        <w:rPr>
          <w:rFonts w:eastAsia="MS Mincho"/>
          <w:bCs/>
        </w:rPr>
        <w:br w:type="page"/>
      </w:r>
    </w:p>
    <w:p w14:paraId="33E16E71" w14:textId="77777777" w:rsidR="00097420" w:rsidRPr="00D12C6F" w:rsidRDefault="00097420" w:rsidP="00097420">
      <w:pPr>
        <w:pStyle w:val="Heading2"/>
        <w:rPr>
          <w:rFonts w:eastAsia="Arial"/>
        </w:rPr>
      </w:pPr>
      <w:bookmarkStart w:id="253" w:name="_Toc228987428"/>
      <w:bookmarkEnd w:id="220"/>
      <w:bookmarkEnd w:id="221"/>
      <w:r w:rsidRPr="00D12C6F">
        <w:rPr>
          <w:rFonts w:eastAsia="Arial"/>
        </w:rPr>
        <w:lastRenderedPageBreak/>
        <w:t>Government loans</w:t>
      </w:r>
      <w:bookmarkEnd w:id="253"/>
    </w:p>
    <w:p w14:paraId="7E2BB3A5" w14:textId="6A4B1F9C" w:rsidR="00097420" w:rsidRPr="00D12C6F" w:rsidRDefault="00097420" w:rsidP="00097420">
      <w:r w:rsidRPr="00D12C6F">
        <w:t xml:space="preserve">Loans are recorded as financial assets. Accordingly, the amounts advanced and repaid do not normally affect the </w:t>
      </w:r>
      <w:r>
        <w:t>b</w:t>
      </w:r>
      <w:r w:rsidRPr="00D12C6F">
        <w:t xml:space="preserve">udget aggregates of fiscal balance and underlying cash balance. Loans that are concessional (lower than market interest rate) or are agreed to be written off, result in an impact on the fiscal balance. </w:t>
      </w:r>
    </w:p>
    <w:p w14:paraId="6574AF09" w14:textId="77777777" w:rsidR="00097420" w:rsidRPr="00D12C6F" w:rsidRDefault="00097420" w:rsidP="00097420">
      <w:r w:rsidRPr="00D12C6F">
        <w:t xml:space="preserve">All loans contain some element of credit risk that they will not be repaid in full, although in many cases this risk is small. Table 9.3 summarises Government loans estimated to exceed $200 million </w:t>
      </w:r>
      <w:proofErr w:type="gramStart"/>
      <w:r w:rsidRPr="00D12C6F">
        <w:t>at</w:t>
      </w:r>
      <w:proofErr w:type="gramEnd"/>
      <w:r w:rsidRPr="00D12C6F">
        <w:t xml:space="preserve"> 30 June 2026.</w:t>
      </w:r>
    </w:p>
    <w:p w14:paraId="6D97C497" w14:textId="362DE2DD" w:rsidR="00245052" w:rsidRPr="00D12C6F" w:rsidRDefault="00245052" w:rsidP="00D12C6F"/>
    <w:p w14:paraId="6AA50FE5" w14:textId="77777777" w:rsidR="007B5C53" w:rsidRPr="00D12C6F" w:rsidRDefault="007B5C53" w:rsidP="00D12C6F">
      <w:pPr>
        <w:pStyle w:val="SingleParagraph"/>
        <w:sectPr w:rsidR="007B5C53" w:rsidRPr="00D12C6F" w:rsidSect="00B816B9">
          <w:headerReference w:type="even" r:id="rId16"/>
          <w:headerReference w:type="default" r:id="rId17"/>
          <w:pgSz w:w="11907" w:h="16840" w:code="9"/>
          <w:pgMar w:top="2835" w:right="2098" w:bottom="2466" w:left="2098" w:header="1814" w:footer="1814" w:gutter="0"/>
          <w:cols w:space="708"/>
          <w:titlePg/>
          <w:docGrid w:linePitch="360"/>
        </w:sectPr>
      </w:pPr>
    </w:p>
    <w:p w14:paraId="1129B630" w14:textId="77777777" w:rsidR="006D6865" w:rsidRPr="00D12C6F" w:rsidRDefault="007B5C53" w:rsidP="003B172B">
      <w:pPr>
        <w:pStyle w:val="TableHeading"/>
        <w:spacing w:before="0"/>
        <w:rPr>
          <w:rFonts w:eastAsia="Arial"/>
        </w:rPr>
      </w:pPr>
      <w:r w:rsidRPr="00D12C6F">
        <w:rPr>
          <w:rFonts w:eastAsia="Arial"/>
        </w:rPr>
        <w:lastRenderedPageBreak/>
        <w:t xml:space="preserve">Table </w:t>
      </w:r>
      <w:r w:rsidR="008A4305">
        <w:rPr>
          <w:rFonts w:eastAsia="Arial"/>
        </w:rPr>
        <w:t>9</w:t>
      </w:r>
      <w:r w:rsidRPr="00D12C6F">
        <w:rPr>
          <w:rFonts w:eastAsia="Arial"/>
        </w:rPr>
        <w:t>.3: Summary of Australian Government loans meeting the materiality threshold</w:t>
      </w:r>
    </w:p>
    <w:tbl>
      <w:tblPr>
        <w:tblW w:w="5000" w:type="pct"/>
        <w:tblCellMar>
          <w:left w:w="0" w:type="dxa"/>
          <w:right w:w="28" w:type="dxa"/>
        </w:tblCellMar>
        <w:tblLook w:val="04A0" w:firstRow="1" w:lastRow="0" w:firstColumn="1" w:lastColumn="0" w:noHBand="0" w:noVBand="1"/>
      </w:tblPr>
      <w:tblGrid>
        <w:gridCol w:w="3482"/>
        <w:gridCol w:w="1871"/>
        <w:gridCol w:w="327"/>
        <w:gridCol w:w="2121"/>
        <w:gridCol w:w="1710"/>
        <w:gridCol w:w="921"/>
        <w:gridCol w:w="44"/>
        <w:gridCol w:w="1007"/>
        <w:gridCol w:w="56"/>
      </w:tblGrid>
      <w:tr w:rsidR="006D6865" w:rsidRPr="00880FAB" w14:paraId="55543096" w14:textId="77777777" w:rsidTr="00C01C19">
        <w:trPr>
          <w:trHeight w:hRule="exact" w:val="225"/>
        </w:trPr>
        <w:tc>
          <w:tcPr>
            <w:tcW w:w="1513" w:type="pct"/>
            <w:tcBorders>
              <w:top w:val="single" w:sz="4" w:space="0" w:color="293F5B"/>
              <w:left w:val="nil"/>
              <w:bottom w:val="single" w:sz="4" w:space="0" w:color="293F5B"/>
              <w:right w:val="nil"/>
            </w:tcBorders>
            <w:shd w:val="clear" w:color="000000" w:fill="E6F2FF"/>
            <w:vAlign w:val="center"/>
            <w:hideMark/>
          </w:tcPr>
          <w:p w14:paraId="083F0637"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Portfolio</w:t>
            </w:r>
          </w:p>
        </w:tc>
        <w:tc>
          <w:tcPr>
            <w:tcW w:w="815" w:type="pct"/>
            <w:tcBorders>
              <w:top w:val="single" w:sz="4" w:space="0" w:color="293F5B"/>
              <w:left w:val="nil"/>
              <w:bottom w:val="nil"/>
              <w:right w:val="nil"/>
            </w:tcBorders>
            <w:shd w:val="clear" w:color="000000" w:fill="E6F2FF"/>
            <w:vAlign w:val="center"/>
            <w:hideMark/>
          </w:tcPr>
          <w:p w14:paraId="74DE16FD" w14:textId="77777777" w:rsidR="006D6865" w:rsidRPr="00880FAB" w:rsidRDefault="006D6865" w:rsidP="002E2DC5">
            <w:pPr>
              <w:spacing w:before="0" w:after="0" w:line="240" w:lineRule="auto"/>
              <w:ind w:firstLineChars="100" w:firstLine="161"/>
              <w:jc w:val="right"/>
              <w:rPr>
                <w:rFonts w:ascii="Arial" w:hAnsi="Arial" w:cs="Arial"/>
                <w:b/>
                <w:bCs/>
                <w:color w:val="000000"/>
                <w:sz w:val="16"/>
                <w:szCs w:val="16"/>
              </w:rPr>
            </w:pPr>
            <w:r w:rsidRPr="00880FAB">
              <w:rPr>
                <w:rFonts w:ascii="Arial" w:hAnsi="Arial" w:cs="Arial"/>
                <w:b/>
                <w:bCs/>
                <w:color w:val="000000"/>
                <w:sz w:val="16"/>
                <w:szCs w:val="16"/>
              </w:rPr>
              <w:t>Loan amount</w:t>
            </w:r>
            <w:r w:rsidRPr="00880FAB">
              <w:rPr>
                <w:rFonts w:ascii="Arial" w:hAnsi="Arial" w:cs="Arial"/>
                <w:b/>
                <w:bCs/>
                <w:color w:val="000000"/>
                <w:sz w:val="16"/>
                <w:szCs w:val="16"/>
                <w:vertAlign w:val="superscript"/>
              </w:rPr>
              <w:t>(a)</w:t>
            </w:r>
            <w:r w:rsidRPr="00880FAB">
              <w:rPr>
                <w:rFonts w:ascii="Arial" w:hAnsi="Arial" w:cs="Arial"/>
                <w:b/>
                <w:bCs/>
                <w:color w:val="000000"/>
                <w:sz w:val="16"/>
                <w:szCs w:val="16"/>
              </w:rPr>
              <w:t xml:space="preserve"> ($m)</w:t>
            </w:r>
          </w:p>
        </w:tc>
        <w:tc>
          <w:tcPr>
            <w:tcW w:w="102" w:type="pct"/>
            <w:tcBorders>
              <w:top w:val="single" w:sz="4" w:space="0" w:color="293F5B"/>
              <w:left w:val="nil"/>
              <w:bottom w:val="nil"/>
              <w:right w:val="nil"/>
            </w:tcBorders>
            <w:shd w:val="clear" w:color="000000" w:fill="E6F2FF"/>
            <w:vAlign w:val="center"/>
            <w:hideMark/>
          </w:tcPr>
          <w:p w14:paraId="0724CBCB"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923" w:type="pct"/>
            <w:tcBorders>
              <w:top w:val="single" w:sz="4" w:space="0" w:color="293F5B"/>
              <w:left w:val="nil"/>
              <w:bottom w:val="nil"/>
              <w:right w:val="nil"/>
            </w:tcBorders>
            <w:shd w:val="clear" w:color="000000" w:fill="E6F2FF"/>
            <w:vAlign w:val="center"/>
            <w:hideMark/>
          </w:tcPr>
          <w:p w14:paraId="29AAE32B" w14:textId="77777777" w:rsidR="006D6865" w:rsidRPr="00880FAB" w:rsidRDefault="006D6865" w:rsidP="00C01C1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Borrower</w:t>
            </w:r>
          </w:p>
        </w:tc>
        <w:tc>
          <w:tcPr>
            <w:tcW w:w="745" w:type="pct"/>
            <w:tcBorders>
              <w:top w:val="single" w:sz="4" w:space="0" w:color="293F5B"/>
              <w:left w:val="nil"/>
              <w:bottom w:val="single" w:sz="4" w:space="0" w:color="293F5B"/>
              <w:right w:val="nil"/>
            </w:tcBorders>
            <w:shd w:val="clear" w:color="000000" w:fill="E6F2FF"/>
            <w:vAlign w:val="center"/>
            <w:hideMark/>
          </w:tcPr>
          <w:p w14:paraId="1BD9B9D9" w14:textId="77777777" w:rsidR="006D6865" w:rsidRPr="00880FAB" w:rsidRDefault="006D6865" w:rsidP="00C01C1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Interest rate</w:t>
            </w:r>
          </w:p>
        </w:tc>
        <w:tc>
          <w:tcPr>
            <w:tcW w:w="422" w:type="pct"/>
            <w:gridSpan w:val="2"/>
            <w:tcBorders>
              <w:top w:val="single" w:sz="4" w:space="0" w:color="293F5B"/>
              <w:left w:val="nil"/>
              <w:bottom w:val="single" w:sz="4" w:space="0" w:color="293F5B"/>
              <w:right w:val="nil"/>
            </w:tcBorders>
            <w:shd w:val="clear" w:color="000000" w:fill="E6F2FF"/>
            <w:vAlign w:val="center"/>
            <w:hideMark/>
          </w:tcPr>
          <w:p w14:paraId="0ABB696A"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Term</w:t>
            </w:r>
          </w:p>
        </w:tc>
        <w:tc>
          <w:tcPr>
            <w:tcW w:w="480" w:type="pct"/>
            <w:gridSpan w:val="2"/>
            <w:tcBorders>
              <w:top w:val="single" w:sz="4" w:space="0" w:color="293F5B"/>
              <w:left w:val="nil"/>
              <w:bottom w:val="nil"/>
              <w:right w:val="nil"/>
            </w:tcBorders>
            <w:shd w:val="clear" w:color="000000" w:fill="E6F2FF"/>
            <w:vAlign w:val="center"/>
            <w:hideMark/>
          </w:tcPr>
          <w:p w14:paraId="52C7C818" w14:textId="18F9549E" w:rsidR="006D6865" w:rsidRPr="00880FAB" w:rsidRDefault="00C01C19" w:rsidP="00C01C19">
            <w:pPr>
              <w:spacing w:before="0" w:after="0" w:line="240" w:lineRule="auto"/>
              <w:ind w:firstLineChars="36" w:firstLine="58"/>
              <w:rPr>
                <w:rFonts w:ascii="Arial" w:hAnsi="Arial" w:cs="Arial"/>
                <w:b/>
                <w:bCs/>
                <w:color w:val="000000"/>
                <w:sz w:val="16"/>
                <w:szCs w:val="16"/>
              </w:rPr>
            </w:pPr>
            <w:r w:rsidRPr="00880FAB">
              <w:rPr>
                <w:rFonts w:ascii="Arial" w:hAnsi="Arial" w:cs="Arial"/>
                <w:b/>
                <w:bCs/>
                <w:color w:val="000000"/>
                <w:sz w:val="16"/>
                <w:szCs w:val="16"/>
              </w:rPr>
              <w:t xml:space="preserve"> </w:t>
            </w:r>
            <w:r w:rsidR="006D6865" w:rsidRPr="00880FAB">
              <w:rPr>
                <w:rFonts w:ascii="Arial" w:hAnsi="Arial" w:cs="Arial"/>
                <w:b/>
                <w:bCs/>
                <w:color w:val="000000"/>
                <w:sz w:val="16"/>
                <w:szCs w:val="16"/>
              </w:rPr>
              <w:t>Status</w:t>
            </w:r>
            <w:r w:rsidR="006D6865" w:rsidRPr="00880FAB">
              <w:rPr>
                <w:rFonts w:ascii="Arial" w:hAnsi="Arial" w:cs="Arial"/>
                <w:b/>
                <w:bCs/>
                <w:color w:val="000000"/>
                <w:sz w:val="16"/>
                <w:szCs w:val="16"/>
                <w:vertAlign w:val="superscript"/>
              </w:rPr>
              <w:t>(b)</w:t>
            </w:r>
          </w:p>
        </w:tc>
      </w:tr>
      <w:tr w:rsidR="006D6865" w:rsidRPr="00880FAB" w14:paraId="15BF0913" w14:textId="77777777" w:rsidTr="00C01C19">
        <w:trPr>
          <w:trHeight w:hRule="exact" w:val="225"/>
        </w:trPr>
        <w:tc>
          <w:tcPr>
            <w:tcW w:w="1513" w:type="pct"/>
            <w:tcBorders>
              <w:top w:val="nil"/>
              <w:left w:val="nil"/>
              <w:bottom w:val="single" w:sz="4" w:space="0" w:color="293F5B"/>
              <w:right w:val="nil"/>
            </w:tcBorders>
            <w:shd w:val="clear" w:color="000000" w:fill="E6F2FF"/>
            <w:vAlign w:val="center"/>
            <w:hideMark/>
          </w:tcPr>
          <w:p w14:paraId="19D8CB9A"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Agriculture, Fisheries and Forestry</w:t>
            </w:r>
          </w:p>
        </w:tc>
        <w:tc>
          <w:tcPr>
            <w:tcW w:w="815" w:type="pct"/>
            <w:tcBorders>
              <w:top w:val="single" w:sz="4" w:space="0" w:color="293F5B"/>
              <w:left w:val="nil"/>
              <w:bottom w:val="single" w:sz="4" w:space="0" w:color="293F5B"/>
              <w:right w:val="nil"/>
            </w:tcBorders>
            <w:shd w:val="clear" w:color="000000" w:fill="E6F2FF"/>
            <w:vAlign w:val="center"/>
            <w:hideMark/>
          </w:tcPr>
          <w:p w14:paraId="2D079602"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102" w:type="pct"/>
            <w:tcBorders>
              <w:top w:val="single" w:sz="4" w:space="0" w:color="293F5B"/>
              <w:left w:val="nil"/>
              <w:bottom w:val="single" w:sz="4" w:space="0" w:color="293F5B"/>
              <w:right w:val="nil"/>
            </w:tcBorders>
            <w:shd w:val="clear" w:color="000000" w:fill="E6F2FF"/>
            <w:vAlign w:val="center"/>
            <w:hideMark/>
          </w:tcPr>
          <w:p w14:paraId="17129402"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923" w:type="pct"/>
            <w:tcBorders>
              <w:top w:val="single" w:sz="4" w:space="0" w:color="293F5B"/>
              <w:left w:val="nil"/>
              <w:bottom w:val="single" w:sz="4" w:space="0" w:color="293F5B"/>
              <w:right w:val="nil"/>
            </w:tcBorders>
            <w:shd w:val="clear" w:color="000000" w:fill="E6F2FF"/>
            <w:vAlign w:val="center"/>
            <w:hideMark/>
          </w:tcPr>
          <w:p w14:paraId="3EC4DCEE" w14:textId="5A1807CD" w:rsidR="006D6865" w:rsidRPr="00880FAB" w:rsidRDefault="006D6865" w:rsidP="00C01C19">
            <w:pPr>
              <w:spacing w:before="0" w:after="0" w:line="240" w:lineRule="auto"/>
              <w:rPr>
                <w:rFonts w:ascii="Arial" w:hAnsi="Arial" w:cs="Arial"/>
                <w:b/>
                <w:bCs/>
                <w:color w:val="000000"/>
                <w:sz w:val="16"/>
                <w:szCs w:val="16"/>
              </w:rPr>
            </w:pPr>
          </w:p>
        </w:tc>
        <w:tc>
          <w:tcPr>
            <w:tcW w:w="745" w:type="pct"/>
            <w:tcBorders>
              <w:top w:val="nil"/>
              <w:left w:val="nil"/>
              <w:bottom w:val="single" w:sz="4" w:space="0" w:color="293F5B"/>
              <w:right w:val="nil"/>
            </w:tcBorders>
            <w:shd w:val="clear" w:color="000000" w:fill="E6F2FF"/>
            <w:vAlign w:val="center"/>
            <w:hideMark/>
          </w:tcPr>
          <w:p w14:paraId="215C65E3" w14:textId="77777777" w:rsidR="006D6865" w:rsidRPr="00880FAB" w:rsidRDefault="006D6865" w:rsidP="00C01C1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422" w:type="pct"/>
            <w:gridSpan w:val="2"/>
            <w:tcBorders>
              <w:top w:val="nil"/>
              <w:left w:val="nil"/>
              <w:bottom w:val="single" w:sz="4" w:space="0" w:color="293F5B"/>
              <w:right w:val="nil"/>
            </w:tcBorders>
            <w:shd w:val="clear" w:color="000000" w:fill="E6F2FF"/>
            <w:vAlign w:val="center"/>
            <w:hideMark/>
          </w:tcPr>
          <w:p w14:paraId="70BD7D9E"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480" w:type="pct"/>
            <w:gridSpan w:val="2"/>
            <w:tcBorders>
              <w:top w:val="single" w:sz="4" w:space="0" w:color="293F5B"/>
              <w:left w:val="nil"/>
              <w:bottom w:val="single" w:sz="4" w:space="0" w:color="293F5B"/>
              <w:right w:val="nil"/>
            </w:tcBorders>
            <w:shd w:val="clear" w:color="000000" w:fill="E6F2FF"/>
            <w:vAlign w:val="center"/>
            <w:hideMark/>
          </w:tcPr>
          <w:p w14:paraId="30891388"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r>
      <w:tr w:rsidR="006D6865" w:rsidRPr="00880FAB" w14:paraId="726A2A2D" w14:textId="77777777" w:rsidTr="00C01C19">
        <w:trPr>
          <w:gridAfter w:val="1"/>
          <w:wAfter w:w="42" w:type="pct"/>
          <w:trHeight w:hRule="exact" w:val="900"/>
        </w:trPr>
        <w:tc>
          <w:tcPr>
            <w:tcW w:w="1470" w:type="pct"/>
            <w:tcBorders>
              <w:top w:val="nil"/>
              <w:left w:val="nil"/>
              <w:bottom w:val="single" w:sz="4" w:space="0" w:color="293F5B"/>
              <w:right w:val="nil"/>
            </w:tcBorders>
            <w:hideMark/>
          </w:tcPr>
          <w:p w14:paraId="171B3615" w14:textId="77777777" w:rsidR="007C73EF"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Drought-related and farm finance </w:t>
            </w:r>
          </w:p>
          <w:p w14:paraId="5CCBC803" w14:textId="5C765E41" w:rsidR="006D6865" w:rsidRPr="00880FAB" w:rsidRDefault="006D6865" w:rsidP="007C73E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concessional loans – Agriculture</w:t>
            </w:r>
          </w:p>
        </w:tc>
        <w:tc>
          <w:tcPr>
            <w:tcW w:w="814" w:type="pct"/>
            <w:tcBorders>
              <w:top w:val="nil"/>
              <w:left w:val="nil"/>
              <w:bottom w:val="single" w:sz="4" w:space="0" w:color="293F5B"/>
              <w:right w:val="nil"/>
            </w:tcBorders>
            <w:hideMark/>
          </w:tcPr>
          <w:p w14:paraId="10C4F814"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114</w:t>
            </w:r>
          </w:p>
        </w:tc>
        <w:tc>
          <w:tcPr>
            <w:tcW w:w="146" w:type="pct"/>
            <w:tcBorders>
              <w:top w:val="nil"/>
              <w:left w:val="nil"/>
              <w:bottom w:val="single" w:sz="4" w:space="0" w:color="293F5B"/>
              <w:right w:val="nil"/>
            </w:tcBorders>
            <w:hideMark/>
          </w:tcPr>
          <w:p w14:paraId="6F6DDAB3"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23" w:type="pct"/>
            <w:tcBorders>
              <w:top w:val="nil"/>
              <w:left w:val="nil"/>
              <w:bottom w:val="single" w:sz="4" w:space="0" w:color="293F5B"/>
              <w:right w:val="nil"/>
            </w:tcBorders>
            <w:hideMark/>
          </w:tcPr>
          <w:p w14:paraId="646BF126" w14:textId="77777777" w:rsidR="006D6865" w:rsidRPr="00880FAB" w:rsidRDefault="006D6865" w:rsidP="006D6865">
            <w:pPr>
              <w:spacing w:before="0" w:after="0" w:line="240" w:lineRule="auto"/>
              <w:rPr>
                <w:rFonts w:ascii="Arial" w:hAnsi="Arial" w:cs="Arial"/>
                <w:color w:val="000000"/>
                <w:sz w:val="16"/>
                <w:szCs w:val="16"/>
              </w:rPr>
            </w:pPr>
            <w:r w:rsidRPr="00880FAB">
              <w:rPr>
                <w:rFonts w:ascii="Arial" w:hAnsi="Arial" w:cs="Arial"/>
                <w:color w:val="000000"/>
                <w:sz w:val="16"/>
                <w:szCs w:val="16"/>
              </w:rPr>
              <w:t>State Governments (that through their delivery agencies, on-lend to eligible farm businesses</w:t>
            </w:r>
          </w:p>
        </w:tc>
        <w:tc>
          <w:tcPr>
            <w:tcW w:w="745" w:type="pct"/>
            <w:tcBorders>
              <w:top w:val="nil"/>
              <w:left w:val="nil"/>
              <w:bottom w:val="single" w:sz="4" w:space="0" w:color="293F5B"/>
              <w:right w:val="nil"/>
            </w:tcBorders>
            <w:hideMark/>
          </w:tcPr>
          <w:p w14:paraId="1C0F1CD8" w14:textId="77777777" w:rsidR="006D6865"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Various</w:t>
            </w:r>
          </w:p>
        </w:tc>
        <w:tc>
          <w:tcPr>
            <w:tcW w:w="403" w:type="pct"/>
            <w:tcBorders>
              <w:top w:val="nil"/>
              <w:left w:val="nil"/>
              <w:bottom w:val="single" w:sz="4" w:space="0" w:color="293F5B"/>
              <w:right w:val="nil"/>
            </w:tcBorders>
            <w:hideMark/>
          </w:tcPr>
          <w:p w14:paraId="0AD23C60"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10 years</w:t>
            </w:r>
          </w:p>
        </w:tc>
        <w:tc>
          <w:tcPr>
            <w:tcW w:w="457" w:type="pct"/>
            <w:gridSpan w:val="2"/>
            <w:tcBorders>
              <w:top w:val="nil"/>
              <w:left w:val="nil"/>
              <w:bottom w:val="single" w:sz="4" w:space="0" w:color="293F5B"/>
              <w:right w:val="nil"/>
            </w:tcBorders>
            <w:hideMark/>
          </w:tcPr>
          <w:p w14:paraId="3E62E14D"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Removed</w:t>
            </w:r>
          </w:p>
        </w:tc>
      </w:tr>
      <w:tr w:rsidR="006D6865" w:rsidRPr="00880FAB" w14:paraId="2FA01F08" w14:textId="77777777" w:rsidTr="00C01C19">
        <w:trPr>
          <w:gridAfter w:val="1"/>
          <w:wAfter w:w="42" w:type="pct"/>
          <w:trHeight w:hRule="exact" w:val="1125"/>
        </w:trPr>
        <w:tc>
          <w:tcPr>
            <w:tcW w:w="1470" w:type="pct"/>
            <w:tcBorders>
              <w:top w:val="nil"/>
              <w:left w:val="nil"/>
              <w:bottom w:val="single" w:sz="4" w:space="0" w:color="293F5B"/>
              <w:right w:val="nil"/>
            </w:tcBorders>
            <w:hideMark/>
          </w:tcPr>
          <w:p w14:paraId="7AAE2CD4"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Farm Investment Loans, Drought Loans, </w:t>
            </w:r>
          </w:p>
          <w:p w14:paraId="5E5761B4" w14:textId="77777777" w:rsidR="006D6865" w:rsidRPr="00880FAB" w:rsidRDefault="006D6865" w:rsidP="006D6865">
            <w:pPr>
              <w:spacing w:before="0" w:after="0" w:line="240" w:lineRule="auto"/>
              <w:ind w:firstLineChars="100" w:firstLine="160"/>
              <w:rPr>
                <w:rFonts w:ascii="Arial" w:hAnsi="Arial" w:cs="Arial"/>
                <w:color w:val="000000"/>
                <w:sz w:val="16"/>
                <w:szCs w:val="16"/>
              </w:rPr>
            </w:pPr>
            <w:proofErr w:type="spellStart"/>
            <w:r w:rsidRPr="00880FAB">
              <w:rPr>
                <w:rFonts w:ascii="Arial" w:hAnsi="Arial" w:cs="Arial"/>
                <w:color w:val="000000"/>
                <w:sz w:val="16"/>
                <w:szCs w:val="16"/>
              </w:rPr>
              <w:t>AgriStarter</w:t>
            </w:r>
            <w:proofErr w:type="spellEnd"/>
            <w:r w:rsidRPr="00880FAB">
              <w:rPr>
                <w:rFonts w:ascii="Arial" w:hAnsi="Arial" w:cs="Arial"/>
                <w:color w:val="000000"/>
                <w:sz w:val="16"/>
                <w:szCs w:val="16"/>
              </w:rPr>
              <w:t xml:space="preserve"> Loans, </w:t>
            </w:r>
            <w:proofErr w:type="spellStart"/>
            <w:r w:rsidRPr="00880FAB">
              <w:rPr>
                <w:rFonts w:ascii="Arial" w:hAnsi="Arial" w:cs="Arial"/>
                <w:color w:val="000000"/>
                <w:sz w:val="16"/>
                <w:szCs w:val="16"/>
              </w:rPr>
              <w:t>AgBiz</w:t>
            </w:r>
            <w:proofErr w:type="spellEnd"/>
            <w:r w:rsidRPr="00880FAB">
              <w:rPr>
                <w:rFonts w:ascii="Arial" w:hAnsi="Arial" w:cs="Arial"/>
                <w:color w:val="000000"/>
                <w:sz w:val="16"/>
                <w:szCs w:val="16"/>
              </w:rPr>
              <w:t xml:space="preserve"> Drought </w:t>
            </w:r>
          </w:p>
          <w:p w14:paraId="5AF9E0D9"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Loans and, </w:t>
            </w:r>
            <w:proofErr w:type="spellStart"/>
            <w:r w:rsidRPr="00880FAB">
              <w:rPr>
                <w:rFonts w:ascii="Arial" w:hAnsi="Arial" w:cs="Arial"/>
                <w:color w:val="000000"/>
                <w:sz w:val="16"/>
                <w:szCs w:val="16"/>
              </w:rPr>
              <w:t>AgRebuild</w:t>
            </w:r>
            <w:proofErr w:type="spellEnd"/>
            <w:r w:rsidRPr="00880FAB">
              <w:rPr>
                <w:rFonts w:ascii="Arial" w:hAnsi="Arial" w:cs="Arial"/>
                <w:color w:val="000000"/>
                <w:sz w:val="16"/>
                <w:szCs w:val="16"/>
              </w:rPr>
              <w:t xml:space="preserve">, Drought </w:t>
            </w:r>
          </w:p>
          <w:p w14:paraId="6DE0ED11" w14:textId="594C30D2"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Hardship Loans and Marine Recovery Loans</w:t>
            </w:r>
          </w:p>
        </w:tc>
        <w:tc>
          <w:tcPr>
            <w:tcW w:w="814" w:type="pct"/>
            <w:tcBorders>
              <w:top w:val="nil"/>
              <w:left w:val="nil"/>
              <w:bottom w:val="single" w:sz="4" w:space="0" w:color="293F5B"/>
              <w:right w:val="nil"/>
            </w:tcBorders>
            <w:hideMark/>
          </w:tcPr>
          <w:p w14:paraId="68F39498"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3,163</w:t>
            </w:r>
          </w:p>
        </w:tc>
        <w:tc>
          <w:tcPr>
            <w:tcW w:w="146" w:type="pct"/>
            <w:tcBorders>
              <w:top w:val="nil"/>
              <w:left w:val="nil"/>
              <w:bottom w:val="single" w:sz="4" w:space="0" w:color="293F5B"/>
              <w:right w:val="nil"/>
            </w:tcBorders>
            <w:hideMark/>
          </w:tcPr>
          <w:p w14:paraId="639868F4"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23" w:type="pct"/>
            <w:tcBorders>
              <w:top w:val="nil"/>
              <w:left w:val="nil"/>
              <w:bottom w:val="single" w:sz="4" w:space="0" w:color="293F5B"/>
              <w:right w:val="nil"/>
            </w:tcBorders>
            <w:hideMark/>
          </w:tcPr>
          <w:p w14:paraId="68FF3B65" w14:textId="77777777" w:rsidR="006D6865" w:rsidRPr="00880FAB" w:rsidRDefault="006D6865" w:rsidP="006D6865">
            <w:pPr>
              <w:spacing w:before="0" w:after="0" w:line="240" w:lineRule="auto"/>
              <w:rPr>
                <w:rFonts w:ascii="Arial" w:hAnsi="Arial" w:cs="Arial"/>
                <w:color w:val="000000"/>
                <w:sz w:val="16"/>
                <w:szCs w:val="16"/>
              </w:rPr>
            </w:pPr>
            <w:r w:rsidRPr="00880FAB">
              <w:rPr>
                <w:rFonts w:ascii="Arial" w:hAnsi="Arial" w:cs="Arial"/>
                <w:color w:val="000000"/>
                <w:sz w:val="16"/>
                <w:szCs w:val="16"/>
              </w:rPr>
              <w:t>Eligible Australian farm businesses and related small businesses, through the Regional Investment Corporation</w:t>
            </w:r>
          </w:p>
        </w:tc>
        <w:tc>
          <w:tcPr>
            <w:tcW w:w="745" w:type="pct"/>
            <w:tcBorders>
              <w:top w:val="nil"/>
              <w:left w:val="nil"/>
              <w:bottom w:val="single" w:sz="4" w:space="0" w:color="293F5B"/>
              <w:right w:val="nil"/>
            </w:tcBorders>
            <w:hideMark/>
          </w:tcPr>
          <w:p w14:paraId="22967AF8" w14:textId="77777777" w:rsidR="006D6865"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5.18 per cent</w:t>
            </w:r>
          </w:p>
        </w:tc>
        <w:tc>
          <w:tcPr>
            <w:tcW w:w="403" w:type="pct"/>
            <w:tcBorders>
              <w:top w:val="nil"/>
              <w:left w:val="nil"/>
              <w:bottom w:val="single" w:sz="4" w:space="0" w:color="293F5B"/>
              <w:right w:val="nil"/>
            </w:tcBorders>
            <w:hideMark/>
          </w:tcPr>
          <w:p w14:paraId="1CCFF18B" w14:textId="77777777" w:rsidR="00673DF7"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Up to 10 </w:t>
            </w:r>
          </w:p>
          <w:p w14:paraId="01F83771" w14:textId="2BD70F23" w:rsidR="006D6865" w:rsidRPr="00880FAB" w:rsidRDefault="00E101CD"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y</w:t>
            </w:r>
            <w:r w:rsidR="006D6865" w:rsidRPr="00880FAB">
              <w:rPr>
                <w:rFonts w:ascii="Arial" w:hAnsi="Arial" w:cs="Arial"/>
                <w:color w:val="000000"/>
                <w:sz w:val="16"/>
                <w:szCs w:val="16"/>
              </w:rPr>
              <w:t>ears</w:t>
            </w:r>
          </w:p>
        </w:tc>
        <w:tc>
          <w:tcPr>
            <w:tcW w:w="457" w:type="pct"/>
            <w:gridSpan w:val="2"/>
            <w:tcBorders>
              <w:top w:val="nil"/>
              <w:left w:val="nil"/>
              <w:bottom w:val="single" w:sz="4" w:space="0" w:color="293F5B"/>
              <w:right w:val="nil"/>
            </w:tcBorders>
            <w:hideMark/>
          </w:tcPr>
          <w:p w14:paraId="2A739822"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Modified </w:t>
            </w:r>
          </w:p>
        </w:tc>
      </w:tr>
      <w:tr w:rsidR="006D6865" w:rsidRPr="00880FAB" w14:paraId="7894838B" w14:textId="77777777" w:rsidTr="00C01C19">
        <w:trPr>
          <w:gridAfter w:val="1"/>
          <w:wAfter w:w="42" w:type="pct"/>
          <w:trHeight w:hRule="exact" w:val="225"/>
        </w:trPr>
        <w:tc>
          <w:tcPr>
            <w:tcW w:w="1470" w:type="pct"/>
            <w:tcBorders>
              <w:top w:val="nil"/>
              <w:left w:val="nil"/>
              <w:bottom w:val="single" w:sz="4" w:space="0" w:color="293F5B"/>
              <w:right w:val="nil"/>
            </w:tcBorders>
            <w:shd w:val="clear" w:color="000000" w:fill="E6F2FF"/>
            <w:vAlign w:val="center"/>
            <w:hideMark/>
          </w:tcPr>
          <w:p w14:paraId="2CD335BF"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Climate Change, Energy, the Environment and Water</w:t>
            </w:r>
          </w:p>
        </w:tc>
        <w:tc>
          <w:tcPr>
            <w:tcW w:w="814" w:type="pct"/>
            <w:tcBorders>
              <w:top w:val="nil"/>
              <w:left w:val="nil"/>
              <w:bottom w:val="single" w:sz="4" w:space="0" w:color="293F5B"/>
              <w:right w:val="nil"/>
            </w:tcBorders>
            <w:shd w:val="clear" w:color="000000" w:fill="E6F2FF"/>
            <w:vAlign w:val="center"/>
            <w:hideMark/>
          </w:tcPr>
          <w:p w14:paraId="3DC1B0EF"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146" w:type="pct"/>
            <w:tcBorders>
              <w:top w:val="nil"/>
              <w:left w:val="nil"/>
              <w:bottom w:val="single" w:sz="4" w:space="0" w:color="293F5B"/>
              <w:right w:val="nil"/>
            </w:tcBorders>
            <w:shd w:val="clear" w:color="000000" w:fill="E6F2FF"/>
            <w:vAlign w:val="center"/>
            <w:hideMark/>
          </w:tcPr>
          <w:p w14:paraId="4AADA4C7"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923" w:type="pct"/>
            <w:tcBorders>
              <w:top w:val="nil"/>
              <w:left w:val="nil"/>
              <w:bottom w:val="single" w:sz="4" w:space="0" w:color="293F5B"/>
              <w:right w:val="nil"/>
            </w:tcBorders>
            <w:shd w:val="clear" w:color="000000" w:fill="E6F2FF"/>
            <w:vAlign w:val="center"/>
            <w:hideMark/>
          </w:tcPr>
          <w:p w14:paraId="02974BFA"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745" w:type="pct"/>
            <w:tcBorders>
              <w:top w:val="nil"/>
              <w:left w:val="nil"/>
              <w:bottom w:val="single" w:sz="4" w:space="0" w:color="293F5B"/>
              <w:right w:val="nil"/>
            </w:tcBorders>
            <w:shd w:val="clear" w:color="000000" w:fill="E6F2FF"/>
            <w:vAlign w:val="center"/>
            <w:hideMark/>
          </w:tcPr>
          <w:p w14:paraId="014A5598"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403" w:type="pct"/>
            <w:tcBorders>
              <w:top w:val="nil"/>
              <w:left w:val="nil"/>
              <w:bottom w:val="single" w:sz="4" w:space="0" w:color="293F5B"/>
              <w:right w:val="nil"/>
            </w:tcBorders>
            <w:shd w:val="clear" w:color="000000" w:fill="E6F2FF"/>
            <w:vAlign w:val="center"/>
            <w:hideMark/>
          </w:tcPr>
          <w:p w14:paraId="1BC25C4C"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457" w:type="pct"/>
            <w:gridSpan w:val="2"/>
            <w:tcBorders>
              <w:top w:val="nil"/>
              <w:left w:val="nil"/>
              <w:bottom w:val="single" w:sz="4" w:space="0" w:color="293F5B"/>
              <w:right w:val="nil"/>
            </w:tcBorders>
            <w:shd w:val="clear" w:color="000000" w:fill="E6F2FF"/>
            <w:vAlign w:val="center"/>
            <w:hideMark/>
          </w:tcPr>
          <w:p w14:paraId="0A5BA34D"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6D6865" w:rsidRPr="00880FAB" w14:paraId="21B38BFF" w14:textId="77777777" w:rsidTr="00C01C19">
        <w:trPr>
          <w:gridAfter w:val="1"/>
          <w:wAfter w:w="42" w:type="pct"/>
          <w:trHeight w:hRule="exact" w:val="900"/>
        </w:trPr>
        <w:tc>
          <w:tcPr>
            <w:tcW w:w="1470" w:type="pct"/>
            <w:tcBorders>
              <w:top w:val="nil"/>
              <w:left w:val="nil"/>
              <w:bottom w:val="single" w:sz="4" w:space="0" w:color="293F5B"/>
              <w:right w:val="nil"/>
            </w:tcBorders>
            <w:hideMark/>
          </w:tcPr>
          <w:p w14:paraId="74876763"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Clean Energy Finance Corporation</w:t>
            </w:r>
          </w:p>
        </w:tc>
        <w:tc>
          <w:tcPr>
            <w:tcW w:w="814" w:type="pct"/>
            <w:tcBorders>
              <w:top w:val="nil"/>
              <w:left w:val="nil"/>
              <w:bottom w:val="single" w:sz="4" w:space="0" w:color="293F5B"/>
              <w:right w:val="nil"/>
            </w:tcBorders>
            <w:hideMark/>
          </w:tcPr>
          <w:p w14:paraId="09963B2D"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4,120</w:t>
            </w:r>
          </w:p>
        </w:tc>
        <w:tc>
          <w:tcPr>
            <w:tcW w:w="146" w:type="pct"/>
            <w:tcBorders>
              <w:top w:val="nil"/>
              <w:left w:val="nil"/>
              <w:bottom w:val="single" w:sz="4" w:space="0" w:color="293F5B"/>
              <w:right w:val="nil"/>
            </w:tcBorders>
            <w:hideMark/>
          </w:tcPr>
          <w:p w14:paraId="6368EAB6"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23" w:type="pct"/>
            <w:tcBorders>
              <w:top w:val="nil"/>
              <w:left w:val="nil"/>
              <w:bottom w:val="single" w:sz="4" w:space="0" w:color="293F5B"/>
              <w:right w:val="nil"/>
            </w:tcBorders>
            <w:hideMark/>
          </w:tcPr>
          <w:p w14:paraId="4B013F41" w14:textId="77777777" w:rsidR="006D6865" w:rsidRPr="00880FAB" w:rsidRDefault="006D6865" w:rsidP="006D6865">
            <w:pPr>
              <w:spacing w:before="0" w:after="0" w:line="240" w:lineRule="auto"/>
              <w:rPr>
                <w:rFonts w:ascii="Arial" w:hAnsi="Arial" w:cs="Arial"/>
                <w:color w:val="000000"/>
                <w:sz w:val="16"/>
                <w:szCs w:val="16"/>
              </w:rPr>
            </w:pPr>
            <w:r w:rsidRPr="00880FAB">
              <w:rPr>
                <w:rFonts w:ascii="Arial" w:hAnsi="Arial" w:cs="Arial"/>
                <w:color w:val="000000"/>
                <w:sz w:val="16"/>
                <w:szCs w:val="16"/>
              </w:rPr>
              <w:t>Approved entities undertaking clean energy technology projects</w:t>
            </w:r>
          </w:p>
        </w:tc>
        <w:tc>
          <w:tcPr>
            <w:tcW w:w="745" w:type="pct"/>
            <w:tcBorders>
              <w:top w:val="nil"/>
              <w:left w:val="nil"/>
              <w:bottom w:val="single" w:sz="4" w:space="0" w:color="293F5B"/>
              <w:right w:val="nil"/>
            </w:tcBorders>
            <w:hideMark/>
          </w:tcPr>
          <w:p w14:paraId="19ED6BB1" w14:textId="77777777" w:rsidR="00673DF7"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 xml:space="preserve">Approximately </w:t>
            </w:r>
          </w:p>
          <w:p w14:paraId="46227B1E" w14:textId="77777777" w:rsidR="00673DF7"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 xml:space="preserve">4.6 per cent weighted </w:t>
            </w:r>
          </w:p>
          <w:p w14:paraId="4CB2C2FD" w14:textId="77777777" w:rsidR="00673DF7"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 xml:space="preserve">average on loans </w:t>
            </w:r>
          </w:p>
          <w:p w14:paraId="09E4731D" w14:textId="33D9FC59" w:rsidR="006D6865"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funded</w:t>
            </w:r>
          </w:p>
        </w:tc>
        <w:tc>
          <w:tcPr>
            <w:tcW w:w="403" w:type="pct"/>
            <w:tcBorders>
              <w:top w:val="nil"/>
              <w:left w:val="nil"/>
              <w:bottom w:val="single" w:sz="4" w:space="0" w:color="293F5B"/>
              <w:right w:val="nil"/>
            </w:tcBorders>
            <w:hideMark/>
          </w:tcPr>
          <w:p w14:paraId="1C20D27D"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Various</w:t>
            </w:r>
          </w:p>
        </w:tc>
        <w:tc>
          <w:tcPr>
            <w:tcW w:w="457" w:type="pct"/>
            <w:gridSpan w:val="2"/>
            <w:tcBorders>
              <w:top w:val="nil"/>
              <w:left w:val="nil"/>
              <w:bottom w:val="single" w:sz="4" w:space="0" w:color="293F5B"/>
              <w:right w:val="nil"/>
            </w:tcBorders>
            <w:hideMark/>
          </w:tcPr>
          <w:p w14:paraId="3237CCAB"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Unchanged </w:t>
            </w:r>
          </w:p>
        </w:tc>
      </w:tr>
      <w:tr w:rsidR="006D6865" w:rsidRPr="00880FAB" w14:paraId="211F5E2F" w14:textId="77777777" w:rsidTr="00C01C19">
        <w:trPr>
          <w:gridAfter w:val="1"/>
          <w:wAfter w:w="42" w:type="pct"/>
          <w:trHeight w:hRule="exact" w:val="225"/>
        </w:trPr>
        <w:tc>
          <w:tcPr>
            <w:tcW w:w="1470" w:type="pct"/>
            <w:tcBorders>
              <w:top w:val="nil"/>
              <w:left w:val="nil"/>
              <w:bottom w:val="single" w:sz="4" w:space="0" w:color="293F5B"/>
              <w:right w:val="nil"/>
            </w:tcBorders>
            <w:shd w:val="clear" w:color="000000" w:fill="E6F2FF"/>
            <w:vAlign w:val="center"/>
            <w:hideMark/>
          </w:tcPr>
          <w:p w14:paraId="000E813E"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Education</w:t>
            </w:r>
          </w:p>
        </w:tc>
        <w:tc>
          <w:tcPr>
            <w:tcW w:w="814" w:type="pct"/>
            <w:tcBorders>
              <w:top w:val="nil"/>
              <w:left w:val="nil"/>
              <w:bottom w:val="single" w:sz="4" w:space="0" w:color="293F5B"/>
              <w:right w:val="nil"/>
            </w:tcBorders>
            <w:shd w:val="clear" w:color="000000" w:fill="E6F2FF"/>
            <w:vAlign w:val="center"/>
            <w:hideMark/>
          </w:tcPr>
          <w:p w14:paraId="4780E590"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146" w:type="pct"/>
            <w:tcBorders>
              <w:top w:val="nil"/>
              <w:left w:val="nil"/>
              <w:bottom w:val="single" w:sz="4" w:space="0" w:color="293F5B"/>
              <w:right w:val="nil"/>
            </w:tcBorders>
            <w:shd w:val="clear" w:color="000000" w:fill="E6F2FF"/>
            <w:vAlign w:val="center"/>
            <w:hideMark/>
          </w:tcPr>
          <w:p w14:paraId="36F3AE70"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923" w:type="pct"/>
            <w:tcBorders>
              <w:top w:val="nil"/>
              <w:left w:val="nil"/>
              <w:bottom w:val="single" w:sz="4" w:space="0" w:color="293F5B"/>
              <w:right w:val="nil"/>
            </w:tcBorders>
            <w:shd w:val="clear" w:color="000000" w:fill="E6F2FF"/>
            <w:vAlign w:val="center"/>
            <w:hideMark/>
          </w:tcPr>
          <w:p w14:paraId="3D77E018"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745" w:type="pct"/>
            <w:tcBorders>
              <w:top w:val="nil"/>
              <w:left w:val="nil"/>
              <w:bottom w:val="single" w:sz="4" w:space="0" w:color="293F5B"/>
              <w:right w:val="nil"/>
            </w:tcBorders>
            <w:shd w:val="clear" w:color="000000" w:fill="E6F2FF"/>
            <w:vAlign w:val="center"/>
            <w:hideMark/>
          </w:tcPr>
          <w:p w14:paraId="3ADCD7A7" w14:textId="77777777" w:rsidR="006D6865" w:rsidRPr="00880FAB" w:rsidRDefault="006D6865" w:rsidP="00C01C1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403" w:type="pct"/>
            <w:tcBorders>
              <w:top w:val="nil"/>
              <w:left w:val="nil"/>
              <w:bottom w:val="single" w:sz="4" w:space="0" w:color="293F5B"/>
              <w:right w:val="nil"/>
            </w:tcBorders>
            <w:shd w:val="clear" w:color="000000" w:fill="E6F2FF"/>
            <w:vAlign w:val="center"/>
            <w:hideMark/>
          </w:tcPr>
          <w:p w14:paraId="454A00D4"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457" w:type="pct"/>
            <w:gridSpan w:val="2"/>
            <w:tcBorders>
              <w:top w:val="nil"/>
              <w:left w:val="nil"/>
              <w:bottom w:val="single" w:sz="4" w:space="0" w:color="293F5B"/>
              <w:right w:val="nil"/>
            </w:tcBorders>
            <w:shd w:val="clear" w:color="000000" w:fill="E6F2FF"/>
            <w:vAlign w:val="center"/>
            <w:hideMark/>
          </w:tcPr>
          <w:p w14:paraId="430E92B7"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r>
      <w:tr w:rsidR="006D6865" w:rsidRPr="00880FAB" w14:paraId="126BF27D" w14:textId="77777777" w:rsidTr="00C01C19">
        <w:trPr>
          <w:gridAfter w:val="1"/>
          <w:wAfter w:w="42" w:type="pct"/>
          <w:trHeight w:hRule="exact" w:val="675"/>
        </w:trPr>
        <w:tc>
          <w:tcPr>
            <w:tcW w:w="1470" w:type="pct"/>
            <w:tcBorders>
              <w:top w:val="nil"/>
              <w:left w:val="nil"/>
              <w:bottom w:val="single" w:sz="4" w:space="0" w:color="293F5B"/>
              <w:right w:val="nil"/>
            </w:tcBorders>
            <w:hideMark/>
          </w:tcPr>
          <w:p w14:paraId="4B6CF389"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Higher Education Loan Program</w:t>
            </w:r>
          </w:p>
        </w:tc>
        <w:tc>
          <w:tcPr>
            <w:tcW w:w="814" w:type="pct"/>
            <w:tcBorders>
              <w:top w:val="nil"/>
              <w:left w:val="nil"/>
              <w:bottom w:val="single" w:sz="4" w:space="0" w:color="293F5B"/>
              <w:right w:val="nil"/>
            </w:tcBorders>
            <w:hideMark/>
          </w:tcPr>
          <w:p w14:paraId="2DC7AD08"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40,804</w:t>
            </w:r>
          </w:p>
        </w:tc>
        <w:tc>
          <w:tcPr>
            <w:tcW w:w="146" w:type="pct"/>
            <w:tcBorders>
              <w:top w:val="nil"/>
              <w:left w:val="nil"/>
              <w:bottom w:val="single" w:sz="4" w:space="0" w:color="293F5B"/>
              <w:right w:val="nil"/>
            </w:tcBorders>
            <w:hideMark/>
          </w:tcPr>
          <w:p w14:paraId="6045D2B6"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23" w:type="pct"/>
            <w:tcBorders>
              <w:top w:val="nil"/>
              <w:left w:val="nil"/>
              <w:bottom w:val="single" w:sz="4" w:space="0" w:color="293F5B"/>
              <w:right w:val="nil"/>
            </w:tcBorders>
            <w:hideMark/>
          </w:tcPr>
          <w:p w14:paraId="71B182E8" w14:textId="77777777" w:rsidR="006D6865" w:rsidRPr="00880FAB" w:rsidRDefault="006D6865" w:rsidP="006D6865">
            <w:pPr>
              <w:spacing w:before="0" w:after="0" w:line="240" w:lineRule="auto"/>
              <w:rPr>
                <w:rFonts w:ascii="Arial" w:hAnsi="Arial" w:cs="Arial"/>
                <w:color w:val="000000"/>
                <w:sz w:val="16"/>
                <w:szCs w:val="16"/>
              </w:rPr>
            </w:pPr>
            <w:r w:rsidRPr="00880FAB">
              <w:rPr>
                <w:rFonts w:ascii="Arial" w:hAnsi="Arial" w:cs="Arial"/>
                <w:color w:val="000000"/>
                <w:sz w:val="16"/>
                <w:szCs w:val="16"/>
              </w:rPr>
              <w:t>Eligible higher education students </w:t>
            </w:r>
          </w:p>
        </w:tc>
        <w:tc>
          <w:tcPr>
            <w:tcW w:w="745" w:type="pct"/>
            <w:tcBorders>
              <w:top w:val="nil"/>
              <w:left w:val="nil"/>
              <w:bottom w:val="single" w:sz="4" w:space="0" w:color="293F5B"/>
              <w:right w:val="nil"/>
            </w:tcBorders>
            <w:hideMark/>
          </w:tcPr>
          <w:p w14:paraId="76F26B78" w14:textId="77777777" w:rsidR="00673DF7"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 xml:space="preserve">The lower of WPI or </w:t>
            </w:r>
          </w:p>
          <w:p w14:paraId="41F7E29C" w14:textId="00EF49E4" w:rsidR="006D6865"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CPI growth</w:t>
            </w:r>
          </w:p>
        </w:tc>
        <w:tc>
          <w:tcPr>
            <w:tcW w:w="403" w:type="pct"/>
            <w:tcBorders>
              <w:top w:val="nil"/>
              <w:left w:val="nil"/>
              <w:bottom w:val="single" w:sz="4" w:space="0" w:color="293F5B"/>
              <w:right w:val="nil"/>
            </w:tcBorders>
            <w:hideMark/>
          </w:tcPr>
          <w:p w14:paraId="4D6C17BD" w14:textId="77777777" w:rsidR="00673DF7"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10.2 </w:t>
            </w:r>
          </w:p>
          <w:p w14:paraId="10ACA9B3" w14:textId="77777777" w:rsidR="00673DF7"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years </w:t>
            </w:r>
          </w:p>
          <w:p w14:paraId="5DBD5CE7" w14:textId="1B07AE0B"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(average)</w:t>
            </w:r>
          </w:p>
        </w:tc>
        <w:tc>
          <w:tcPr>
            <w:tcW w:w="457" w:type="pct"/>
            <w:gridSpan w:val="2"/>
            <w:tcBorders>
              <w:top w:val="nil"/>
              <w:left w:val="nil"/>
              <w:bottom w:val="single" w:sz="4" w:space="0" w:color="293F5B"/>
              <w:right w:val="nil"/>
            </w:tcBorders>
            <w:hideMark/>
          </w:tcPr>
          <w:p w14:paraId="44A1E8C7"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Unchanged</w:t>
            </w:r>
          </w:p>
        </w:tc>
      </w:tr>
      <w:tr w:rsidR="006D6865" w:rsidRPr="00880FAB" w14:paraId="7FC23E40" w14:textId="77777777" w:rsidTr="00C01C19">
        <w:trPr>
          <w:gridAfter w:val="1"/>
          <w:wAfter w:w="42" w:type="pct"/>
          <w:trHeight w:hRule="exact" w:val="225"/>
        </w:trPr>
        <w:tc>
          <w:tcPr>
            <w:tcW w:w="1470" w:type="pct"/>
            <w:tcBorders>
              <w:top w:val="nil"/>
              <w:left w:val="nil"/>
              <w:bottom w:val="single" w:sz="4" w:space="0" w:color="293F5B"/>
              <w:right w:val="nil"/>
            </w:tcBorders>
            <w:shd w:val="clear" w:color="000000" w:fill="E6F2FF"/>
            <w:vAlign w:val="center"/>
            <w:hideMark/>
          </w:tcPr>
          <w:p w14:paraId="524250DE"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Employment and Workplace Relations</w:t>
            </w:r>
          </w:p>
        </w:tc>
        <w:tc>
          <w:tcPr>
            <w:tcW w:w="814" w:type="pct"/>
            <w:tcBorders>
              <w:top w:val="nil"/>
              <w:left w:val="nil"/>
              <w:bottom w:val="single" w:sz="4" w:space="0" w:color="293F5B"/>
              <w:right w:val="nil"/>
            </w:tcBorders>
            <w:shd w:val="clear" w:color="000000" w:fill="E6F2FF"/>
            <w:vAlign w:val="center"/>
            <w:hideMark/>
          </w:tcPr>
          <w:p w14:paraId="55253BF9"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146" w:type="pct"/>
            <w:tcBorders>
              <w:top w:val="nil"/>
              <w:left w:val="nil"/>
              <w:bottom w:val="single" w:sz="4" w:space="0" w:color="293F5B"/>
              <w:right w:val="nil"/>
            </w:tcBorders>
            <w:shd w:val="clear" w:color="000000" w:fill="E6F2FF"/>
            <w:vAlign w:val="center"/>
            <w:hideMark/>
          </w:tcPr>
          <w:p w14:paraId="107AABCE"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923" w:type="pct"/>
            <w:tcBorders>
              <w:top w:val="nil"/>
              <w:left w:val="nil"/>
              <w:bottom w:val="single" w:sz="4" w:space="0" w:color="293F5B"/>
              <w:right w:val="nil"/>
            </w:tcBorders>
            <w:shd w:val="clear" w:color="000000" w:fill="E6F2FF"/>
            <w:vAlign w:val="center"/>
            <w:hideMark/>
          </w:tcPr>
          <w:p w14:paraId="4D1DCA56"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745" w:type="pct"/>
            <w:tcBorders>
              <w:top w:val="nil"/>
              <w:left w:val="nil"/>
              <w:bottom w:val="single" w:sz="4" w:space="0" w:color="293F5B"/>
              <w:right w:val="nil"/>
            </w:tcBorders>
            <w:shd w:val="clear" w:color="000000" w:fill="E6F2FF"/>
            <w:vAlign w:val="center"/>
            <w:hideMark/>
          </w:tcPr>
          <w:p w14:paraId="0AE8308B"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403" w:type="pct"/>
            <w:tcBorders>
              <w:top w:val="nil"/>
              <w:left w:val="nil"/>
              <w:bottom w:val="single" w:sz="4" w:space="0" w:color="293F5B"/>
              <w:right w:val="nil"/>
            </w:tcBorders>
            <w:shd w:val="clear" w:color="000000" w:fill="E6F2FF"/>
            <w:vAlign w:val="center"/>
            <w:hideMark/>
          </w:tcPr>
          <w:p w14:paraId="089AFC2C"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457" w:type="pct"/>
            <w:gridSpan w:val="2"/>
            <w:tcBorders>
              <w:top w:val="nil"/>
              <w:left w:val="nil"/>
              <w:bottom w:val="single" w:sz="4" w:space="0" w:color="293F5B"/>
              <w:right w:val="nil"/>
            </w:tcBorders>
            <w:shd w:val="clear" w:color="000000" w:fill="E6F2FF"/>
            <w:vAlign w:val="center"/>
            <w:hideMark/>
          </w:tcPr>
          <w:p w14:paraId="3CC8D5E3"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6D6865" w:rsidRPr="00880FAB" w14:paraId="4BA7D34F" w14:textId="77777777" w:rsidTr="00C01C19">
        <w:trPr>
          <w:gridAfter w:val="1"/>
          <w:wAfter w:w="42" w:type="pct"/>
          <w:trHeight w:hRule="exact" w:val="450"/>
        </w:trPr>
        <w:tc>
          <w:tcPr>
            <w:tcW w:w="1470" w:type="pct"/>
            <w:tcBorders>
              <w:top w:val="nil"/>
              <w:left w:val="nil"/>
              <w:bottom w:val="single" w:sz="4" w:space="0" w:color="293F5B"/>
              <w:right w:val="nil"/>
            </w:tcBorders>
            <w:hideMark/>
          </w:tcPr>
          <w:p w14:paraId="40A4ECF5"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Australian Apprenticeship Support Loans </w:t>
            </w:r>
          </w:p>
          <w:p w14:paraId="59DB26D1" w14:textId="3F33C8A3"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Program</w:t>
            </w:r>
          </w:p>
        </w:tc>
        <w:tc>
          <w:tcPr>
            <w:tcW w:w="814" w:type="pct"/>
            <w:tcBorders>
              <w:top w:val="nil"/>
              <w:left w:val="nil"/>
              <w:bottom w:val="single" w:sz="4" w:space="0" w:color="293F5B"/>
              <w:right w:val="nil"/>
            </w:tcBorders>
            <w:hideMark/>
          </w:tcPr>
          <w:p w14:paraId="476D0CA6"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789</w:t>
            </w:r>
          </w:p>
        </w:tc>
        <w:tc>
          <w:tcPr>
            <w:tcW w:w="146" w:type="pct"/>
            <w:tcBorders>
              <w:top w:val="nil"/>
              <w:left w:val="nil"/>
              <w:bottom w:val="single" w:sz="4" w:space="0" w:color="293F5B"/>
              <w:right w:val="nil"/>
            </w:tcBorders>
            <w:hideMark/>
          </w:tcPr>
          <w:p w14:paraId="3D8B0549"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23" w:type="pct"/>
            <w:tcBorders>
              <w:top w:val="nil"/>
              <w:left w:val="nil"/>
              <w:bottom w:val="single" w:sz="4" w:space="0" w:color="293F5B"/>
              <w:right w:val="nil"/>
            </w:tcBorders>
            <w:hideMark/>
          </w:tcPr>
          <w:p w14:paraId="19569837" w14:textId="77777777" w:rsidR="006D6865" w:rsidRPr="00880FAB" w:rsidRDefault="006D6865" w:rsidP="006D6865">
            <w:pPr>
              <w:spacing w:before="0" w:after="0" w:line="240" w:lineRule="auto"/>
              <w:rPr>
                <w:rFonts w:ascii="Arial" w:hAnsi="Arial" w:cs="Arial"/>
                <w:color w:val="000000"/>
                <w:sz w:val="16"/>
                <w:szCs w:val="16"/>
              </w:rPr>
            </w:pPr>
            <w:r w:rsidRPr="00880FAB">
              <w:rPr>
                <w:rFonts w:ascii="Arial" w:hAnsi="Arial" w:cs="Arial"/>
                <w:color w:val="000000"/>
                <w:sz w:val="16"/>
                <w:szCs w:val="16"/>
              </w:rPr>
              <w:t>Eligible VET students</w:t>
            </w:r>
          </w:p>
        </w:tc>
        <w:tc>
          <w:tcPr>
            <w:tcW w:w="745" w:type="pct"/>
            <w:tcBorders>
              <w:top w:val="nil"/>
              <w:left w:val="nil"/>
              <w:bottom w:val="single" w:sz="4" w:space="0" w:color="293F5B"/>
              <w:right w:val="nil"/>
            </w:tcBorders>
            <w:hideMark/>
          </w:tcPr>
          <w:p w14:paraId="3EA23CD0" w14:textId="77777777" w:rsidR="00673DF7"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 xml:space="preserve">The lower of WPI or </w:t>
            </w:r>
          </w:p>
          <w:p w14:paraId="2A1A2F87" w14:textId="4D11CAE9" w:rsidR="006D6865"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CPI growth </w:t>
            </w:r>
          </w:p>
        </w:tc>
        <w:tc>
          <w:tcPr>
            <w:tcW w:w="403" w:type="pct"/>
            <w:tcBorders>
              <w:top w:val="nil"/>
              <w:left w:val="nil"/>
              <w:bottom w:val="single" w:sz="4" w:space="0" w:color="293F5B"/>
              <w:right w:val="nil"/>
            </w:tcBorders>
            <w:hideMark/>
          </w:tcPr>
          <w:p w14:paraId="499E14B3"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Various</w:t>
            </w:r>
          </w:p>
        </w:tc>
        <w:tc>
          <w:tcPr>
            <w:tcW w:w="457" w:type="pct"/>
            <w:gridSpan w:val="2"/>
            <w:tcBorders>
              <w:top w:val="nil"/>
              <w:left w:val="nil"/>
              <w:bottom w:val="single" w:sz="4" w:space="0" w:color="293F5B"/>
              <w:right w:val="nil"/>
            </w:tcBorders>
            <w:hideMark/>
          </w:tcPr>
          <w:p w14:paraId="508CFBE1"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Unchanged </w:t>
            </w:r>
          </w:p>
        </w:tc>
      </w:tr>
      <w:tr w:rsidR="006D6865" w:rsidRPr="00880FAB" w14:paraId="2FD5B1CF" w14:textId="77777777" w:rsidTr="00C01C19">
        <w:trPr>
          <w:gridAfter w:val="1"/>
          <w:wAfter w:w="42" w:type="pct"/>
          <w:trHeight w:hRule="exact" w:val="675"/>
        </w:trPr>
        <w:tc>
          <w:tcPr>
            <w:tcW w:w="1470" w:type="pct"/>
            <w:tcBorders>
              <w:top w:val="nil"/>
              <w:left w:val="nil"/>
              <w:bottom w:val="single" w:sz="4" w:space="0" w:color="293F5B"/>
              <w:right w:val="nil"/>
            </w:tcBorders>
            <w:hideMark/>
          </w:tcPr>
          <w:p w14:paraId="00625F1C"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VET Student Loans Program</w:t>
            </w:r>
          </w:p>
        </w:tc>
        <w:tc>
          <w:tcPr>
            <w:tcW w:w="814" w:type="pct"/>
            <w:tcBorders>
              <w:top w:val="nil"/>
              <w:left w:val="nil"/>
              <w:bottom w:val="single" w:sz="4" w:space="0" w:color="293F5B"/>
              <w:right w:val="nil"/>
            </w:tcBorders>
            <w:hideMark/>
          </w:tcPr>
          <w:p w14:paraId="58E76DBE"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2,900</w:t>
            </w:r>
          </w:p>
        </w:tc>
        <w:tc>
          <w:tcPr>
            <w:tcW w:w="146" w:type="pct"/>
            <w:tcBorders>
              <w:top w:val="nil"/>
              <w:left w:val="nil"/>
              <w:bottom w:val="single" w:sz="4" w:space="0" w:color="293F5B"/>
              <w:right w:val="nil"/>
            </w:tcBorders>
            <w:hideMark/>
          </w:tcPr>
          <w:p w14:paraId="4169F12F"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23" w:type="pct"/>
            <w:tcBorders>
              <w:top w:val="nil"/>
              <w:left w:val="nil"/>
              <w:bottom w:val="single" w:sz="4" w:space="0" w:color="293F5B"/>
              <w:right w:val="nil"/>
            </w:tcBorders>
            <w:hideMark/>
          </w:tcPr>
          <w:p w14:paraId="1856742A" w14:textId="77777777" w:rsidR="006D6865" w:rsidRPr="00880FAB" w:rsidRDefault="006D6865" w:rsidP="006D6865">
            <w:pPr>
              <w:spacing w:before="0" w:after="0" w:line="240" w:lineRule="auto"/>
              <w:rPr>
                <w:rFonts w:ascii="Arial" w:hAnsi="Arial" w:cs="Arial"/>
                <w:color w:val="000000"/>
                <w:sz w:val="16"/>
                <w:szCs w:val="16"/>
              </w:rPr>
            </w:pPr>
            <w:r w:rsidRPr="00880FAB">
              <w:rPr>
                <w:rFonts w:ascii="Arial" w:hAnsi="Arial" w:cs="Arial"/>
                <w:color w:val="000000"/>
                <w:sz w:val="16"/>
                <w:szCs w:val="16"/>
              </w:rPr>
              <w:t>Eligible diploma and above students </w:t>
            </w:r>
          </w:p>
        </w:tc>
        <w:tc>
          <w:tcPr>
            <w:tcW w:w="745" w:type="pct"/>
            <w:tcBorders>
              <w:top w:val="nil"/>
              <w:left w:val="nil"/>
              <w:bottom w:val="single" w:sz="4" w:space="0" w:color="293F5B"/>
              <w:right w:val="nil"/>
            </w:tcBorders>
            <w:hideMark/>
          </w:tcPr>
          <w:p w14:paraId="3A0993A7" w14:textId="77777777" w:rsidR="00673DF7"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 xml:space="preserve">The lower of WPI or </w:t>
            </w:r>
          </w:p>
          <w:p w14:paraId="47B32BCD" w14:textId="7103CE2D" w:rsidR="006D6865"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CPI growth</w:t>
            </w:r>
          </w:p>
        </w:tc>
        <w:tc>
          <w:tcPr>
            <w:tcW w:w="403" w:type="pct"/>
            <w:tcBorders>
              <w:top w:val="nil"/>
              <w:left w:val="nil"/>
              <w:bottom w:val="single" w:sz="4" w:space="0" w:color="293F5B"/>
              <w:right w:val="nil"/>
            </w:tcBorders>
            <w:hideMark/>
          </w:tcPr>
          <w:p w14:paraId="54EC1161" w14:textId="7F63959E" w:rsidR="00673DF7"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2.8 years </w:t>
            </w:r>
          </w:p>
          <w:p w14:paraId="3FA42852" w14:textId="46D783E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(average)</w:t>
            </w:r>
          </w:p>
        </w:tc>
        <w:tc>
          <w:tcPr>
            <w:tcW w:w="457" w:type="pct"/>
            <w:gridSpan w:val="2"/>
            <w:tcBorders>
              <w:top w:val="nil"/>
              <w:left w:val="nil"/>
              <w:bottom w:val="single" w:sz="4" w:space="0" w:color="293F5B"/>
              <w:right w:val="nil"/>
            </w:tcBorders>
            <w:hideMark/>
          </w:tcPr>
          <w:p w14:paraId="17ABAB42"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Unchanged</w:t>
            </w:r>
          </w:p>
        </w:tc>
      </w:tr>
      <w:tr w:rsidR="006D6865" w:rsidRPr="00880FAB" w14:paraId="6938BBE9" w14:textId="77777777" w:rsidTr="00C01C19">
        <w:trPr>
          <w:gridAfter w:val="1"/>
          <w:wAfter w:w="42" w:type="pct"/>
          <w:trHeight w:hRule="exact" w:val="225"/>
        </w:trPr>
        <w:tc>
          <w:tcPr>
            <w:tcW w:w="1470" w:type="pct"/>
            <w:tcBorders>
              <w:top w:val="nil"/>
              <w:left w:val="nil"/>
              <w:bottom w:val="single" w:sz="4" w:space="0" w:color="293F5B"/>
              <w:right w:val="nil"/>
            </w:tcBorders>
            <w:shd w:val="clear" w:color="000000" w:fill="E6F2FF"/>
            <w:vAlign w:val="center"/>
            <w:hideMark/>
          </w:tcPr>
          <w:p w14:paraId="341319D5" w14:textId="77777777" w:rsidR="006D6865" w:rsidRPr="00880FAB" w:rsidRDefault="006D6865" w:rsidP="006D6865">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Finance</w:t>
            </w:r>
          </w:p>
        </w:tc>
        <w:tc>
          <w:tcPr>
            <w:tcW w:w="814" w:type="pct"/>
            <w:tcBorders>
              <w:top w:val="nil"/>
              <w:left w:val="nil"/>
              <w:bottom w:val="single" w:sz="4" w:space="0" w:color="293F5B"/>
              <w:right w:val="nil"/>
            </w:tcBorders>
            <w:shd w:val="clear" w:color="000000" w:fill="E6F2FF"/>
            <w:vAlign w:val="center"/>
            <w:hideMark/>
          </w:tcPr>
          <w:p w14:paraId="5BD2CCBB"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146" w:type="pct"/>
            <w:tcBorders>
              <w:top w:val="nil"/>
              <w:left w:val="nil"/>
              <w:bottom w:val="single" w:sz="4" w:space="0" w:color="293F5B"/>
              <w:right w:val="nil"/>
            </w:tcBorders>
            <w:shd w:val="clear" w:color="000000" w:fill="E6F2FF"/>
            <w:vAlign w:val="center"/>
            <w:hideMark/>
          </w:tcPr>
          <w:p w14:paraId="4104FF4B"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923" w:type="pct"/>
            <w:tcBorders>
              <w:top w:val="nil"/>
              <w:left w:val="nil"/>
              <w:bottom w:val="single" w:sz="4" w:space="0" w:color="293F5B"/>
              <w:right w:val="nil"/>
            </w:tcBorders>
            <w:shd w:val="clear" w:color="000000" w:fill="E6F2FF"/>
            <w:vAlign w:val="center"/>
            <w:hideMark/>
          </w:tcPr>
          <w:p w14:paraId="77C2C685"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745" w:type="pct"/>
            <w:tcBorders>
              <w:top w:val="nil"/>
              <w:left w:val="nil"/>
              <w:bottom w:val="single" w:sz="4" w:space="0" w:color="293F5B"/>
              <w:right w:val="nil"/>
            </w:tcBorders>
            <w:shd w:val="clear" w:color="000000" w:fill="E6F2FF"/>
            <w:vAlign w:val="center"/>
            <w:hideMark/>
          </w:tcPr>
          <w:p w14:paraId="0646DA33"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403" w:type="pct"/>
            <w:tcBorders>
              <w:top w:val="nil"/>
              <w:left w:val="nil"/>
              <w:bottom w:val="single" w:sz="4" w:space="0" w:color="293F5B"/>
              <w:right w:val="nil"/>
            </w:tcBorders>
            <w:shd w:val="clear" w:color="000000" w:fill="E6F2FF"/>
            <w:vAlign w:val="center"/>
            <w:hideMark/>
          </w:tcPr>
          <w:p w14:paraId="672D8FFF"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457" w:type="pct"/>
            <w:gridSpan w:val="2"/>
            <w:tcBorders>
              <w:top w:val="nil"/>
              <w:left w:val="nil"/>
              <w:bottom w:val="single" w:sz="4" w:space="0" w:color="293F5B"/>
              <w:right w:val="nil"/>
            </w:tcBorders>
            <w:shd w:val="clear" w:color="000000" w:fill="E6F2FF"/>
            <w:vAlign w:val="center"/>
            <w:hideMark/>
          </w:tcPr>
          <w:p w14:paraId="59FA0FB0" w14:textId="77777777" w:rsidR="006D6865" w:rsidRPr="00880FAB" w:rsidRDefault="006D6865" w:rsidP="006D6865">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6D6865" w:rsidRPr="00880FAB" w14:paraId="6F3076D5" w14:textId="77777777" w:rsidTr="00C01C19">
        <w:trPr>
          <w:gridAfter w:val="1"/>
          <w:wAfter w:w="42" w:type="pct"/>
          <w:trHeight w:hRule="exact" w:val="225"/>
        </w:trPr>
        <w:tc>
          <w:tcPr>
            <w:tcW w:w="1470" w:type="pct"/>
            <w:tcBorders>
              <w:top w:val="nil"/>
              <w:left w:val="nil"/>
              <w:bottom w:val="single" w:sz="4" w:space="0" w:color="293F5B"/>
              <w:right w:val="nil"/>
            </w:tcBorders>
            <w:hideMark/>
          </w:tcPr>
          <w:p w14:paraId="408DC5D7"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Defence Housing Australia Loan</w:t>
            </w:r>
          </w:p>
        </w:tc>
        <w:tc>
          <w:tcPr>
            <w:tcW w:w="814" w:type="pct"/>
            <w:tcBorders>
              <w:top w:val="nil"/>
              <w:left w:val="nil"/>
              <w:bottom w:val="single" w:sz="4" w:space="0" w:color="293F5B"/>
              <w:right w:val="nil"/>
            </w:tcBorders>
            <w:hideMark/>
          </w:tcPr>
          <w:p w14:paraId="19EBAE09"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295</w:t>
            </w:r>
          </w:p>
        </w:tc>
        <w:tc>
          <w:tcPr>
            <w:tcW w:w="146" w:type="pct"/>
            <w:tcBorders>
              <w:top w:val="nil"/>
              <w:left w:val="nil"/>
              <w:bottom w:val="single" w:sz="4" w:space="0" w:color="293F5B"/>
              <w:right w:val="nil"/>
            </w:tcBorders>
            <w:hideMark/>
          </w:tcPr>
          <w:p w14:paraId="01805C73"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23" w:type="pct"/>
            <w:tcBorders>
              <w:top w:val="nil"/>
              <w:left w:val="nil"/>
              <w:bottom w:val="single" w:sz="4" w:space="0" w:color="293F5B"/>
              <w:right w:val="nil"/>
            </w:tcBorders>
            <w:hideMark/>
          </w:tcPr>
          <w:p w14:paraId="34675EB3" w14:textId="77777777" w:rsidR="006D6865" w:rsidRPr="00880FAB" w:rsidRDefault="006D6865" w:rsidP="006D6865">
            <w:pPr>
              <w:spacing w:before="0" w:after="0" w:line="240" w:lineRule="auto"/>
              <w:rPr>
                <w:rFonts w:ascii="Arial" w:hAnsi="Arial" w:cs="Arial"/>
                <w:color w:val="000000"/>
                <w:sz w:val="16"/>
                <w:szCs w:val="16"/>
              </w:rPr>
            </w:pPr>
            <w:r w:rsidRPr="00880FAB">
              <w:rPr>
                <w:rFonts w:ascii="Arial" w:hAnsi="Arial" w:cs="Arial"/>
                <w:color w:val="000000"/>
                <w:sz w:val="16"/>
                <w:szCs w:val="16"/>
              </w:rPr>
              <w:t>Defence Housing Australia</w:t>
            </w:r>
          </w:p>
        </w:tc>
        <w:tc>
          <w:tcPr>
            <w:tcW w:w="745" w:type="pct"/>
            <w:tcBorders>
              <w:top w:val="nil"/>
              <w:left w:val="nil"/>
              <w:bottom w:val="single" w:sz="4" w:space="0" w:color="293F5B"/>
              <w:right w:val="nil"/>
            </w:tcBorders>
            <w:hideMark/>
          </w:tcPr>
          <w:p w14:paraId="7CA8D855" w14:textId="77777777" w:rsidR="006D6865"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Various</w:t>
            </w:r>
          </w:p>
        </w:tc>
        <w:tc>
          <w:tcPr>
            <w:tcW w:w="403" w:type="pct"/>
            <w:tcBorders>
              <w:top w:val="nil"/>
              <w:left w:val="nil"/>
              <w:bottom w:val="single" w:sz="4" w:space="0" w:color="293F5B"/>
              <w:right w:val="nil"/>
            </w:tcBorders>
            <w:hideMark/>
          </w:tcPr>
          <w:p w14:paraId="74804261"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Various</w:t>
            </w:r>
          </w:p>
        </w:tc>
        <w:tc>
          <w:tcPr>
            <w:tcW w:w="457" w:type="pct"/>
            <w:gridSpan w:val="2"/>
            <w:tcBorders>
              <w:top w:val="nil"/>
              <w:left w:val="nil"/>
              <w:bottom w:val="single" w:sz="4" w:space="0" w:color="293F5B"/>
              <w:right w:val="nil"/>
            </w:tcBorders>
            <w:hideMark/>
          </w:tcPr>
          <w:p w14:paraId="777F7174"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Removed</w:t>
            </w:r>
          </w:p>
        </w:tc>
      </w:tr>
      <w:tr w:rsidR="006D6865" w:rsidRPr="00880FAB" w14:paraId="64C58BD4" w14:textId="77777777" w:rsidTr="00C01C19">
        <w:trPr>
          <w:gridAfter w:val="1"/>
          <w:wAfter w:w="42" w:type="pct"/>
          <w:trHeight w:hRule="exact" w:val="225"/>
        </w:trPr>
        <w:tc>
          <w:tcPr>
            <w:tcW w:w="1470" w:type="pct"/>
            <w:tcBorders>
              <w:top w:val="nil"/>
              <w:left w:val="nil"/>
              <w:bottom w:val="single" w:sz="4" w:space="0" w:color="293F5B"/>
              <w:right w:val="nil"/>
            </w:tcBorders>
            <w:hideMark/>
          </w:tcPr>
          <w:p w14:paraId="314BC7C9"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Snowy Hydro Limited Loan </w:t>
            </w:r>
          </w:p>
        </w:tc>
        <w:tc>
          <w:tcPr>
            <w:tcW w:w="814" w:type="pct"/>
            <w:tcBorders>
              <w:top w:val="nil"/>
              <w:left w:val="nil"/>
              <w:bottom w:val="single" w:sz="4" w:space="0" w:color="293F5B"/>
              <w:right w:val="nil"/>
            </w:tcBorders>
            <w:hideMark/>
          </w:tcPr>
          <w:p w14:paraId="433C2DFB"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1,600</w:t>
            </w:r>
          </w:p>
        </w:tc>
        <w:tc>
          <w:tcPr>
            <w:tcW w:w="146" w:type="pct"/>
            <w:tcBorders>
              <w:top w:val="nil"/>
              <w:left w:val="nil"/>
              <w:bottom w:val="single" w:sz="4" w:space="0" w:color="293F5B"/>
              <w:right w:val="nil"/>
            </w:tcBorders>
            <w:hideMark/>
          </w:tcPr>
          <w:p w14:paraId="76BCC65B" w14:textId="77777777" w:rsidR="006D6865" w:rsidRPr="00880FAB" w:rsidRDefault="006D6865" w:rsidP="006D6865">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23" w:type="pct"/>
            <w:tcBorders>
              <w:top w:val="nil"/>
              <w:left w:val="nil"/>
              <w:bottom w:val="single" w:sz="4" w:space="0" w:color="293F5B"/>
              <w:right w:val="nil"/>
            </w:tcBorders>
            <w:hideMark/>
          </w:tcPr>
          <w:p w14:paraId="43127889" w14:textId="77777777" w:rsidR="006D6865" w:rsidRPr="00880FAB" w:rsidRDefault="006D6865" w:rsidP="006D6865">
            <w:pPr>
              <w:spacing w:before="0" w:after="0" w:line="240" w:lineRule="auto"/>
              <w:rPr>
                <w:rFonts w:ascii="Arial" w:hAnsi="Arial" w:cs="Arial"/>
                <w:color w:val="000000"/>
                <w:sz w:val="16"/>
                <w:szCs w:val="16"/>
              </w:rPr>
            </w:pPr>
            <w:r w:rsidRPr="00880FAB">
              <w:rPr>
                <w:rFonts w:ascii="Arial" w:hAnsi="Arial" w:cs="Arial"/>
                <w:color w:val="000000"/>
                <w:sz w:val="16"/>
                <w:szCs w:val="16"/>
              </w:rPr>
              <w:t xml:space="preserve">Snowy Hydro Limited </w:t>
            </w:r>
          </w:p>
        </w:tc>
        <w:tc>
          <w:tcPr>
            <w:tcW w:w="745" w:type="pct"/>
            <w:tcBorders>
              <w:top w:val="nil"/>
              <w:left w:val="nil"/>
              <w:bottom w:val="single" w:sz="4" w:space="0" w:color="293F5B"/>
              <w:right w:val="nil"/>
            </w:tcBorders>
            <w:hideMark/>
          </w:tcPr>
          <w:p w14:paraId="36A6F3C4" w14:textId="77777777" w:rsidR="006D6865" w:rsidRPr="00880FAB" w:rsidRDefault="006D6865" w:rsidP="00C01C19">
            <w:pPr>
              <w:spacing w:before="0" w:after="0" w:line="240" w:lineRule="auto"/>
              <w:rPr>
                <w:rFonts w:ascii="Arial" w:hAnsi="Arial" w:cs="Arial"/>
                <w:color w:val="000000"/>
                <w:sz w:val="16"/>
                <w:szCs w:val="16"/>
              </w:rPr>
            </w:pPr>
            <w:r w:rsidRPr="00880FAB">
              <w:rPr>
                <w:rFonts w:ascii="Arial" w:hAnsi="Arial" w:cs="Arial"/>
                <w:color w:val="000000"/>
                <w:sz w:val="16"/>
                <w:szCs w:val="16"/>
              </w:rPr>
              <w:t>Floating + margin</w:t>
            </w:r>
          </w:p>
        </w:tc>
        <w:tc>
          <w:tcPr>
            <w:tcW w:w="403" w:type="pct"/>
            <w:tcBorders>
              <w:top w:val="nil"/>
              <w:left w:val="nil"/>
              <w:bottom w:val="single" w:sz="4" w:space="0" w:color="293F5B"/>
              <w:right w:val="nil"/>
            </w:tcBorders>
            <w:hideMark/>
          </w:tcPr>
          <w:p w14:paraId="3DE2716E"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5 years</w:t>
            </w:r>
          </w:p>
        </w:tc>
        <w:tc>
          <w:tcPr>
            <w:tcW w:w="457" w:type="pct"/>
            <w:gridSpan w:val="2"/>
            <w:tcBorders>
              <w:top w:val="nil"/>
              <w:left w:val="nil"/>
              <w:bottom w:val="single" w:sz="4" w:space="0" w:color="293F5B"/>
              <w:right w:val="nil"/>
            </w:tcBorders>
            <w:hideMark/>
          </w:tcPr>
          <w:p w14:paraId="332670E3" w14:textId="77777777" w:rsidR="006D6865" w:rsidRPr="00880FAB" w:rsidRDefault="006D6865" w:rsidP="006D6865">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Unchanged </w:t>
            </w:r>
          </w:p>
        </w:tc>
      </w:tr>
    </w:tbl>
    <w:p w14:paraId="48064FC2" w14:textId="77777777" w:rsidR="00437167" w:rsidRDefault="00437167" w:rsidP="002874B1">
      <w:pPr>
        <w:pStyle w:val="SingleParagraph"/>
        <w:rPr>
          <w:rFonts w:eastAsia="Arial"/>
        </w:rPr>
      </w:pPr>
    </w:p>
    <w:p w14:paraId="582CDD66" w14:textId="77777777" w:rsidR="00437167" w:rsidRDefault="00437167">
      <w:pPr>
        <w:spacing w:before="0" w:after="160" w:line="259" w:lineRule="auto"/>
        <w:rPr>
          <w:rFonts w:ascii="Arial Bold" w:eastAsia="Arial" w:hAnsi="Arial Bold"/>
          <w:b/>
          <w:sz w:val="20"/>
        </w:rPr>
      </w:pPr>
      <w:r>
        <w:rPr>
          <w:rFonts w:eastAsia="Arial"/>
        </w:rPr>
        <w:br w:type="page"/>
      </w:r>
    </w:p>
    <w:p w14:paraId="0C78F39B" w14:textId="77777777" w:rsidR="00AA5A3F" w:rsidRDefault="0089606B" w:rsidP="00BC6394">
      <w:pPr>
        <w:pStyle w:val="TableHeadingcontinued"/>
        <w:rPr>
          <w:rFonts w:eastAsia="Arial"/>
        </w:rPr>
      </w:pPr>
      <w:r w:rsidRPr="00D12C6F">
        <w:rPr>
          <w:rFonts w:eastAsia="Arial"/>
        </w:rPr>
        <w:lastRenderedPageBreak/>
        <w:t xml:space="preserve">Table </w:t>
      </w:r>
      <w:r>
        <w:rPr>
          <w:rFonts w:eastAsia="Arial"/>
        </w:rPr>
        <w:t>9</w:t>
      </w:r>
      <w:r w:rsidRPr="00D12C6F">
        <w:rPr>
          <w:rFonts w:eastAsia="Arial"/>
        </w:rPr>
        <w:t>.3: Summary of Australian Government loans meeting the materiality threshold</w:t>
      </w:r>
      <w:r>
        <w:rPr>
          <w:rFonts w:eastAsia="Arial"/>
        </w:rPr>
        <w:t xml:space="preserve"> (continued)</w:t>
      </w:r>
    </w:p>
    <w:tbl>
      <w:tblPr>
        <w:tblW w:w="5000" w:type="pct"/>
        <w:tblLayout w:type="fixed"/>
        <w:tblCellMar>
          <w:left w:w="0" w:type="dxa"/>
          <w:right w:w="28" w:type="dxa"/>
        </w:tblCellMar>
        <w:tblLook w:val="04A0" w:firstRow="1" w:lastRow="0" w:firstColumn="1" w:lastColumn="0" w:noHBand="0" w:noVBand="1"/>
      </w:tblPr>
      <w:tblGrid>
        <w:gridCol w:w="3441"/>
        <w:gridCol w:w="1862"/>
        <w:gridCol w:w="237"/>
        <w:gridCol w:w="2195"/>
        <w:gridCol w:w="1576"/>
        <w:gridCol w:w="1037"/>
        <w:gridCol w:w="33"/>
        <w:gridCol w:w="1101"/>
        <w:gridCol w:w="57"/>
      </w:tblGrid>
      <w:tr w:rsidR="00B53A8E" w:rsidRPr="00880FAB" w14:paraId="17DCEDD3" w14:textId="77777777" w:rsidTr="00566095">
        <w:trPr>
          <w:gridAfter w:val="1"/>
          <w:wAfter w:w="57" w:type="dxa"/>
          <w:trHeight w:hRule="exact" w:val="225"/>
        </w:trPr>
        <w:tc>
          <w:tcPr>
            <w:tcW w:w="3441" w:type="dxa"/>
            <w:tcBorders>
              <w:top w:val="single" w:sz="4" w:space="0" w:color="293F5B"/>
              <w:left w:val="nil"/>
              <w:bottom w:val="single" w:sz="4" w:space="0" w:color="293F5B"/>
              <w:right w:val="nil"/>
            </w:tcBorders>
            <w:shd w:val="clear" w:color="000000" w:fill="E6F2FF"/>
            <w:vAlign w:val="center"/>
            <w:hideMark/>
          </w:tcPr>
          <w:p w14:paraId="17264379" w14:textId="77777777" w:rsidR="00AA5A3F" w:rsidRPr="00880FAB" w:rsidRDefault="00AA5A3F" w:rsidP="00AA5A3F">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Portfolio</w:t>
            </w:r>
          </w:p>
        </w:tc>
        <w:tc>
          <w:tcPr>
            <w:tcW w:w="1862" w:type="dxa"/>
            <w:tcBorders>
              <w:top w:val="single" w:sz="4" w:space="0" w:color="293F5B"/>
              <w:left w:val="nil"/>
              <w:bottom w:val="nil"/>
              <w:right w:val="nil"/>
            </w:tcBorders>
            <w:shd w:val="clear" w:color="000000" w:fill="E6F2FF"/>
            <w:vAlign w:val="center"/>
            <w:hideMark/>
          </w:tcPr>
          <w:p w14:paraId="31F73B58" w14:textId="77777777" w:rsidR="00AA5A3F" w:rsidRPr="00880FAB" w:rsidRDefault="00AA5A3F" w:rsidP="002E2DC5">
            <w:pPr>
              <w:spacing w:before="0" w:after="0" w:line="240" w:lineRule="auto"/>
              <w:ind w:firstLineChars="100" w:firstLine="161"/>
              <w:jc w:val="right"/>
              <w:rPr>
                <w:rFonts w:ascii="Arial" w:hAnsi="Arial" w:cs="Arial"/>
                <w:b/>
                <w:bCs/>
                <w:color w:val="000000"/>
                <w:sz w:val="16"/>
                <w:szCs w:val="16"/>
              </w:rPr>
            </w:pPr>
            <w:r w:rsidRPr="00880FAB">
              <w:rPr>
                <w:rFonts w:ascii="Arial" w:hAnsi="Arial" w:cs="Arial"/>
                <w:b/>
                <w:bCs/>
                <w:color w:val="000000"/>
                <w:sz w:val="16"/>
                <w:szCs w:val="16"/>
              </w:rPr>
              <w:t>Loan amount</w:t>
            </w:r>
            <w:r w:rsidRPr="00880FAB">
              <w:rPr>
                <w:rFonts w:ascii="Arial" w:hAnsi="Arial" w:cs="Arial"/>
                <w:b/>
                <w:bCs/>
                <w:color w:val="000000"/>
                <w:sz w:val="16"/>
                <w:szCs w:val="16"/>
                <w:vertAlign w:val="superscript"/>
              </w:rPr>
              <w:t>(a)</w:t>
            </w:r>
            <w:r w:rsidRPr="00880FAB">
              <w:rPr>
                <w:rFonts w:ascii="Arial" w:hAnsi="Arial" w:cs="Arial"/>
                <w:b/>
                <w:bCs/>
                <w:color w:val="000000"/>
                <w:sz w:val="16"/>
                <w:szCs w:val="16"/>
              </w:rPr>
              <w:t xml:space="preserve"> ($m)</w:t>
            </w:r>
          </w:p>
        </w:tc>
        <w:tc>
          <w:tcPr>
            <w:tcW w:w="237" w:type="dxa"/>
            <w:tcBorders>
              <w:top w:val="single" w:sz="4" w:space="0" w:color="293F5B"/>
              <w:left w:val="nil"/>
              <w:bottom w:val="nil"/>
              <w:right w:val="nil"/>
            </w:tcBorders>
            <w:shd w:val="clear" w:color="000000" w:fill="E6F2FF"/>
            <w:vAlign w:val="center"/>
            <w:hideMark/>
          </w:tcPr>
          <w:p w14:paraId="74AC7642" w14:textId="77777777" w:rsidR="00AA5A3F" w:rsidRPr="00880FAB" w:rsidRDefault="00AA5A3F" w:rsidP="00AA5A3F">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2195" w:type="dxa"/>
            <w:tcBorders>
              <w:top w:val="single" w:sz="4" w:space="0" w:color="293F5B"/>
              <w:left w:val="nil"/>
              <w:bottom w:val="nil"/>
              <w:right w:val="nil"/>
            </w:tcBorders>
            <w:shd w:val="clear" w:color="000000" w:fill="E6F2FF"/>
            <w:vAlign w:val="center"/>
            <w:hideMark/>
          </w:tcPr>
          <w:p w14:paraId="1741B345" w14:textId="77777777" w:rsidR="00AA5A3F" w:rsidRPr="00880FAB" w:rsidRDefault="00AA5A3F" w:rsidP="00C01C1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Borrower</w:t>
            </w:r>
          </w:p>
        </w:tc>
        <w:tc>
          <w:tcPr>
            <w:tcW w:w="1576" w:type="dxa"/>
            <w:tcBorders>
              <w:top w:val="single" w:sz="4" w:space="0" w:color="293F5B"/>
              <w:left w:val="nil"/>
              <w:bottom w:val="single" w:sz="4" w:space="0" w:color="293F5B"/>
              <w:right w:val="nil"/>
            </w:tcBorders>
            <w:shd w:val="clear" w:color="000000" w:fill="E6F2FF"/>
            <w:vAlign w:val="center"/>
            <w:hideMark/>
          </w:tcPr>
          <w:p w14:paraId="4E872A1E" w14:textId="77777777" w:rsidR="00AA5A3F" w:rsidRPr="00880FAB" w:rsidRDefault="00AA5A3F" w:rsidP="00AA5A3F">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Interest rate</w:t>
            </w:r>
          </w:p>
        </w:tc>
        <w:tc>
          <w:tcPr>
            <w:tcW w:w="1037" w:type="dxa"/>
            <w:tcBorders>
              <w:top w:val="single" w:sz="4" w:space="0" w:color="293F5B"/>
              <w:left w:val="nil"/>
              <w:bottom w:val="single" w:sz="4" w:space="0" w:color="293F5B"/>
              <w:right w:val="nil"/>
            </w:tcBorders>
            <w:shd w:val="clear" w:color="000000" w:fill="E6F2FF"/>
            <w:vAlign w:val="center"/>
            <w:hideMark/>
          </w:tcPr>
          <w:p w14:paraId="3267A8C0" w14:textId="77777777" w:rsidR="00AA5A3F" w:rsidRPr="00880FAB" w:rsidRDefault="00AA5A3F" w:rsidP="00CF5F47">
            <w:pPr>
              <w:spacing w:before="0" w:after="0" w:line="240" w:lineRule="auto"/>
              <w:ind w:firstLineChars="24" w:firstLine="39"/>
              <w:rPr>
                <w:rFonts w:ascii="Arial" w:hAnsi="Arial" w:cs="Arial"/>
                <w:b/>
                <w:bCs/>
                <w:color w:val="000000"/>
                <w:sz w:val="16"/>
                <w:szCs w:val="16"/>
              </w:rPr>
            </w:pPr>
            <w:r w:rsidRPr="00880FAB">
              <w:rPr>
                <w:rFonts w:ascii="Arial" w:hAnsi="Arial" w:cs="Arial"/>
                <w:b/>
                <w:bCs/>
                <w:color w:val="000000"/>
                <w:sz w:val="16"/>
                <w:szCs w:val="16"/>
              </w:rPr>
              <w:t>Term</w:t>
            </w:r>
          </w:p>
        </w:tc>
        <w:tc>
          <w:tcPr>
            <w:tcW w:w="1134" w:type="dxa"/>
            <w:gridSpan w:val="2"/>
            <w:tcBorders>
              <w:top w:val="single" w:sz="4" w:space="0" w:color="293F5B"/>
              <w:left w:val="nil"/>
              <w:bottom w:val="nil"/>
              <w:right w:val="nil"/>
            </w:tcBorders>
            <w:shd w:val="clear" w:color="000000" w:fill="E6F2FF"/>
            <w:vAlign w:val="center"/>
            <w:hideMark/>
          </w:tcPr>
          <w:p w14:paraId="4DC19E26" w14:textId="77777777" w:rsidR="00AA5A3F" w:rsidRPr="00880FAB" w:rsidRDefault="00AA5A3F" w:rsidP="00AA5A3F">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Status</w:t>
            </w:r>
            <w:r w:rsidRPr="00880FAB">
              <w:rPr>
                <w:rFonts w:ascii="Arial" w:hAnsi="Arial" w:cs="Arial"/>
                <w:b/>
                <w:bCs/>
                <w:color w:val="000000"/>
                <w:sz w:val="16"/>
                <w:szCs w:val="16"/>
                <w:vertAlign w:val="superscript"/>
              </w:rPr>
              <w:t>(b)</w:t>
            </w:r>
          </w:p>
        </w:tc>
      </w:tr>
      <w:tr w:rsidR="00B53A8E" w:rsidRPr="00880FAB" w14:paraId="7EC2ED3E" w14:textId="77777777" w:rsidTr="00566095">
        <w:trPr>
          <w:gridAfter w:val="1"/>
          <w:wAfter w:w="57" w:type="dxa"/>
          <w:trHeight w:hRule="exact" w:val="225"/>
        </w:trPr>
        <w:tc>
          <w:tcPr>
            <w:tcW w:w="3441" w:type="dxa"/>
            <w:tcBorders>
              <w:top w:val="nil"/>
              <w:left w:val="nil"/>
              <w:bottom w:val="single" w:sz="4" w:space="0" w:color="293F5B"/>
              <w:right w:val="nil"/>
            </w:tcBorders>
            <w:shd w:val="clear" w:color="000000" w:fill="E6F2FF"/>
            <w:vAlign w:val="center"/>
            <w:hideMark/>
          </w:tcPr>
          <w:p w14:paraId="119C7F36" w14:textId="77777777" w:rsidR="00AA5A3F" w:rsidRPr="00880FAB" w:rsidRDefault="00AA5A3F" w:rsidP="00AA5A3F">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Foreign Affairs and Trade</w:t>
            </w:r>
          </w:p>
        </w:tc>
        <w:tc>
          <w:tcPr>
            <w:tcW w:w="1862" w:type="dxa"/>
            <w:tcBorders>
              <w:top w:val="single" w:sz="4" w:space="0" w:color="293F5B"/>
              <w:left w:val="nil"/>
              <w:bottom w:val="single" w:sz="4" w:space="0" w:color="293F5B"/>
              <w:right w:val="nil"/>
            </w:tcBorders>
            <w:shd w:val="clear" w:color="000000" w:fill="E6F2FF"/>
            <w:vAlign w:val="center"/>
            <w:hideMark/>
          </w:tcPr>
          <w:p w14:paraId="3BC90000" w14:textId="77777777" w:rsidR="00AA5A3F" w:rsidRPr="00880FAB" w:rsidRDefault="00AA5A3F" w:rsidP="00AA5A3F">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237" w:type="dxa"/>
            <w:tcBorders>
              <w:top w:val="single" w:sz="4" w:space="0" w:color="293F5B"/>
              <w:left w:val="nil"/>
              <w:bottom w:val="single" w:sz="4" w:space="0" w:color="293F5B"/>
              <w:right w:val="nil"/>
            </w:tcBorders>
            <w:shd w:val="clear" w:color="000000" w:fill="E6F2FF"/>
            <w:vAlign w:val="center"/>
            <w:hideMark/>
          </w:tcPr>
          <w:p w14:paraId="2911E17C" w14:textId="77777777" w:rsidR="00AA5A3F" w:rsidRPr="00880FAB" w:rsidRDefault="00AA5A3F" w:rsidP="00AA5A3F">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2195" w:type="dxa"/>
            <w:tcBorders>
              <w:top w:val="single" w:sz="4" w:space="0" w:color="293F5B"/>
              <w:left w:val="nil"/>
              <w:bottom w:val="single" w:sz="4" w:space="0" w:color="293F5B"/>
              <w:right w:val="nil"/>
            </w:tcBorders>
            <w:shd w:val="clear" w:color="000000" w:fill="E6F2FF"/>
            <w:vAlign w:val="center"/>
            <w:hideMark/>
          </w:tcPr>
          <w:p w14:paraId="2E041196" w14:textId="77777777" w:rsidR="00AA5A3F" w:rsidRPr="00880FAB" w:rsidRDefault="00AA5A3F" w:rsidP="00C01C19">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1576" w:type="dxa"/>
            <w:tcBorders>
              <w:top w:val="nil"/>
              <w:left w:val="nil"/>
              <w:bottom w:val="single" w:sz="4" w:space="0" w:color="293F5B"/>
              <w:right w:val="nil"/>
            </w:tcBorders>
            <w:shd w:val="clear" w:color="000000" w:fill="E6F2FF"/>
            <w:vAlign w:val="center"/>
            <w:hideMark/>
          </w:tcPr>
          <w:p w14:paraId="6D238287" w14:textId="77777777" w:rsidR="00AA5A3F" w:rsidRPr="00880FAB" w:rsidRDefault="00AA5A3F" w:rsidP="00AA5A3F">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1037" w:type="dxa"/>
            <w:tcBorders>
              <w:top w:val="nil"/>
              <w:left w:val="nil"/>
              <w:bottom w:val="single" w:sz="4" w:space="0" w:color="293F5B"/>
              <w:right w:val="nil"/>
            </w:tcBorders>
            <w:shd w:val="clear" w:color="000000" w:fill="E6F2FF"/>
            <w:vAlign w:val="center"/>
            <w:hideMark/>
          </w:tcPr>
          <w:p w14:paraId="0653697C" w14:textId="77777777" w:rsidR="00AA5A3F" w:rsidRPr="00880FAB" w:rsidRDefault="00AA5A3F" w:rsidP="00AA5A3F">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1134" w:type="dxa"/>
            <w:gridSpan w:val="2"/>
            <w:tcBorders>
              <w:top w:val="single" w:sz="4" w:space="0" w:color="293F5B"/>
              <w:left w:val="nil"/>
              <w:bottom w:val="single" w:sz="4" w:space="0" w:color="293F5B"/>
              <w:right w:val="nil"/>
            </w:tcBorders>
            <w:shd w:val="clear" w:color="000000" w:fill="E6F2FF"/>
            <w:vAlign w:val="center"/>
            <w:hideMark/>
          </w:tcPr>
          <w:p w14:paraId="49027803" w14:textId="77777777" w:rsidR="00AA5A3F" w:rsidRPr="00880FAB" w:rsidRDefault="00AA5A3F" w:rsidP="00AA5A3F">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r>
      <w:tr w:rsidR="00673DF7" w:rsidRPr="00880FAB" w14:paraId="0BDFF1D2" w14:textId="77777777" w:rsidTr="002E603A">
        <w:trPr>
          <w:trHeight w:hRule="exact" w:val="870"/>
        </w:trPr>
        <w:tc>
          <w:tcPr>
            <w:tcW w:w="3441" w:type="dxa"/>
            <w:tcBorders>
              <w:top w:val="nil"/>
              <w:left w:val="nil"/>
              <w:bottom w:val="single" w:sz="4" w:space="0" w:color="293F5B"/>
              <w:right w:val="nil"/>
            </w:tcBorders>
            <w:hideMark/>
          </w:tcPr>
          <w:p w14:paraId="4E263DB2"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Government support for </w:t>
            </w:r>
            <w:proofErr w:type="spellStart"/>
            <w:r w:rsidRPr="00880FAB">
              <w:rPr>
                <w:rFonts w:ascii="Arial" w:hAnsi="Arial" w:cs="Arial"/>
                <w:color w:val="000000"/>
                <w:sz w:val="16"/>
                <w:szCs w:val="16"/>
              </w:rPr>
              <w:t>PsiQuantum</w:t>
            </w:r>
            <w:proofErr w:type="spellEnd"/>
            <w:r w:rsidRPr="00880FAB">
              <w:rPr>
                <w:rFonts w:ascii="Arial" w:hAnsi="Arial" w:cs="Arial"/>
                <w:color w:val="000000"/>
                <w:sz w:val="16"/>
                <w:szCs w:val="16"/>
              </w:rPr>
              <w:t xml:space="preserve"> Pty</w:t>
            </w:r>
          </w:p>
          <w:p w14:paraId="171461C8" w14:textId="6CC49F75"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 Ltd</w:t>
            </w:r>
          </w:p>
        </w:tc>
        <w:tc>
          <w:tcPr>
            <w:tcW w:w="1862" w:type="dxa"/>
            <w:tcBorders>
              <w:top w:val="nil"/>
              <w:left w:val="nil"/>
              <w:bottom w:val="single" w:sz="4" w:space="0" w:color="293F5B"/>
              <w:right w:val="nil"/>
            </w:tcBorders>
            <w:hideMark/>
          </w:tcPr>
          <w:p w14:paraId="03F7EBAF" w14:textId="77777777" w:rsidR="00AA5A3F" w:rsidRPr="00880FAB" w:rsidRDefault="00AA5A3F" w:rsidP="00AA5A3F">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184</w:t>
            </w:r>
          </w:p>
        </w:tc>
        <w:tc>
          <w:tcPr>
            <w:tcW w:w="237" w:type="dxa"/>
            <w:tcBorders>
              <w:top w:val="nil"/>
              <w:left w:val="nil"/>
              <w:bottom w:val="single" w:sz="4" w:space="0" w:color="293F5B"/>
              <w:right w:val="nil"/>
            </w:tcBorders>
            <w:hideMark/>
          </w:tcPr>
          <w:p w14:paraId="59194AA0" w14:textId="77777777" w:rsidR="00AA5A3F" w:rsidRPr="00880FAB" w:rsidRDefault="00AA5A3F" w:rsidP="00AA5A3F">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2195" w:type="dxa"/>
            <w:tcBorders>
              <w:top w:val="nil"/>
              <w:left w:val="nil"/>
              <w:bottom w:val="single" w:sz="4" w:space="0" w:color="293F5B"/>
              <w:right w:val="nil"/>
            </w:tcBorders>
            <w:hideMark/>
          </w:tcPr>
          <w:p w14:paraId="3A50C2DA" w14:textId="77777777" w:rsidR="00AA5A3F" w:rsidRPr="00880FAB" w:rsidRDefault="00AA5A3F" w:rsidP="00AA5A3F">
            <w:pPr>
              <w:spacing w:before="0" w:after="0" w:line="240" w:lineRule="auto"/>
              <w:rPr>
                <w:rFonts w:ascii="Arial" w:hAnsi="Arial" w:cs="Arial"/>
                <w:color w:val="000000"/>
                <w:sz w:val="16"/>
                <w:szCs w:val="16"/>
              </w:rPr>
            </w:pPr>
            <w:proofErr w:type="spellStart"/>
            <w:r w:rsidRPr="00880FAB">
              <w:rPr>
                <w:rFonts w:ascii="Arial" w:hAnsi="Arial" w:cs="Arial"/>
                <w:color w:val="000000"/>
                <w:sz w:val="16"/>
                <w:szCs w:val="16"/>
              </w:rPr>
              <w:t>PsiQuantum</w:t>
            </w:r>
            <w:proofErr w:type="spellEnd"/>
            <w:r w:rsidRPr="00880FAB">
              <w:rPr>
                <w:rFonts w:ascii="Arial" w:hAnsi="Arial" w:cs="Arial"/>
                <w:color w:val="000000"/>
                <w:sz w:val="16"/>
                <w:szCs w:val="16"/>
              </w:rPr>
              <w:t xml:space="preserve"> Pty Ltd and </w:t>
            </w:r>
            <w:proofErr w:type="spellStart"/>
            <w:r w:rsidRPr="00880FAB">
              <w:rPr>
                <w:rFonts w:ascii="Arial" w:hAnsi="Arial" w:cs="Arial"/>
                <w:color w:val="000000"/>
                <w:sz w:val="16"/>
                <w:szCs w:val="16"/>
              </w:rPr>
              <w:t>PsiQuantum</w:t>
            </w:r>
            <w:proofErr w:type="spellEnd"/>
            <w:r w:rsidRPr="00880FAB">
              <w:rPr>
                <w:rFonts w:ascii="Arial" w:hAnsi="Arial" w:cs="Arial"/>
                <w:color w:val="000000"/>
                <w:sz w:val="16"/>
                <w:szCs w:val="16"/>
              </w:rPr>
              <w:t xml:space="preserve"> Corporation</w:t>
            </w:r>
          </w:p>
        </w:tc>
        <w:tc>
          <w:tcPr>
            <w:tcW w:w="1576" w:type="dxa"/>
            <w:tcBorders>
              <w:top w:val="nil"/>
              <w:left w:val="nil"/>
              <w:bottom w:val="single" w:sz="4" w:space="0" w:color="293F5B"/>
              <w:right w:val="nil"/>
            </w:tcBorders>
            <w:hideMark/>
          </w:tcPr>
          <w:p w14:paraId="4A4263F3" w14:textId="77777777" w:rsidR="00D93A4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Commercial-</w:t>
            </w:r>
          </w:p>
          <w:p w14:paraId="47500028" w14:textId="5B5AECFC"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in</w:t>
            </w:r>
            <w:r w:rsidRPr="00880FAB">
              <w:rPr>
                <w:rFonts w:ascii="Arial" w:hAnsi="Arial" w:cs="Arial"/>
                <w:color w:val="000000"/>
                <w:sz w:val="16"/>
                <w:szCs w:val="16"/>
              </w:rPr>
              <w:noBreakHyphen/>
              <w:t>confidence</w:t>
            </w:r>
          </w:p>
        </w:tc>
        <w:tc>
          <w:tcPr>
            <w:tcW w:w="1070" w:type="dxa"/>
            <w:gridSpan w:val="2"/>
            <w:tcBorders>
              <w:top w:val="nil"/>
              <w:left w:val="nil"/>
              <w:bottom w:val="single" w:sz="4" w:space="0" w:color="293F5B"/>
              <w:right w:val="nil"/>
            </w:tcBorders>
            <w:hideMark/>
          </w:tcPr>
          <w:p w14:paraId="5C390EF9" w14:textId="77777777" w:rsidR="00673DF7" w:rsidRPr="00880FAB" w:rsidRDefault="00AA5A3F" w:rsidP="00CF5F47">
            <w:pPr>
              <w:spacing w:before="0" w:after="0" w:line="240" w:lineRule="auto"/>
              <w:ind w:left="40"/>
              <w:rPr>
                <w:rFonts w:ascii="Arial" w:hAnsi="Arial" w:cs="Arial"/>
                <w:color w:val="000000"/>
                <w:sz w:val="16"/>
                <w:szCs w:val="16"/>
              </w:rPr>
            </w:pPr>
            <w:r w:rsidRPr="00880FAB">
              <w:rPr>
                <w:rFonts w:ascii="Arial" w:hAnsi="Arial" w:cs="Arial"/>
                <w:color w:val="000000"/>
                <w:sz w:val="16"/>
                <w:szCs w:val="16"/>
              </w:rPr>
              <w:t>Commercial</w:t>
            </w:r>
            <w:r w:rsidRPr="00880FAB">
              <w:rPr>
                <w:rFonts w:ascii="Arial" w:hAnsi="Arial" w:cs="Arial"/>
                <w:color w:val="000000"/>
                <w:sz w:val="16"/>
                <w:szCs w:val="16"/>
              </w:rPr>
              <w:noBreakHyphen/>
            </w:r>
          </w:p>
          <w:p w14:paraId="6322EC00" w14:textId="08345F4F" w:rsidR="00AA5A3F" w:rsidRPr="00880FAB" w:rsidRDefault="00AA5A3F" w:rsidP="00CF5F47">
            <w:pPr>
              <w:spacing w:before="0" w:after="0" w:line="240" w:lineRule="auto"/>
              <w:ind w:left="40"/>
              <w:rPr>
                <w:rFonts w:ascii="Arial" w:hAnsi="Arial" w:cs="Arial"/>
                <w:color w:val="000000"/>
                <w:sz w:val="16"/>
                <w:szCs w:val="16"/>
              </w:rPr>
            </w:pPr>
            <w:r w:rsidRPr="00880FAB">
              <w:rPr>
                <w:rFonts w:ascii="Arial" w:hAnsi="Arial" w:cs="Arial"/>
                <w:color w:val="000000"/>
                <w:sz w:val="16"/>
                <w:szCs w:val="16"/>
              </w:rPr>
              <w:t>in</w:t>
            </w:r>
            <w:r w:rsidRPr="00880FAB">
              <w:rPr>
                <w:rFonts w:ascii="Arial" w:hAnsi="Arial" w:cs="Arial"/>
                <w:color w:val="000000"/>
                <w:sz w:val="16"/>
                <w:szCs w:val="16"/>
              </w:rPr>
              <w:noBreakHyphen/>
              <w:t>confidence</w:t>
            </w:r>
          </w:p>
        </w:tc>
        <w:tc>
          <w:tcPr>
            <w:tcW w:w="1158" w:type="dxa"/>
            <w:gridSpan w:val="2"/>
            <w:tcBorders>
              <w:top w:val="nil"/>
              <w:left w:val="nil"/>
              <w:bottom w:val="single" w:sz="4" w:space="0" w:color="293F5B"/>
              <w:right w:val="nil"/>
            </w:tcBorders>
            <w:hideMark/>
          </w:tcPr>
          <w:p w14:paraId="4DC4A44D" w14:textId="77777777" w:rsidR="00AA5A3F" w:rsidRPr="00880FAB" w:rsidRDefault="00AA5A3F" w:rsidP="002B3094">
            <w:pPr>
              <w:spacing w:before="0" w:after="0" w:line="240" w:lineRule="auto"/>
              <w:ind w:firstLineChars="68" w:firstLine="109"/>
              <w:rPr>
                <w:rFonts w:ascii="Arial" w:hAnsi="Arial" w:cs="Arial"/>
                <w:color w:val="000000"/>
                <w:sz w:val="16"/>
                <w:szCs w:val="16"/>
              </w:rPr>
            </w:pPr>
            <w:r w:rsidRPr="00880FAB">
              <w:rPr>
                <w:rFonts w:ascii="Arial" w:hAnsi="Arial" w:cs="Arial"/>
                <w:color w:val="000000"/>
                <w:sz w:val="16"/>
                <w:szCs w:val="16"/>
              </w:rPr>
              <w:t>Unchanged</w:t>
            </w:r>
          </w:p>
        </w:tc>
      </w:tr>
      <w:tr w:rsidR="00673DF7" w:rsidRPr="00880FAB" w14:paraId="0DCB817D" w14:textId="77777777" w:rsidTr="002E603A">
        <w:trPr>
          <w:trHeight w:hRule="exact" w:val="675"/>
        </w:trPr>
        <w:tc>
          <w:tcPr>
            <w:tcW w:w="3441" w:type="dxa"/>
            <w:tcBorders>
              <w:top w:val="nil"/>
              <w:left w:val="nil"/>
              <w:bottom w:val="single" w:sz="4" w:space="0" w:color="293F5B"/>
              <w:right w:val="nil"/>
            </w:tcBorders>
            <w:hideMark/>
          </w:tcPr>
          <w:p w14:paraId="294CC295"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Telstra acquisition of Digicel Pacific</w:t>
            </w:r>
          </w:p>
        </w:tc>
        <w:tc>
          <w:tcPr>
            <w:tcW w:w="1862" w:type="dxa"/>
            <w:tcBorders>
              <w:top w:val="nil"/>
              <w:left w:val="nil"/>
              <w:bottom w:val="single" w:sz="4" w:space="0" w:color="293F5B"/>
              <w:right w:val="nil"/>
            </w:tcBorders>
            <w:hideMark/>
          </w:tcPr>
          <w:p w14:paraId="00D197F0" w14:textId="77777777" w:rsidR="00AA5A3F" w:rsidRPr="00880FAB" w:rsidRDefault="00AA5A3F" w:rsidP="00AA5A3F">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2,100</w:t>
            </w:r>
          </w:p>
        </w:tc>
        <w:tc>
          <w:tcPr>
            <w:tcW w:w="237" w:type="dxa"/>
            <w:tcBorders>
              <w:top w:val="nil"/>
              <w:left w:val="nil"/>
              <w:bottom w:val="single" w:sz="4" w:space="0" w:color="293F5B"/>
              <w:right w:val="nil"/>
            </w:tcBorders>
            <w:hideMark/>
          </w:tcPr>
          <w:p w14:paraId="03BE8272" w14:textId="77777777" w:rsidR="00AA5A3F" w:rsidRPr="00880FAB" w:rsidRDefault="00AA5A3F" w:rsidP="00AA5A3F">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2195" w:type="dxa"/>
            <w:tcBorders>
              <w:top w:val="nil"/>
              <w:left w:val="nil"/>
              <w:bottom w:val="single" w:sz="4" w:space="0" w:color="293F5B"/>
              <w:right w:val="nil"/>
            </w:tcBorders>
            <w:hideMark/>
          </w:tcPr>
          <w:p w14:paraId="3E9F01FE" w14:textId="77777777" w:rsidR="00AA5A3F" w:rsidRPr="00880FAB" w:rsidRDefault="00AA5A3F" w:rsidP="00AA5A3F">
            <w:pPr>
              <w:spacing w:before="0" w:after="0" w:line="240" w:lineRule="auto"/>
              <w:rPr>
                <w:rFonts w:ascii="Arial" w:hAnsi="Arial" w:cs="Arial"/>
                <w:color w:val="000000"/>
                <w:sz w:val="16"/>
                <w:szCs w:val="16"/>
              </w:rPr>
            </w:pPr>
            <w:r w:rsidRPr="00880FAB">
              <w:rPr>
                <w:rFonts w:ascii="Arial" w:hAnsi="Arial" w:cs="Arial"/>
                <w:color w:val="000000"/>
                <w:sz w:val="16"/>
                <w:szCs w:val="16"/>
              </w:rPr>
              <w:t>Telstra </w:t>
            </w:r>
          </w:p>
        </w:tc>
        <w:tc>
          <w:tcPr>
            <w:tcW w:w="1576" w:type="dxa"/>
            <w:tcBorders>
              <w:top w:val="nil"/>
              <w:left w:val="nil"/>
              <w:bottom w:val="single" w:sz="4" w:space="0" w:color="293F5B"/>
              <w:right w:val="nil"/>
            </w:tcBorders>
            <w:hideMark/>
          </w:tcPr>
          <w:p w14:paraId="1AB98CCA" w14:textId="77777777" w:rsidR="00D93A4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Commercial</w:t>
            </w:r>
            <w:r w:rsidRPr="00880FAB">
              <w:rPr>
                <w:rFonts w:ascii="Arial" w:hAnsi="Arial" w:cs="Arial"/>
                <w:color w:val="000000"/>
                <w:sz w:val="16"/>
                <w:szCs w:val="16"/>
              </w:rPr>
              <w:noBreakHyphen/>
              <w:t>in</w:t>
            </w:r>
            <w:r w:rsidRPr="00880FAB">
              <w:rPr>
                <w:rFonts w:ascii="Arial" w:hAnsi="Arial" w:cs="Arial"/>
                <w:color w:val="000000"/>
                <w:sz w:val="16"/>
                <w:szCs w:val="16"/>
              </w:rPr>
              <w:noBreakHyphen/>
            </w:r>
          </w:p>
          <w:p w14:paraId="751C438C" w14:textId="3710CDF2"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confidence</w:t>
            </w:r>
          </w:p>
        </w:tc>
        <w:tc>
          <w:tcPr>
            <w:tcW w:w="1070" w:type="dxa"/>
            <w:gridSpan w:val="2"/>
            <w:tcBorders>
              <w:top w:val="nil"/>
              <w:left w:val="nil"/>
              <w:bottom w:val="single" w:sz="4" w:space="0" w:color="293F5B"/>
              <w:right w:val="nil"/>
            </w:tcBorders>
            <w:hideMark/>
          </w:tcPr>
          <w:p w14:paraId="58583D61" w14:textId="77777777" w:rsidR="00AA5A3F" w:rsidRPr="00880FAB" w:rsidRDefault="00AA5A3F" w:rsidP="00CF5F47">
            <w:pPr>
              <w:spacing w:before="0" w:after="0" w:line="240" w:lineRule="auto"/>
              <w:ind w:left="40"/>
              <w:rPr>
                <w:rFonts w:ascii="Arial" w:hAnsi="Arial" w:cs="Arial"/>
                <w:color w:val="000000"/>
                <w:sz w:val="16"/>
                <w:szCs w:val="16"/>
              </w:rPr>
            </w:pPr>
            <w:r w:rsidRPr="00880FAB">
              <w:rPr>
                <w:rFonts w:ascii="Arial" w:hAnsi="Arial" w:cs="Arial"/>
                <w:color w:val="000000"/>
                <w:sz w:val="16"/>
                <w:szCs w:val="16"/>
              </w:rPr>
              <w:t>Various</w:t>
            </w:r>
          </w:p>
        </w:tc>
        <w:tc>
          <w:tcPr>
            <w:tcW w:w="1158" w:type="dxa"/>
            <w:gridSpan w:val="2"/>
            <w:tcBorders>
              <w:top w:val="nil"/>
              <w:left w:val="nil"/>
              <w:bottom w:val="single" w:sz="4" w:space="0" w:color="293F5B"/>
              <w:right w:val="nil"/>
            </w:tcBorders>
            <w:hideMark/>
          </w:tcPr>
          <w:p w14:paraId="4C37A541"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Unchanged</w:t>
            </w:r>
          </w:p>
        </w:tc>
      </w:tr>
      <w:tr w:rsidR="00673DF7" w:rsidRPr="00880FAB" w14:paraId="7F62DD15" w14:textId="77777777" w:rsidTr="002E603A">
        <w:trPr>
          <w:trHeight w:hRule="exact" w:val="225"/>
        </w:trPr>
        <w:tc>
          <w:tcPr>
            <w:tcW w:w="3441" w:type="dxa"/>
            <w:tcBorders>
              <w:top w:val="nil"/>
              <w:left w:val="nil"/>
              <w:bottom w:val="single" w:sz="4" w:space="0" w:color="293F5B"/>
              <w:right w:val="nil"/>
            </w:tcBorders>
            <w:shd w:val="clear" w:color="000000" w:fill="E6F2FF"/>
            <w:vAlign w:val="center"/>
            <w:hideMark/>
          </w:tcPr>
          <w:p w14:paraId="533347D7" w14:textId="77777777" w:rsidR="00AA5A3F" w:rsidRPr="00880FAB" w:rsidRDefault="00AA5A3F" w:rsidP="00AA5A3F">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Industry, Science and Resources</w:t>
            </w:r>
          </w:p>
        </w:tc>
        <w:tc>
          <w:tcPr>
            <w:tcW w:w="1862" w:type="dxa"/>
            <w:tcBorders>
              <w:top w:val="nil"/>
              <w:left w:val="nil"/>
              <w:bottom w:val="single" w:sz="4" w:space="0" w:color="293F5B"/>
              <w:right w:val="nil"/>
            </w:tcBorders>
            <w:shd w:val="clear" w:color="000000" w:fill="E6F2FF"/>
            <w:vAlign w:val="center"/>
            <w:hideMark/>
          </w:tcPr>
          <w:p w14:paraId="7157DC1E" w14:textId="77777777" w:rsidR="00AA5A3F" w:rsidRPr="00880FAB" w:rsidRDefault="00AA5A3F" w:rsidP="00AA5A3F">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237" w:type="dxa"/>
            <w:tcBorders>
              <w:top w:val="nil"/>
              <w:left w:val="nil"/>
              <w:bottom w:val="single" w:sz="4" w:space="0" w:color="293F5B"/>
              <w:right w:val="nil"/>
            </w:tcBorders>
            <w:shd w:val="clear" w:color="000000" w:fill="E6F2FF"/>
            <w:vAlign w:val="center"/>
            <w:hideMark/>
          </w:tcPr>
          <w:p w14:paraId="52A46302" w14:textId="77777777" w:rsidR="00AA5A3F" w:rsidRPr="00880FAB" w:rsidRDefault="00AA5A3F" w:rsidP="00AA5A3F">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2195" w:type="dxa"/>
            <w:tcBorders>
              <w:top w:val="nil"/>
              <w:left w:val="nil"/>
              <w:bottom w:val="single" w:sz="4" w:space="0" w:color="293F5B"/>
              <w:right w:val="nil"/>
            </w:tcBorders>
            <w:shd w:val="clear" w:color="000000" w:fill="E6F2FF"/>
            <w:vAlign w:val="center"/>
            <w:hideMark/>
          </w:tcPr>
          <w:p w14:paraId="0777242A" w14:textId="77777777" w:rsidR="00AA5A3F" w:rsidRPr="00880FAB" w:rsidRDefault="00AA5A3F" w:rsidP="00AA5A3F">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1576" w:type="dxa"/>
            <w:tcBorders>
              <w:top w:val="nil"/>
              <w:left w:val="nil"/>
              <w:bottom w:val="single" w:sz="4" w:space="0" w:color="293F5B"/>
              <w:right w:val="nil"/>
            </w:tcBorders>
            <w:shd w:val="clear" w:color="000000" w:fill="E6F2FF"/>
            <w:vAlign w:val="center"/>
            <w:hideMark/>
          </w:tcPr>
          <w:p w14:paraId="00B309F9" w14:textId="77777777" w:rsidR="00AA5A3F" w:rsidRPr="00880FAB" w:rsidRDefault="00AA5A3F" w:rsidP="00AA5A3F">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1070" w:type="dxa"/>
            <w:gridSpan w:val="2"/>
            <w:tcBorders>
              <w:top w:val="nil"/>
              <w:left w:val="nil"/>
              <w:bottom w:val="single" w:sz="4" w:space="0" w:color="293F5B"/>
              <w:right w:val="nil"/>
            </w:tcBorders>
            <w:shd w:val="clear" w:color="000000" w:fill="E6F2FF"/>
            <w:vAlign w:val="center"/>
            <w:hideMark/>
          </w:tcPr>
          <w:p w14:paraId="6F923719" w14:textId="77777777" w:rsidR="00AA5A3F" w:rsidRPr="00880FAB" w:rsidRDefault="00AA5A3F" w:rsidP="00CF5F47">
            <w:pPr>
              <w:spacing w:before="0" w:after="0" w:line="240" w:lineRule="auto"/>
              <w:ind w:left="40"/>
              <w:rPr>
                <w:rFonts w:ascii="Arial" w:hAnsi="Arial" w:cs="Arial"/>
                <w:b/>
                <w:bCs/>
                <w:color w:val="000000"/>
                <w:sz w:val="16"/>
                <w:szCs w:val="16"/>
              </w:rPr>
            </w:pPr>
            <w:r w:rsidRPr="00880FAB">
              <w:rPr>
                <w:rFonts w:ascii="Arial" w:hAnsi="Arial" w:cs="Arial"/>
                <w:b/>
                <w:bCs/>
                <w:color w:val="000000"/>
                <w:sz w:val="16"/>
                <w:szCs w:val="16"/>
              </w:rPr>
              <w:t> </w:t>
            </w:r>
          </w:p>
        </w:tc>
        <w:tc>
          <w:tcPr>
            <w:tcW w:w="1158" w:type="dxa"/>
            <w:gridSpan w:val="2"/>
            <w:tcBorders>
              <w:top w:val="nil"/>
              <w:left w:val="nil"/>
              <w:bottom w:val="single" w:sz="4" w:space="0" w:color="293F5B"/>
              <w:right w:val="nil"/>
            </w:tcBorders>
            <w:shd w:val="clear" w:color="000000" w:fill="E6F2FF"/>
            <w:vAlign w:val="center"/>
            <w:hideMark/>
          </w:tcPr>
          <w:p w14:paraId="5758A947" w14:textId="77777777" w:rsidR="00AA5A3F" w:rsidRPr="00880FAB" w:rsidRDefault="00AA5A3F" w:rsidP="00AA5A3F">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673DF7" w:rsidRPr="00880FAB" w14:paraId="57EB8F44" w14:textId="77777777" w:rsidTr="002E603A">
        <w:trPr>
          <w:trHeight w:hRule="exact" w:val="225"/>
        </w:trPr>
        <w:tc>
          <w:tcPr>
            <w:tcW w:w="3441" w:type="dxa"/>
            <w:tcBorders>
              <w:top w:val="nil"/>
              <w:left w:val="nil"/>
              <w:bottom w:val="single" w:sz="4" w:space="0" w:color="293F5B"/>
              <w:right w:val="nil"/>
            </w:tcBorders>
            <w:hideMark/>
          </w:tcPr>
          <w:p w14:paraId="0EC87C19"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National Reconstruction Fund Corporation</w:t>
            </w:r>
          </w:p>
        </w:tc>
        <w:tc>
          <w:tcPr>
            <w:tcW w:w="1862" w:type="dxa"/>
            <w:tcBorders>
              <w:top w:val="nil"/>
              <w:left w:val="nil"/>
              <w:bottom w:val="single" w:sz="4" w:space="0" w:color="293F5B"/>
              <w:right w:val="nil"/>
            </w:tcBorders>
            <w:hideMark/>
          </w:tcPr>
          <w:p w14:paraId="3C4D7C29" w14:textId="77777777" w:rsidR="00AA5A3F" w:rsidRPr="00880FAB" w:rsidRDefault="00AA5A3F" w:rsidP="00AA5A3F">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1,250</w:t>
            </w:r>
          </w:p>
        </w:tc>
        <w:tc>
          <w:tcPr>
            <w:tcW w:w="237" w:type="dxa"/>
            <w:tcBorders>
              <w:top w:val="nil"/>
              <w:left w:val="nil"/>
              <w:bottom w:val="single" w:sz="4" w:space="0" w:color="293F5B"/>
              <w:right w:val="nil"/>
            </w:tcBorders>
            <w:hideMark/>
          </w:tcPr>
          <w:p w14:paraId="03A109C3" w14:textId="77777777" w:rsidR="00AA5A3F" w:rsidRPr="00880FAB" w:rsidRDefault="00AA5A3F" w:rsidP="00AA5A3F">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2195" w:type="dxa"/>
            <w:tcBorders>
              <w:top w:val="nil"/>
              <w:left w:val="nil"/>
              <w:bottom w:val="single" w:sz="4" w:space="0" w:color="293F5B"/>
              <w:right w:val="nil"/>
            </w:tcBorders>
            <w:hideMark/>
          </w:tcPr>
          <w:p w14:paraId="540041A6" w14:textId="77777777" w:rsidR="00AA5A3F" w:rsidRPr="00880FAB" w:rsidRDefault="00AA5A3F" w:rsidP="00AA5A3F">
            <w:pPr>
              <w:spacing w:before="0" w:after="0" w:line="240" w:lineRule="auto"/>
              <w:rPr>
                <w:rFonts w:ascii="Arial" w:hAnsi="Arial" w:cs="Arial"/>
                <w:color w:val="000000"/>
                <w:sz w:val="16"/>
                <w:szCs w:val="16"/>
              </w:rPr>
            </w:pPr>
            <w:r w:rsidRPr="00880FAB">
              <w:rPr>
                <w:rFonts w:ascii="Arial" w:hAnsi="Arial" w:cs="Arial"/>
                <w:color w:val="000000"/>
                <w:sz w:val="16"/>
                <w:szCs w:val="16"/>
              </w:rPr>
              <w:t>Various</w:t>
            </w:r>
          </w:p>
        </w:tc>
        <w:tc>
          <w:tcPr>
            <w:tcW w:w="1576" w:type="dxa"/>
            <w:tcBorders>
              <w:top w:val="nil"/>
              <w:left w:val="nil"/>
              <w:bottom w:val="single" w:sz="4" w:space="0" w:color="293F5B"/>
              <w:right w:val="nil"/>
            </w:tcBorders>
            <w:hideMark/>
          </w:tcPr>
          <w:p w14:paraId="28E365E8"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Various</w:t>
            </w:r>
          </w:p>
        </w:tc>
        <w:tc>
          <w:tcPr>
            <w:tcW w:w="1070" w:type="dxa"/>
            <w:gridSpan w:val="2"/>
            <w:tcBorders>
              <w:top w:val="nil"/>
              <w:left w:val="nil"/>
              <w:bottom w:val="single" w:sz="4" w:space="0" w:color="293F5B"/>
              <w:right w:val="nil"/>
            </w:tcBorders>
            <w:hideMark/>
          </w:tcPr>
          <w:p w14:paraId="36C93EA3" w14:textId="77777777" w:rsidR="00AA5A3F" w:rsidRPr="00880FAB" w:rsidRDefault="00AA5A3F" w:rsidP="00CF5F47">
            <w:pPr>
              <w:spacing w:before="0" w:after="0" w:line="240" w:lineRule="auto"/>
              <w:ind w:left="40"/>
              <w:rPr>
                <w:rFonts w:ascii="Arial" w:hAnsi="Arial" w:cs="Arial"/>
                <w:color w:val="000000"/>
                <w:sz w:val="16"/>
                <w:szCs w:val="16"/>
              </w:rPr>
            </w:pPr>
            <w:r w:rsidRPr="00880FAB">
              <w:rPr>
                <w:rFonts w:ascii="Arial" w:hAnsi="Arial" w:cs="Arial"/>
                <w:color w:val="000000"/>
                <w:sz w:val="16"/>
                <w:szCs w:val="16"/>
              </w:rPr>
              <w:t>Various</w:t>
            </w:r>
          </w:p>
        </w:tc>
        <w:tc>
          <w:tcPr>
            <w:tcW w:w="1158" w:type="dxa"/>
            <w:gridSpan w:val="2"/>
            <w:tcBorders>
              <w:top w:val="nil"/>
              <w:left w:val="nil"/>
              <w:bottom w:val="single" w:sz="4" w:space="0" w:color="293F5B"/>
              <w:right w:val="nil"/>
            </w:tcBorders>
            <w:hideMark/>
          </w:tcPr>
          <w:p w14:paraId="6174C662"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Unchanged</w:t>
            </w:r>
          </w:p>
        </w:tc>
      </w:tr>
      <w:tr w:rsidR="00673DF7" w:rsidRPr="00880FAB" w14:paraId="6870A65E" w14:textId="77777777" w:rsidTr="002E603A">
        <w:trPr>
          <w:trHeight w:hRule="exact" w:val="225"/>
        </w:trPr>
        <w:tc>
          <w:tcPr>
            <w:tcW w:w="3441" w:type="dxa"/>
            <w:tcBorders>
              <w:top w:val="nil"/>
              <w:left w:val="nil"/>
              <w:bottom w:val="single" w:sz="4" w:space="0" w:color="293F5B"/>
              <w:right w:val="nil"/>
            </w:tcBorders>
            <w:shd w:val="clear" w:color="000000" w:fill="E6F2FF"/>
            <w:vAlign w:val="center"/>
            <w:hideMark/>
          </w:tcPr>
          <w:p w14:paraId="02E4129A" w14:textId="77777777" w:rsidR="00AA5A3F" w:rsidRPr="00880FAB" w:rsidRDefault="00AA5A3F" w:rsidP="00AA5A3F">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Infrastructure, Transport, Regional Development, Communications, Sport and the Arts</w:t>
            </w:r>
          </w:p>
        </w:tc>
        <w:tc>
          <w:tcPr>
            <w:tcW w:w="1862" w:type="dxa"/>
            <w:tcBorders>
              <w:top w:val="nil"/>
              <w:left w:val="nil"/>
              <w:bottom w:val="single" w:sz="4" w:space="0" w:color="293F5B"/>
              <w:right w:val="nil"/>
            </w:tcBorders>
            <w:shd w:val="clear" w:color="000000" w:fill="E6F2FF"/>
            <w:vAlign w:val="center"/>
            <w:hideMark/>
          </w:tcPr>
          <w:p w14:paraId="02AA4AD5" w14:textId="77777777" w:rsidR="00AA5A3F" w:rsidRPr="00880FAB" w:rsidRDefault="00AA5A3F" w:rsidP="00AA5A3F">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237" w:type="dxa"/>
            <w:tcBorders>
              <w:top w:val="nil"/>
              <w:left w:val="nil"/>
              <w:bottom w:val="single" w:sz="4" w:space="0" w:color="293F5B"/>
              <w:right w:val="nil"/>
            </w:tcBorders>
            <w:shd w:val="clear" w:color="000000" w:fill="E6F2FF"/>
            <w:vAlign w:val="center"/>
            <w:hideMark/>
          </w:tcPr>
          <w:p w14:paraId="5A05794A" w14:textId="77777777" w:rsidR="00AA5A3F" w:rsidRPr="00880FAB" w:rsidRDefault="00AA5A3F" w:rsidP="00AA5A3F">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2195" w:type="dxa"/>
            <w:tcBorders>
              <w:top w:val="nil"/>
              <w:left w:val="nil"/>
              <w:bottom w:val="single" w:sz="4" w:space="0" w:color="293F5B"/>
              <w:right w:val="nil"/>
            </w:tcBorders>
            <w:shd w:val="clear" w:color="000000" w:fill="E6F2FF"/>
            <w:vAlign w:val="center"/>
            <w:hideMark/>
          </w:tcPr>
          <w:p w14:paraId="1F0AE74B" w14:textId="77777777" w:rsidR="00AA5A3F" w:rsidRPr="00880FAB" w:rsidRDefault="00AA5A3F" w:rsidP="00AA5A3F">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1576" w:type="dxa"/>
            <w:tcBorders>
              <w:top w:val="nil"/>
              <w:left w:val="nil"/>
              <w:bottom w:val="single" w:sz="4" w:space="0" w:color="293F5B"/>
              <w:right w:val="nil"/>
            </w:tcBorders>
            <w:shd w:val="clear" w:color="000000" w:fill="E6F2FF"/>
            <w:vAlign w:val="center"/>
            <w:hideMark/>
          </w:tcPr>
          <w:p w14:paraId="0057EB29" w14:textId="77777777" w:rsidR="00AA5A3F" w:rsidRPr="00880FAB" w:rsidRDefault="00AA5A3F" w:rsidP="00AA5A3F">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1070" w:type="dxa"/>
            <w:gridSpan w:val="2"/>
            <w:tcBorders>
              <w:top w:val="nil"/>
              <w:left w:val="nil"/>
              <w:bottom w:val="single" w:sz="4" w:space="0" w:color="293F5B"/>
              <w:right w:val="nil"/>
            </w:tcBorders>
            <w:shd w:val="clear" w:color="000000" w:fill="E6F2FF"/>
            <w:vAlign w:val="center"/>
            <w:hideMark/>
          </w:tcPr>
          <w:p w14:paraId="47E53F3D" w14:textId="77777777" w:rsidR="00AA5A3F" w:rsidRPr="00880FAB" w:rsidRDefault="00AA5A3F" w:rsidP="00CF5F47">
            <w:pPr>
              <w:spacing w:before="0" w:after="0" w:line="240" w:lineRule="auto"/>
              <w:ind w:left="40"/>
              <w:rPr>
                <w:rFonts w:ascii="Arial" w:hAnsi="Arial" w:cs="Arial"/>
                <w:b/>
                <w:bCs/>
                <w:color w:val="000000"/>
                <w:sz w:val="16"/>
                <w:szCs w:val="16"/>
              </w:rPr>
            </w:pPr>
            <w:r w:rsidRPr="00880FAB">
              <w:rPr>
                <w:rFonts w:ascii="Arial" w:hAnsi="Arial" w:cs="Arial"/>
                <w:b/>
                <w:bCs/>
                <w:color w:val="000000"/>
                <w:sz w:val="16"/>
                <w:szCs w:val="16"/>
              </w:rPr>
              <w:t> </w:t>
            </w:r>
          </w:p>
        </w:tc>
        <w:tc>
          <w:tcPr>
            <w:tcW w:w="1158" w:type="dxa"/>
            <w:gridSpan w:val="2"/>
            <w:tcBorders>
              <w:top w:val="nil"/>
              <w:left w:val="nil"/>
              <w:bottom w:val="single" w:sz="4" w:space="0" w:color="293F5B"/>
              <w:right w:val="nil"/>
            </w:tcBorders>
            <w:shd w:val="clear" w:color="000000" w:fill="E6F2FF"/>
            <w:vAlign w:val="center"/>
            <w:hideMark/>
          </w:tcPr>
          <w:p w14:paraId="40B7DB9B" w14:textId="77777777" w:rsidR="00AA5A3F" w:rsidRPr="00880FAB" w:rsidRDefault="00AA5A3F" w:rsidP="00AA5A3F">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r>
      <w:tr w:rsidR="00673DF7" w:rsidRPr="00880FAB" w14:paraId="16FDBFDF" w14:textId="77777777" w:rsidTr="002E603A">
        <w:trPr>
          <w:trHeight w:hRule="exact" w:val="2250"/>
        </w:trPr>
        <w:tc>
          <w:tcPr>
            <w:tcW w:w="3441" w:type="dxa"/>
            <w:tcBorders>
              <w:top w:val="nil"/>
              <w:left w:val="nil"/>
              <w:bottom w:val="single" w:sz="4" w:space="0" w:color="293F5B"/>
              <w:right w:val="nil"/>
            </w:tcBorders>
            <w:hideMark/>
          </w:tcPr>
          <w:p w14:paraId="6F66456E"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Northern Australia Infrastructure Facility </w:t>
            </w:r>
          </w:p>
          <w:p w14:paraId="44AB54EA" w14:textId="2C19A89C"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Loans</w:t>
            </w:r>
          </w:p>
        </w:tc>
        <w:tc>
          <w:tcPr>
            <w:tcW w:w="1862" w:type="dxa"/>
            <w:tcBorders>
              <w:top w:val="nil"/>
              <w:left w:val="nil"/>
              <w:bottom w:val="single" w:sz="4" w:space="0" w:color="293F5B"/>
              <w:right w:val="nil"/>
            </w:tcBorders>
            <w:hideMark/>
          </w:tcPr>
          <w:p w14:paraId="7BE57D01" w14:textId="77777777" w:rsidR="00AA5A3F" w:rsidRPr="00880FAB" w:rsidRDefault="00AA5A3F" w:rsidP="00AA5A3F">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1,917</w:t>
            </w:r>
          </w:p>
        </w:tc>
        <w:tc>
          <w:tcPr>
            <w:tcW w:w="237" w:type="dxa"/>
            <w:tcBorders>
              <w:top w:val="nil"/>
              <w:left w:val="nil"/>
              <w:bottom w:val="single" w:sz="4" w:space="0" w:color="293F5B"/>
              <w:right w:val="nil"/>
            </w:tcBorders>
            <w:hideMark/>
          </w:tcPr>
          <w:p w14:paraId="2DF99410" w14:textId="77777777" w:rsidR="00AA5A3F" w:rsidRPr="00880FAB" w:rsidRDefault="00AA5A3F" w:rsidP="00AA5A3F">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2195" w:type="dxa"/>
            <w:tcBorders>
              <w:top w:val="nil"/>
              <w:left w:val="nil"/>
              <w:bottom w:val="single" w:sz="4" w:space="0" w:color="293F5B"/>
              <w:right w:val="nil"/>
            </w:tcBorders>
            <w:hideMark/>
          </w:tcPr>
          <w:p w14:paraId="5AB1F7A9" w14:textId="77777777" w:rsidR="00AA5A3F" w:rsidRPr="00880FAB" w:rsidRDefault="00AA5A3F" w:rsidP="00AA5A3F">
            <w:pPr>
              <w:spacing w:before="0" w:after="0" w:line="240" w:lineRule="auto"/>
              <w:rPr>
                <w:rFonts w:ascii="Arial" w:hAnsi="Arial" w:cs="Arial"/>
                <w:color w:val="000000"/>
                <w:sz w:val="16"/>
                <w:szCs w:val="16"/>
              </w:rPr>
            </w:pPr>
            <w:r w:rsidRPr="00880FAB">
              <w:rPr>
                <w:rFonts w:ascii="Arial" w:hAnsi="Arial" w:cs="Arial"/>
                <w:color w:val="000000"/>
                <w:sz w:val="16"/>
                <w:szCs w:val="16"/>
              </w:rPr>
              <w:t>Northern Australia jurisdictions (Western Australia, Queensland or the Northern Territory) for on</w:t>
            </w:r>
            <w:r w:rsidRPr="00880FAB">
              <w:rPr>
                <w:rFonts w:ascii="Arial" w:hAnsi="Arial" w:cs="Arial"/>
                <w:color w:val="000000"/>
                <w:sz w:val="16"/>
                <w:szCs w:val="16"/>
              </w:rPr>
              <w:noBreakHyphen/>
              <w:t>lending to project proponents. The NAIF Investment Mandate Direction 2023 additionally allows for provision of financial assistance directly to other entities</w:t>
            </w:r>
            <w:r w:rsidRPr="00880FAB">
              <w:rPr>
                <w:rFonts w:ascii="Arial" w:hAnsi="Arial" w:cs="Arial"/>
                <w:color w:val="000000"/>
                <w:sz w:val="16"/>
                <w:szCs w:val="16"/>
              </w:rPr>
              <w:br/>
              <w:t> </w:t>
            </w:r>
          </w:p>
        </w:tc>
        <w:tc>
          <w:tcPr>
            <w:tcW w:w="1576" w:type="dxa"/>
            <w:tcBorders>
              <w:top w:val="nil"/>
              <w:left w:val="nil"/>
              <w:bottom w:val="single" w:sz="4" w:space="0" w:color="293F5B"/>
              <w:right w:val="nil"/>
            </w:tcBorders>
            <w:hideMark/>
          </w:tcPr>
          <w:p w14:paraId="78770407"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Various </w:t>
            </w:r>
          </w:p>
        </w:tc>
        <w:tc>
          <w:tcPr>
            <w:tcW w:w="1070" w:type="dxa"/>
            <w:gridSpan w:val="2"/>
            <w:tcBorders>
              <w:top w:val="nil"/>
              <w:left w:val="nil"/>
              <w:bottom w:val="single" w:sz="4" w:space="0" w:color="293F5B"/>
              <w:right w:val="nil"/>
            </w:tcBorders>
            <w:hideMark/>
          </w:tcPr>
          <w:p w14:paraId="08E2877E" w14:textId="77777777" w:rsidR="00AA5A3F" w:rsidRPr="00880FAB" w:rsidRDefault="00AA5A3F" w:rsidP="00CF5F47">
            <w:pPr>
              <w:spacing w:before="0" w:after="0" w:line="240" w:lineRule="auto"/>
              <w:ind w:left="40"/>
              <w:rPr>
                <w:rFonts w:ascii="Arial" w:hAnsi="Arial" w:cs="Arial"/>
                <w:color w:val="000000"/>
                <w:sz w:val="16"/>
                <w:szCs w:val="16"/>
              </w:rPr>
            </w:pPr>
            <w:r w:rsidRPr="00880FAB">
              <w:rPr>
                <w:rFonts w:ascii="Arial" w:hAnsi="Arial" w:cs="Arial"/>
                <w:color w:val="000000"/>
                <w:sz w:val="16"/>
                <w:szCs w:val="16"/>
              </w:rPr>
              <w:t>Various </w:t>
            </w:r>
          </w:p>
        </w:tc>
        <w:tc>
          <w:tcPr>
            <w:tcW w:w="1158" w:type="dxa"/>
            <w:gridSpan w:val="2"/>
            <w:tcBorders>
              <w:top w:val="nil"/>
              <w:left w:val="nil"/>
              <w:bottom w:val="single" w:sz="4" w:space="0" w:color="293F5B"/>
              <w:right w:val="nil"/>
            </w:tcBorders>
            <w:hideMark/>
          </w:tcPr>
          <w:p w14:paraId="7574A57E"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Unchanged</w:t>
            </w:r>
          </w:p>
        </w:tc>
      </w:tr>
      <w:tr w:rsidR="00673DF7" w:rsidRPr="00880FAB" w14:paraId="68107D34" w14:textId="77777777" w:rsidTr="002E603A">
        <w:trPr>
          <w:trHeight w:hRule="exact" w:val="675"/>
        </w:trPr>
        <w:tc>
          <w:tcPr>
            <w:tcW w:w="3441" w:type="dxa"/>
            <w:tcBorders>
              <w:top w:val="nil"/>
              <w:left w:val="nil"/>
              <w:bottom w:val="single" w:sz="4" w:space="0" w:color="293F5B"/>
              <w:right w:val="nil"/>
            </w:tcBorders>
            <w:hideMark/>
          </w:tcPr>
          <w:p w14:paraId="1FB69379"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Rex Airlines</w:t>
            </w:r>
          </w:p>
        </w:tc>
        <w:tc>
          <w:tcPr>
            <w:tcW w:w="1862" w:type="dxa"/>
            <w:tcBorders>
              <w:top w:val="nil"/>
              <w:left w:val="nil"/>
              <w:bottom w:val="single" w:sz="4" w:space="0" w:color="293F5B"/>
              <w:right w:val="nil"/>
            </w:tcBorders>
            <w:hideMark/>
          </w:tcPr>
          <w:p w14:paraId="3A444B0B" w14:textId="77777777" w:rsidR="00AA5A3F" w:rsidRPr="00880FAB" w:rsidRDefault="00AA5A3F" w:rsidP="00AA5A3F">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168</w:t>
            </w:r>
          </w:p>
        </w:tc>
        <w:tc>
          <w:tcPr>
            <w:tcW w:w="237" w:type="dxa"/>
            <w:tcBorders>
              <w:top w:val="nil"/>
              <w:left w:val="nil"/>
              <w:bottom w:val="single" w:sz="4" w:space="0" w:color="293F5B"/>
              <w:right w:val="nil"/>
            </w:tcBorders>
            <w:hideMark/>
          </w:tcPr>
          <w:p w14:paraId="68FFC6C6" w14:textId="77777777" w:rsidR="00AA5A3F" w:rsidRPr="00880FAB" w:rsidRDefault="00AA5A3F" w:rsidP="00AA5A3F">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2195" w:type="dxa"/>
            <w:tcBorders>
              <w:top w:val="nil"/>
              <w:left w:val="nil"/>
              <w:bottom w:val="single" w:sz="4" w:space="0" w:color="293F5B"/>
              <w:right w:val="nil"/>
            </w:tcBorders>
            <w:hideMark/>
          </w:tcPr>
          <w:p w14:paraId="37799BB5" w14:textId="77777777" w:rsidR="00AA5A3F" w:rsidRPr="00880FAB" w:rsidRDefault="00AA5A3F" w:rsidP="00AA5A3F">
            <w:pPr>
              <w:spacing w:before="0" w:after="0" w:line="240" w:lineRule="auto"/>
              <w:rPr>
                <w:rFonts w:ascii="Arial" w:hAnsi="Arial" w:cs="Arial"/>
                <w:color w:val="000000"/>
                <w:sz w:val="16"/>
                <w:szCs w:val="16"/>
              </w:rPr>
            </w:pPr>
            <w:r w:rsidRPr="00880FAB">
              <w:rPr>
                <w:rFonts w:ascii="Arial" w:hAnsi="Arial" w:cs="Arial"/>
                <w:color w:val="000000"/>
                <w:sz w:val="16"/>
                <w:szCs w:val="16"/>
              </w:rPr>
              <w:t>Regional Express Airlines</w:t>
            </w:r>
          </w:p>
        </w:tc>
        <w:tc>
          <w:tcPr>
            <w:tcW w:w="1576" w:type="dxa"/>
            <w:tcBorders>
              <w:top w:val="nil"/>
              <w:left w:val="nil"/>
              <w:bottom w:val="single" w:sz="4" w:space="0" w:color="293F5B"/>
              <w:right w:val="nil"/>
            </w:tcBorders>
            <w:hideMark/>
          </w:tcPr>
          <w:p w14:paraId="4F57394F" w14:textId="14285C04" w:rsidR="00AA5A3F" w:rsidRPr="00880FAB" w:rsidRDefault="00AA5A3F" w:rsidP="00704299">
            <w:pPr>
              <w:spacing w:before="0" w:after="0" w:line="240" w:lineRule="auto"/>
              <w:ind w:left="200"/>
              <w:rPr>
                <w:rFonts w:ascii="Arial" w:hAnsi="Arial" w:cs="Arial"/>
                <w:color w:val="000000"/>
                <w:sz w:val="16"/>
                <w:szCs w:val="16"/>
              </w:rPr>
            </w:pPr>
            <w:r w:rsidRPr="00880FAB">
              <w:rPr>
                <w:rFonts w:ascii="Arial" w:hAnsi="Arial" w:cs="Arial"/>
                <w:color w:val="000000"/>
                <w:sz w:val="16"/>
                <w:szCs w:val="16"/>
              </w:rPr>
              <w:t>Commercial</w:t>
            </w:r>
            <w:r w:rsidRPr="00880FAB">
              <w:rPr>
                <w:rFonts w:ascii="Arial" w:hAnsi="Arial" w:cs="Arial"/>
                <w:color w:val="000000"/>
                <w:sz w:val="16"/>
                <w:szCs w:val="16"/>
              </w:rPr>
              <w:noBreakHyphen/>
              <w:t>in</w:t>
            </w:r>
            <w:r w:rsidR="00704299" w:rsidRPr="00880FAB">
              <w:rPr>
                <w:rFonts w:ascii="Arial" w:hAnsi="Arial" w:cs="Arial"/>
                <w:color w:val="000000"/>
                <w:sz w:val="16"/>
                <w:szCs w:val="16"/>
              </w:rPr>
              <w:t>-</w:t>
            </w:r>
            <w:r w:rsidRPr="00880FAB">
              <w:rPr>
                <w:rFonts w:ascii="Arial" w:hAnsi="Arial" w:cs="Arial"/>
                <w:color w:val="000000"/>
                <w:sz w:val="16"/>
                <w:szCs w:val="16"/>
              </w:rPr>
              <w:t>confidence</w:t>
            </w:r>
          </w:p>
        </w:tc>
        <w:tc>
          <w:tcPr>
            <w:tcW w:w="1070" w:type="dxa"/>
            <w:gridSpan w:val="2"/>
            <w:tcBorders>
              <w:top w:val="nil"/>
              <w:left w:val="nil"/>
              <w:bottom w:val="single" w:sz="4" w:space="0" w:color="293F5B"/>
              <w:right w:val="nil"/>
            </w:tcBorders>
            <w:hideMark/>
          </w:tcPr>
          <w:p w14:paraId="603E5B45" w14:textId="77777777" w:rsidR="00AA5A3F" w:rsidRPr="00880FAB" w:rsidRDefault="00AA5A3F" w:rsidP="00CF5F47">
            <w:pPr>
              <w:spacing w:before="0" w:after="0" w:line="240" w:lineRule="auto"/>
              <w:ind w:left="40"/>
              <w:rPr>
                <w:rFonts w:ascii="Arial" w:hAnsi="Arial" w:cs="Arial"/>
                <w:color w:val="000000"/>
                <w:sz w:val="16"/>
                <w:szCs w:val="16"/>
              </w:rPr>
            </w:pPr>
            <w:r w:rsidRPr="00880FAB">
              <w:rPr>
                <w:rFonts w:ascii="Arial" w:hAnsi="Arial" w:cs="Arial"/>
                <w:color w:val="000000"/>
                <w:sz w:val="16"/>
                <w:szCs w:val="16"/>
              </w:rPr>
              <w:t>Various</w:t>
            </w:r>
          </w:p>
        </w:tc>
        <w:tc>
          <w:tcPr>
            <w:tcW w:w="1158" w:type="dxa"/>
            <w:gridSpan w:val="2"/>
            <w:tcBorders>
              <w:top w:val="nil"/>
              <w:left w:val="nil"/>
              <w:bottom w:val="single" w:sz="4" w:space="0" w:color="293F5B"/>
              <w:right w:val="nil"/>
            </w:tcBorders>
            <w:hideMark/>
          </w:tcPr>
          <w:p w14:paraId="53406285"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Removed</w:t>
            </w:r>
          </w:p>
        </w:tc>
      </w:tr>
      <w:tr w:rsidR="00673DF7" w:rsidRPr="00880FAB" w14:paraId="06124C9A" w14:textId="77777777" w:rsidTr="002E603A">
        <w:trPr>
          <w:trHeight w:hRule="exact" w:val="225"/>
        </w:trPr>
        <w:tc>
          <w:tcPr>
            <w:tcW w:w="3441" w:type="dxa"/>
            <w:tcBorders>
              <w:top w:val="nil"/>
              <w:left w:val="nil"/>
              <w:bottom w:val="single" w:sz="4" w:space="0" w:color="293F5B"/>
              <w:right w:val="nil"/>
            </w:tcBorders>
            <w:hideMark/>
          </w:tcPr>
          <w:p w14:paraId="5BA01B84"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WestConnex Stage 2 Concessional Loan</w:t>
            </w:r>
          </w:p>
        </w:tc>
        <w:tc>
          <w:tcPr>
            <w:tcW w:w="1862" w:type="dxa"/>
            <w:tcBorders>
              <w:top w:val="nil"/>
              <w:left w:val="nil"/>
              <w:bottom w:val="single" w:sz="4" w:space="0" w:color="293F5B"/>
              <w:right w:val="nil"/>
            </w:tcBorders>
            <w:hideMark/>
          </w:tcPr>
          <w:p w14:paraId="284C78D0" w14:textId="77777777" w:rsidR="00AA5A3F" w:rsidRPr="00880FAB" w:rsidRDefault="00AA5A3F" w:rsidP="00AA5A3F">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2,431</w:t>
            </w:r>
          </w:p>
        </w:tc>
        <w:tc>
          <w:tcPr>
            <w:tcW w:w="237" w:type="dxa"/>
            <w:tcBorders>
              <w:top w:val="nil"/>
              <w:left w:val="nil"/>
              <w:bottom w:val="single" w:sz="4" w:space="0" w:color="293F5B"/>
              <w:right w:val="nil"/>
            </w:tcBorders>
            <w:hideMark/>
          </w:tcPr>
          <w:p w14:paraId="18C37F95" w14:textId="77777777" w:rsidR="00AA5A3F" w:rsidRPr="00880FAB" w:rsidRDefault="00AA5A3F" w:rsidP="00AA5A3F">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2195" w:type="dxa"/>
            <w:tcBorders>
              <w:top w:val="nil"/>
              <w:left w:val="nil"/>
              <w:bottom w:val="single" w:sz="4" w:space="0" w:color="293F5B"/>
              <w:right w:val="nil"/>
            </w:tcBorders>
            <w:hideMark/>
          </w:tcPr>
          <w:p w14:paraId="1F023D90" w14:textId="77777777" w:rsidR="00AA5A3F" w:rsidRPr="00880FAB" w:rsidRDefault="00AA5A3F" w:rsidP="00AA5A3F">
            <w:pPr>
              <w:spacing w:before="0" w:after="0" w:line="240" w:lineRule="auto"/>
              <w:rPr>
                <w:rFonts w:ascii="Arial" w:hAnsi="Arial" w:cs="Arial"/>
                <w:color w:val="000000"/>
                <w:sz w:val="16"/>
                <w:szCs w:val="16"/>
              </w:rPr>
            </w:pPr>
            <w:r w:rsidRPr="00880FAB">
              <w:rPr>
                <w:rFonts w:ascii="Arial" w:hAnsi="Arial" w:cs="Arial"/>
                <w:color w:val="000000"/>
                <w:sz w:val="16"/>
                <w:szCs w:val="16"/>
              </w:rPr>
              <w:t>WCX M5 Finco Pty Ltd</w:t>
            </w:r>
          </w:p>
        </w:tc>
        <w:tc>
          <w:tcPr>
            <w:tcW w:w="1576" w:type="dxa"/>
            <w:tcBorders>
              <w:top w:val="nil"/>
              <w:left w:val="nil"/>
              <w:bottom w:val="single" w:sz="4" w:space="0" w:color="293F5B"/>
              <w:right w:val="nil"/>
            </w:tcBorders>
            <w:hideMark/>
          </w:tcPr>
          <w:p w14:paraId="34008D43"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3.36 per cent </w:t>
            </w:r>
          </w:p>
        </w:tc>
        <w:tc>
          <w:tcPr>
            <w:tcW w:w="1070" w:type="dxa"/>
            <w:gridSpan w:val="2"/>
            <w:tcBorders>
              <w:top w:val="nil"/>
              <w:left w:val="nil"/>
              <w:bottom w:val="single" w:sz="4" w:space="0" w:color="293F5B"/>
              <w:right w:val="nil"/>
            </w:tcBorders>
            <w:hideMark/>
          </w:tcPr>
          <w:p w14:paraId="143815EA" w14:textId="77777777" w:rsidR="00AA5A3F" w:rsidRPr="00880FAB" w:rsidRDefault="00AA5A3F" w:rsidP="00CF5F47">
            <w:pPr>
              <w:spacing w:before="0" w:after="0" w:line="240" w:lineRule="auto"/>
              <w:ind w:left="40"/>
              <w:rPr>
                <w:rFonts w:ascii="Arial" w:hAnsi="Arial" w:cs="Arial"/>
                <w:color w:val="000000"/>
                <w:sz w:val="16"/>
                <w:szCs w:val="16"/>
              </w:rPr>
            </w:pPr>
            <w:r w:rsidRPr="00880FAB">
              <w:rPr>
                <w:rFonts w:ascii="Arial" w:hAnsi="Arial" w:cs="Arial"/>
                <w:color w:val="000000"/>
                <w:sz w:val="16"/>
                <w:szCs w:val="16"/>
              </w:rPr>
              <w:t>19 years</w:t>
            </w:r>
          </w:p>
        </w:tc>
        <w:tc>
          <w:tcPr>
            <w:tcW w:w="1158" w:type="dxa"/>
            <w:gridSpan w:val="2"/>
            <w:tcBorders>
              <w:top w:val="nil"/>
              <w:left w:val="nil"/>
              <w:bottom w:val="single" w:sz="4" w:space="0" w:color="293F5B"/>
              <w:right w:val="nil"/>
            </w:tcBorders>
            <w:hideMark/>
          </w:tcPr>
          <w:p w14:paraId="46AD6BED" w14:textId="77777777" w:rsidR="00AA5A3F" w:rsidRPr="00880FAB" w:rsidRDefault="00AA5A3F" w:rsidP="00AA5A3F">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Unchanged</w:t>
            </w:r>
          </w:p>
        </w:tc>
      </w:tr>
    </w:tbl>
    <w:p w14:paraId="1937029A" w14:textId="77777777" w:rsidR="00947BA8" w:rsidRPr="00947BA8" w:rsidRDefault="00947BA8" w:rsidP="002874B1">
      <w:pPr>
        <w:pStyle w:val="SingleParagraph"/>
        <w:rPr>
          <w:rFonts w:eastAsia="Arial"/>
        </w:rPr>
      </w:pPr>
    </w:p>
    <w:p w14:paraId="2ADB683F" w14:textId="77777777" w:rsidR="00671894" w:rsidRDefault="00671894">
      <w:pPr>
        <w:spacing w:before="0" w:after="160" w:line="259" w:lineRule="auto"/>
        <w:rPr>
          <w:rFonts w:ascii="Arial Bold" w:eastAsia="Arial" w:hAnsi="Arial Bold"/>
          <w:b/>
          <w:sz w:val="20"/>
        </w:rPr>
      </w:pPr>
      <w:r>
        <w:rPr>
          <w:rFonts w:eastAsia="Arial"/>
        </w:rPr>
        <w:br w:type="page"/>
      </w:r>
    </w:p>
    <w:p w14:paraId="6ABD9264" w14:textId="77777777" w:rsidR="00673DF7" w:rsidRDefault="00817FC0" w:rsidP="00817FC0">
      <w:pPr>
        <w:pStyle w:val="TableHeadingcontinued"/>
        <w:rPr>
          <w:rFonts w:eastAsia="Arial"/>
        </w:rPr>
      </w:pPr>
      <w:r w:rsidRPr="00D12C6F">
        <w:rPr>
          <w:rFonts w:eastAsia="Arial"/>
        </w:rPr>
        <w:lastRenderedPageBreak/>
        <w:t xml:space="preserve">Table </w:t>
      </w:r>
      <w:r>
        <w:rPr>
          <w:rFonts w:eastAsia="Arial"/>
        </w:rPr>
        <w:t>9</w:t>
      </w:r>
      <w:r w:rsidRPr="00D12C6F">
        <w:rPr>
          <w:rFonts w:eastAsia="Arial"/>
        </w:rPr>
        <w:t>.3: Summary of Australian Government loans meeting the materiality threshold</w:t>
      </w:r>
      <w:r>
        <w:rPr>
          <w:rFonts w:eastAsia="Arial"/>
        </w:rPr>
        <w:t xml:space="preserve"> (continued)</w:t>
      </w:r>
    </w:p>
    <w:tbl>
      <w:tblPr>
        <w:tblW w:w="4952" w:type="pct"/>
        <w:tblCellMar>
          <w:left w:w="0" w:type="dxa"/>
          <w:right w:w="28" w:type="dxa"/>
        </w:tblCellMar>
        <w:tblLook w:val="04A0" w:firstRow="1" w:lastRow="0" w:firstColumn="1" w:lastColumn="0" w:noHBand="0" w:noVBand="1"/>
      </w:tblPr>
      <w:tblGrid>
        <w:gridCol w:w="3402"/>
        <w:gridCol w:w="1857"/>
        <w:gridCol w:w="236"/>
        <w:gridCol w:w="2075"/>
        <w:gridCol w:w="1511"/>
        <w:gridCol w:w="1202"/>
        <w:gridCol w:w="1145"/>
      </w:tblGrid>
      <w:tr w:rsidR="00673DF7" w:rsidRPr="00880FAB" w14:paraId="3E31C272" w14:textId="77777777" w:rsidTr="00673DF7">
        <w:trPr>
          <w:trHeight w:hRule="exact" w:val="225"/>
        </w:trPr>
        <w:tc>
          <w:tcPr>
            <w:tcW w:w="1488" w:type="pct"/>
            <w:tcBorders>
              <w:top w:val="single" w:sz="4" w:space="0" w:color="293F5B"/>
              <w:left w:val="nil"/>
              <w:bottom w:val="single" w:sz="4" w:space="0" w:color="293F5B"/>
              <w:right w:val="nil"/>
            </w:tcBorders>
            <w:shd w:val="clear" w:color="000000" w:fill="E6F2FF"/>
            <w:vAlign w:val="center"/>
            <w:hideMark/>
          </w:tcPr>
          <w:p w14:paraId="05A600D7" w14:textId="77777777" w:rsidR="00673DF7" w:rsidRPr="00880FAB" w:rsidRDefault="00673DF7" w:rsidP="00673DF7">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Portfolio</w:t>
            </w:r>
          </w:p>
        </w:tc>
        <w:tc>
          <w:tcPr>
            <w:tcW w:w="812" w:type="pct"/>
            <w:tcBorders>
              <w:top w:val="single" w:sz="4" w:space="0" w:color="293F5B"/>
              <w:left w:val="nil"/>
              <w:bottom w:val="nil"/>
              <w:right w:val="nil"/>
            </w:tcBorders>
            <w:shd w:val="clear" w:color="000000" w:fill="E6F2FF"/>
            <w:vAlign w:val="center"/>
            <w:hideMark/>
          </w:tcPr>
          <w:p w14:paraId="4C7AEAE8" w14:textId="77777777" w:rsidR="00673DF7" w:rsidRPr="00880FAB" w:rsidRDefault="00673DF7" w:rsidP="002E2DC5">
            <w:pPr>
              <w:spacing w:before="0" w:after="0" w:line="240" w:lineRule="auto"/>
              <w:ind w:firstLineChars="100" w:firstLine="161"/>
              <w:jc w:val="right"/>
              <w:rPr>
                <w:rFonts w:ascii="Arial" w:hAnsi="Arial" w:cs="Arial"/>
                <w:b/>
                <w:bCs/>
                <w:color w:val="000000"/>
                <w:sz w:val="16"/>
                <w:szCs w:val="16"/>
              </w:rPr>
            </w:pPr>
            <w:r w:rsidRPr="00880FAB">
              <w:rPr>
                <w:rFonts w:ascii="Arial" w:hAnsi="Arial" w:cs="Arial"/>
                <w:b/>
                <w:bCs/>
                <w:color w:val="000000"/>
                <w:sz w:val="16"/>
                <w:szCs w:val="16"/>
              </w:rPr>
              <w:t>Loan amount</w:t>
            </w:r>
            <w:r w:rsidRPr="00880FAB">
              <w:rPr>
                <w:rFonts w:ascii="Arial" w:hAnsi="Arial" w:cs="Arial"/>
                <w:b/>
                <w:bCs/>
                <w:color w:val="000000"/>
                <w:sz w:val="16"/>
                <w:szCs w:val="16"/>
                <w:vertAlign w:val="superscript"/>
              </w:rPr>
              <w:t>(a)</w:t>
            </w:r>
            <w:r w:rsidRPr="00880FAB">
              <w:rPr>
                <w:rFonts w:ascii="Arial" w:hAnsi="Arial" w:cs="Arial"/>
                <w:b/>
                <w:bCs/>
                <w:color w:val="000000"/>
                <w:sz w:val="16"/>
                <w:szCs w:val="16"/>
              </w:rPr>
              <w:t xml:space="preserve"> ($m)</w:t>
            </w:r>
          </w:p>
        </w:tc>
        <w:tc>
          <w:tcPr>
            <w:tcW w:w="103" w:type="pct"/>
            <w:tcBorders>
              <w:top w:val="single" w:sz="4" w:space="0" w:color="293F5B"/>
              <w:left w:val="nil"/>
              <w:bottom w:val="nil"/>
              <w:right w:val="nil"/>
            </w:tcBorders>
            <w:shd w:val="clear" w:color="000000" w:fill="E6F2FF"/>
            <w:vAlign w:val="center"/>
            <w:hideMark/>
          </w:tcPr>
          <w:p w14:paraId="2292A5F8" w14:textId="77777777" w:rsidR="00673DF7" w:rsidRPr="00880FAB" w:rsidRDefault="00673DF7" w:rsidP="00673DF7">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 </w:t>
            </w:r>
          </w:p>
        </w:tc>
        <w:tc>
          <w:tcPr>
            <w:tcW w:w="908" w:type="pct"/>
            <w:tcBorders>
              <w:top w:val="single" w:sz="4" w:space="0" w:color="293F5B"/>
              <w:left w:val="nil"/>
              <w:bottom w:val="nil"/>
              <w:right w:val="nil"/>
            </w:tcBorders>
            <w:shd w:val="clear" w:color="000000" w:fill="E6F2FF"/>
            <w:vAlign w:val="center"/>
            <w:hideMark/>
          </w:tcPr>
          <w:p w14:paraId="6EF5CCD8" w14:textId="77777777" w:rsidR="00673DF7" w:rsidRPr="00880FAB" w:rsidRDefault="00673DF7" w:rsidP="0061147F">
            <w:pPr>
              <w:spacing w:before="0" w:after="0" w:line="240" w:lineRule="auto"/>
              <w:ind w:left="173"/>
              <w:rPr>
                <w:rFonts w:ascii="Arial" w:hAnsi="Arial" w:cs="Arial"/>
                <w:b/>
                <w:bCs/>
                <w:color w:val="000000"/>
                <w:sz w:val="16"/>
                <w:szCs w:val="16"/>
              </w:rPr>
            </w:pPr>
            <w:r w:rsidRPr="00880FAB">
              <w:rPr>
                <w:rFonts w:ascii="Arial" w:hAnsi="Arial" w:cs="Arial"/>
                <w:b/>
                <w:bCs/>
                <w:color w:val="000000"/>
                <w:sz w:val="16"/>
                <w:szCs w:val="16"/>
              </w:rPr>
              <w:t>Borrower</w:t>
            </w:r>
          </w:p>
        </w:tc>
        <w:tc>
          <w:tcPr>
            <w:tcW w:w="661" w:type="pct"/>
            <w:tcBorders>
              <w:top w:val="single" w:sz="4" w:space="0" w:color="293F5B"/>
              <w:left w:val="nil"/>
              <w:bottom w:val="single" w:sz="4" w:space="0" w:color="293F5B"/>
              <w:right w:val="nil"/>
            </w:tcBorders>
            <w:shd w:val="clear" w:color="000000" w:fill="E6F2FF"/>
            <w:vAlign w:val="center"/>
            <w:hideMark/>
          </w:tcPr>
          <w:p w14:paraId="66C06BAF" w14:textId="77777777" w:rsidR="00673DF7" w:rsidRPr="00880FAB" w:rsidRDefault="00673DF7" w:rsidP="00673DF7">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Interest rate</w:t>
            </w:r>
          </w:p>
        </w:tc>
        <w:tc>
          <w:tcPr>
            <w:tcW w:w="526" w:type="pct"/>
            <w:tcBorders>
              <w:top w:val="single" w:sz="4" w:space="0" w:color="293F5B"/>
              <w:left w:val="nil"/>
              <w:bottom w:val="single" w:sz="4" w:space="0" w:color="293F5B"/>
              <w:right w:val="nil"/>
            </w:tcBorders>
            <w:shd w:val="clear" w:color="000000" w:fill="E6F2FF"/>
            <w:vAlign w:val="center"/>
            <w:hideMark/>
          </w:tcPr>
          <w:p w14:paraId="7EF00418" w14:textId="77777777" w:rsidR="00673DF7" w:rsidRPr="00880FAB" w:rsidRDefault="00673DF7" w:rsidP="00D6164E">
            <w:pPr>
              <w:spacing w:before="0" w:after="0" w:line="240" w:lineRule="auto"/>
              <w:ind w:leftChars="-3" w:left="-1" w:hangingChars="3" w:hanging="5"/>
              <w:rPr>
                <w:rFonts w:ascii="Arial" w:hAnsi="Arial" w:cs="Arial"/>
                <w:b/>
                <w:bCs/>
                <w:color w:val="000000"/>
                <w:sz w:val="16"/>
                <w:szCs w:val="16"/>
              </w:rPr>
            </w:pPr>
            <w:r w:rsidRPr="00880FAB">
              <w:rPr>
                <w:rFonts w:ascii="Arial" w:hAnsi="Arial" w:cs="Arial"/>
                <w:b/>
                <w:bCs/>
                <w:color w:val="000000"/>
                <w:sz w:val="16"/>
                <w:szCs w:val="16"/>
              </w:rPr>
              <w:t>Term</w:t>
            </w:r>
          </w:p>
        </w:tc>
        <w:tc>
          <w:tcPr>
            <w:tcW w:w="501" w:type="pct"/>
            <w:tcBorders>
              <w:top w:val="single" w:sz="4" w:space="0" w:color="293F5B"/>
              <w:left w:val="nil"/>
              <w:bottom w:val="nil"/>
              <w:right w:val="nil"/>
            </w:tcBorders>
            <w:shd w:val="clear" w:color="000000" w:fill="E6F2FF"/>
            <w:vAlign w:val="center"/>
            <w:hideMark/>
          </w:tcPr>
          <w:p w14:paraId="58D9FFA8" w14:textId="77777777" w:rsidR="00673DF7" w:rsidRPr="00880FAB" w:rsidRDefault="00673DF7" w:rsidP="0061147F">
            <w:pPr>
              <w:spacing w:before="0" w:after="0" w:line="240" w:lineRule="auto"/>
              <w:ind w:firstLineChars="42" w:firstLine="67"/>
              <w:rPr>
                <w:rFonts w:ascii="Arial" w:hAnsi="Arial" w:cs="Arial"/>
                <w:b/>
                <w:bCs/>
                <w:color w:val="000000"/>
                <w:sz w:val="16"/>
                <w:szCs w:val="16"/>
              </w:rPr>
            </w:pPr>
            <w:r w:rsidRPr="00880FAB">
              <w:rPr>
                <w:rFonts w:ascii="Arial" w:hAnsi="Arial" w:cs="Arial"/>
                <w:b/>
                <w:bCs/>
                <w:color w:val="000000"/>
                <w:sz w:val="16"/>
                <w:szCs w:val="16"/>
              </w:rPr>
              <w:t>Status</w:t>
            </w:r>
            <w:r w:rsidRPr="00880FAB">
              <w:rPr>
                <w:rFonts w:ascii="Arial" w:hAnsi="Arial" w:cs="Arial"/>
                <w:b/>
                <w:bCs/>
                <w:color w:val="000000"/>
                <w:sz w:val="16"/>
                <w:szCs w:val="16"/>
                <w:vertAlign w:val="superscript"/>
              </w:rPr>
              <w:t>(b)</w:t>
            </w:r>
          </w:p>
        </w:tc>
      </w:tr>
      <w:tr w:rsidR="00673DF7" w:rsidRPr="00880FAB" w14:paraId="15B50324" w14:textId="77777777" w:rsidTr="00673DF7">
        <w:trPr>
          <w:trHeight w:hRule="exact" w:val="225"/>
        </w:trPr>
        <w:tc>
          <w:tcPr>
            <w:tcW w:w="1488" w:type="pct"/>
            <w:tcBorders>
              <w:top w:val="nil"/>
              <w:left w:val="nil"/>
              <w:bottom w:val="single" w:sz="4" w:space="0" w:color="293F5B"/>
              <w:right w:val="nil"/>
            </w:tcBorders>
            <w:shd w:val="clear" w:color="000000" w:fill="E6F2FF"/>
            <w:vAlign w:val="center"/>
            <w:hideMark/>
          </w:tcPr>
          <w:p w14:paraId="15FD7744" w14:textId="77777777" w:rsidR="00673DF7" w:rsidRPr="00880FAB" w:rsidRDefault="00673DF7" w:rsidP="00673DF7">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Prime Minister and Cabinet</w:t>
            </w:r>
          </w:p>
        </w:tc>
        <w:tc>
          <w:tcPr>
            <w:tcW w:w="812" w:type="pct"/>
            <w:tcBorders>
              <w:top w:val="single" w:sz="4" w:space="0" w:color="293F5B"/>
              <w:left w:val="nil"/>
              <w:bottom w:val="single" w:sz="4" w:space="0" w:color="293F5B"/>
              <w:right w:val="nil"/>
            </w:tcBorders>
            <w:shd w:val="clear" w:color="000000" w:fill="E6F2FF"/>
            <w:vAlign w:val="center"/>
            <w:hideMark/>
          </w:tcPr>
          <w:p w14:paraId="37D53C1A" w14:textId="77777777" w:rsidR="00673DF7" w:rsidRPr="00880FAB" w:rsidRDefault="00673DF7" w:rsidP="00673DF7">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103" w:type="pct"/>
            <w:tcBorders>
              <w:top w:val="single" w:sz="4" w:space="0" w:color="293F5B"/>
              <w:left w:val="nil"/>
              <w:bottom w:val="single" w:sz="4" w:space="0" w:color="293F5B"/>
              <w:right w:val="nil"/>
            </w:tcBorders>
            <w:shd w:val="clear" w:color="000000" w:fill="E6F2FF"/>
            <w:vAlign w:val="center"/>
            <w:hideMark/>
          </w:tcPr>
          <w:p w14:paraId="0A6F8777" w14:textId="77777777" w:rsidR="00673DF7" w:rsidRPr="00880FAB" w:rsidRDefault="00673DF7" w:rsidP="00673DF7">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908" w:type="pct"/>
            <w:tcBorders>
              <w:top w:val="single" w:sz="4" w:space="0" w:color="293F5B"/>
              <w:left w:val="nil"/>
              <w:bottom w:val="single" w:sz="4" w:space="0" w:color="293F5B"/>
              <w:right w:val="nil"/>
            </w:tcBorders>
            <w:shd w:val="clear" w:color="000000" w:fill="E6F2FF"/>
            <w:vAlign w:val="center"/>
            <w:hideMark/>
          </w:tcPr>
          <w:p w14:paraId="73ACA7C9" w14:textId="77777777" w:rsidR="00673DF7" w:rsidRPr="00880FAB" w:rsidRDefault="00673DF7" w:rsidP="0061147F">
            <w:pPr>
              <w:spacing w:before="0" w:after="0" w:line="240" w:lineRule="auto"/>
              <w:ind w:left="173"/>
              <w:rPr>
                <w:rFonts w:ascii="Arial" w:hAnsi="Arial" w:cs="Arial"/>
                <w:b/>
                <w:bCs/>
                <w:color w:val="000000"/>
                <w:sz w:val="16"/>
                <w:szCs w:val="16"/>
              </w:rPr>
            </w:pPr>
            <w:r w:rsidRPr="00880FAB">
              <w:rPr>
                <w:rFonts w:ascii="Arial" w:hAnsi="Arial" w:cs="Arial"/>
                <w:b/>
                <w:bCs/>
                <w:color w:val="000000"/>
                <w:sz w:val="16"/>
                <w:szCs w:val="16"/>
              </w:rPr>
              <w:t> </w:t>
            </w:r>
          </w:p>
        </w:tc>
        <w:tc>
          <w:tcPr>
            <w:tcW w:w="661" w:type="pct"/>
            <w:tcBorders>
              <w:top w:val="nil"/>
              <w:left w:val="nil"/>
              <w:bottom w:val="single" w:sz="4" w:space="0" w:color="293F5B"/>
              <w:right w:val="nil"/>
            </w:tcBorders>
            <w:shd w:val="clear" w:color="000000" w:fill="E6F2FF"/>
            <w:vAlign w:val="center"/>
            <w:hideMark/>
          </w:tcPr>
          <w:p w14:paraId="41ADB5C4" w14:textId="77777777" w:rsidR="00673DF7" w:rsidRPr="00880FAB" w:rsidRDefault="00673DF7" w:rsidP="00673DF7">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526" w:type="pct"/>
            <w:tcBorders>
              <w:top w:val="nil"/>
              <w:left w:val="nil"/>
              <w:bottom w:val="single" w:sz="4" w:space="0" w:color="293F5B"/>
              <w:right w:val="nil"/>
            </w:tcBorders>
            <w:shd w:val="clear" w:color="000000" w:fill="E6F2FF"/>
            <w:vAlign w:val="center"/>
            <w:hideMark/>
          </w:tcPr>
          <w:p w14:paraId="402301D6" w14:textId="77777777" w:rsidR="00673DF7" w:rsidRPr="00880FAB" w:rsidRDefault="00673DF7" w:rsidP="00D6164E">
            <w:pPr>
              <w:spacing w:before="0" w:after="0" w:line="240" w:lineRule="auto"/>
              <w:ind w:leftChars="-3" w:left="-1" w:hangingChars="3" w:hanging="5"/>
              <w:rPr>
                <w:rFonts w:ascii="Arial" w:hAnsi="Arial" w:cs="Arial"/>
                <w:b/>
                <w:bCs/>
                <w:color w:val="000000"/>
                <w:sz w:val="16"/>
                <w:szCs w:val="16"/>
              </w:rPr>
            </w:pPr>
            <w:r w:rsidRPr="00880FAB">
              <w:rPr>
                <w:rFonts w:ascii="Arial" w:hAnsi="Arial" w:cs="Arial"/>
                <w:b/>
                <w:bCs/>
                <w:color w:val="000000"/>
                <w:sz w:val="16"/>
                <w:szCs w:val="16"/>
              </w:rPr>
              <w:t> </w:t>
            </w:r>
          </w:p>
        </w:tc>
        <w:tc>
          <w:tcPr>
            <w:tcW w:w="501" w:type="pct"/>
            <w:tcBorders>
              <w:top w:val="single" w:sz="4" w:space="0" w:color="293F5B"/>
              <w:left w:val="nil"/>
              <w:bottom w:val="single" w:sz="4" w:space="0" w:color="293F5B"/>
              <w:right w:val="nil"/>
            </w:tcBorders>
            <w:shd w:val="clear" w:color="000000" w:fill="E6F2FF"/>
            <w:vAlign w:val="center"/>
            <w:hideMark/>
          </w:tcPr>
          <w:p w14:paraId="1A0A3C38" w14:textId="77777777" w:rsidR="00673DF7" w:rsidRPr="00880FAB" w:rsidRDefault="00673DF7" w:rsidP="0061147F">
            <w:pPr>
              <w:spacing w:before="0" w:after="0" w:line="240" w:lineRule="auto"/>
              <w:ind w:firstLineChars="42" w:firstLine="67"/>
              <w:rPr>
                <w:rFonts w:ascii="Arial" w:hAnsi="Arial" w:cs="Arial"/>
                <w:b/>
                <w:bCs/>
                <w:color w:val="000000"/>
                <w:sz w:val="16"/>
                <w:szCs w:val="16"/>
              </w:rPr>
            </w:pPr>
            <w:r w:rsidRPr="00880FAB">
              <w:rPr>
                <w:rFonts w:ascii="Arial" w:hAnsi="Arial" w:cs="Arial"/>
                <w:b/>
                <w:bCs/>
                <w:color w:val="000000"/>
                <w:sz w:val="16"/>
                <w:szCs w:val="16"/>
              </w:rPr>
              <w:t> </w:t>
            </w:r>
          </w:p>
        </w:tc>
      </w:tr>
      <w:tr w:rsidR="00673DF7" w:rsidRPr="00880FAB" w14:paraId="1EB87324" w14:textId="77777777" w:rsidTr="00E15B4A">
        <w:trPr>
          <w:trHeight w:hRule="exact" w:val="444"/>
        </w:trPr>
        <w:tc>
          <w:tcPr>
            <w:tcW w:w="1488" w:type="pct"/>
            <w:tcBorders>
              <w:top w:val="nil"/>
              <w:left w:val="nil"/>
              <w:bottom w:val="single" w:sz="4" w:space="0" w:color="293F5B"/>
              <w:right w:val="nil"/>
            </w:tcBorders>
            <w:hideMark/>
          </w:tcPr>
          <w:p w14:paraId="5C464AE7" w14:textId="77777777" w:rsidR="00673DF7" w:rsidRPr="00880FAB" w:rsidRDefault="00673DF7" w:rsidP="008F6F7C">
            <w:pPr>
              <w:spacing w:before="0" w:after="0" w:line="240" w:lineRule="auto"/>
              <w:ind w:left="142"/>
              <w:rPr>
                <w:rFonts w:ascii="Arial" w:hAnsi="Arial" w:cs="Arial"/>
                <w:color w:val="000000"/>
                <w:sz w:val="16"/>
                <w:szCs w:val="16"/>
              </w:rPr>
            </w:pPr>
            <w:r w:rsidRPr="00880FAB">
              <w:rPr>
                <w:rFonts w:ascii="Arial" w:hAnsi="Arial" w:cs="Arial"/>
                <w:color w:val="000000"/>
                <w:sz w:val="16"/>
                <w:szCs w:val="16"/>
              </w:rPr>
              <w:t>Indigenous home ownership, business development and assistance</w:t>
            </w:r>
          </w:p>
        </w:tc>
        <w:tc>
          <w:tcPr>
            <w:tcW w:w="812" w:type="pct"/>
            <w:tcBorders>
              <w:top w:val="nil"/>
              <w:left w:val="nil"/>
              <w:bottom w:val="single" w:sz="4" w:space="0" w:color="293F5B"/>
              <w:right w:val="nil"/>
            </w:tcBorders>
            <w:hideMark/>
          </w:tcPr>
          <w:p w14:paraId="0FB45D0F"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1,418</w:t>
            </w:r>
          </w:p>
        </w:tc>
        <w:tc>
          <w:tcPr>
            <w:tcW w:w="103" w:type="pct"/>
            <w:tcBorders>
              <w:top w:val="nil"/>
              <w:left w:val="nil"/>
              <w:bottom w:val="single" w:sz="4" w:space="0" w:color="293F5B"/>
              <w:right w:val="nil"/>
            </w:tcBorders>
            <w:hideMark/>
          </w:tcPr>
          <w:p w14:paraId="1562B376"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08" w:type="pct"/>
            <w:tcBorders>
              <w:top w:val="nil"/>
              <w:left w:val="nil"/>
              <w:bottom w:val="single" w:sz="4" w:space="0" w:color="293F5B"/>
              <w:right w:val="nil"/>
            </w:tcBorders>
            <w:hideMark/>
          </w:tcPr>
          <w:p w14:paraId="068B7363" w14:textId="77777777" w:rsidR="00673DF7" w:rsidRPr="00880FAB" w:rsidRDefault="00673DF7" w:rsidP="0061147F">
            <w:pPr>
              <w:spacing w:before="0" w:after="0" w:line="240" w:lineRule="auto"/>
              <w:ind w:left="173"/>
              <w:rPr>
                <w:rFonts w:ascii="Arial" w:hAnsi="Arial" w:cs="Arial"/>
                <w:color w:val="000000"/>
                <w:sz w:val="16"/>
                <w:szCs w:val="16"/>
              </w:rPr>
            </w:pPr>
            <w:r w:rsidRPr="00880FAB">
              <w:rPr>
                <w:rFonts w:ascii="Arial" w:hAnsi="Arial" w:cs="Arial"/>
                <w:color w:val="000000"/>
                <w:sz w:val="16"/>
                <w:szCs w:val="16"/>
              </w:rPr>
              <w:t>Eligible Indigenous persons </w:t>
            </w:r>
          </w:p>
        </w:tc>
        <w:tc>
          <w:tcPr>
            <w:tcW w:w="661" w:type="pct"/>
            <w:tcBorders>
              <w:top w:val="nil"/>
              <w:left w:val="nil"/>
              <w:bottom w:val="single" w:sz="4" w:space="0" w:color="293F5B"/>
              <w:right w:val="nil"/>
            </w:tcBorders>
            <w:hideMark/>
          </w:tcPr>
          <w:p w14:paraId="2ED65550"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6.24 per cent </w:t>
            </w:r>
          </w:p>
        </w:tc>
        <w:tc>
          <w:tcPr>
            <w:tcW w:w="526" w:type="pct"/>
            <w:tcBorders>
              <w:top w:val="nil"/>
              <w:left w:val="nil"/>
              <w:bottom w:val="single" w:sz="4" w:space="0" w:color="293F5B"/>
              <w:right w:val="nil"/>
            </w:tcBorders>
            <w:hideMark/>
          </w:tcPr>
          <w:p w14:paraId="6F93A850" w14:textId="77777777" w:rsidR="00673DF7" w:rsidRPr="00880FAB" w:rsidRDefault="00673DF7" w:rsidP="00D6164E">
            <w:pPr>
              <w:spacing w:before="0" w:after="0" w:line="240" w:lineRule="auto"/>
              <w:ind w:leftChars="-3" w:left="-1" w:hangingChars="3" w:hanging="5"/>
              <w:rPr>
                <w:rFonts w:ascii="Arial" w:hAnsi="Arial" w:cs="Arial"/>
                <w:color w:val="000000"/>
                <w:sz w:val="16"/>
                <w:szCs w:val="16"/>
              </w:rPr>
            </w:pPr>
            <w:r w:rsidRPr="00880FAB">
              <w:rPr>
                <w:rFonts w:ascii="Arial" w:hAnsi="Arial" w:cs="Arial"/>
                <w:color w:val="000000"/>
                <w:sz w:val="16"/>
                <w:szCs w:val="16"/>
              </w:rPr>
              <w:t>Up to 32 years </w:t>
            </w:r>
          </w:p>
        </w:tc>
        <w:tc>
          <w:tcPr>
            <w:tcW w:w="501" w:type="pct"/>
            <w:tcBorders>
              <w:top w:val="nil"/>
              <w:left w:val="nil"/>
              <w:bottom w:val="single" w:sz="4" w:space="0" w:color="293F5B"/>
              <w:right w:val="nil"/>
            </w:tcBorders>
            <w:hideMark/>
          </w:tcPr>
          <w:p w14:paraId="0EAD057E" w14:textId="77777777" w:rsidR="00673DF7" w:rsidRPr="00880FAB" w:rsidRDefault="00673DF7" w:rsidP="0061147F">
            <w:pPr>
              <w:spacing w:before="0" w:after="0" w:line="240" w:lineRule="auto"/>
              <w:ind w:firstLineChars="42" w:firstLine="67"/>
              <w:rPr>
                <w:rFonts w:ascii="Arial" w:hAnsi="Arial" w:cs="Arial"/>
                <w:color w:val="000000"/>
                <w:sz w:val="16"/>
                <w:szCs w:val="16"/>
              </w:rPr>
            </w:pPr>
            <w:r w:rsidRPr="00880FAB">
              <w:rPr>
                <w:rFonts w:ascii="Arial" w:hAnsi="Arial" w:cs="Arial"/>
                <w:color w:val="000000"/>
                <w:sz w:val="16"/>
                <w:szCs w:val="16"/>
              </w:rPr>
              <w:t>Unchanged</w:t>
            </w:r>
          </w:p>
        </w:tc>
      </w:tr>
      <w:tr w:rsidR="00673DF7" w:rsidRPr="00880FAB" w14:paraId="043FC81C" w14:textId="77777777" w:rsidTr="00673DF7">
        <w:trPr>
          <w:trHeight w:hRule="exact" w:val="225"/>
        </w:trPr>
        <w:tc>
          <w:tcPr>
            <w:tcW w:w="1488" w:type="pct"/>
            <w:tcBorders>
              <w:top w:val="nil"/>
              <w:left w:val="nil"/>
              <w:bottom w:val="single" w:sz="4" w:space="0" w:color="293F5B"/>
              <w:right w:val="nil"/>
            </w:tcBorders>
            <w:shd w:val="clear" w:color="000000" w:fill="E6F2FF"/>
            <w:vAlign w:val="center"/>
            <w:hideMark/>
          </w:tcPr>
          <w:p w14:paraId="2525E0AE" w14:textId="77777777" w:rsidR="00673DF7" w:rsidRPr="00880FAB" w:rsidRDefault="00673DF7" w:rsidP="00673DF7">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Social Services</w:t>
            </w:r>
          </w:p>
        </w:tc>
        <w:tc>
          <w:tcPr>
            <w:tcW w:w="812" w:type="pct"/>
            <w:tcBorders>
              <w:top w:val="nil"/>
              <w:left w:val="nil"/>
              <w:bottom w:val="single" w:sz="4" w:space="0" w:color="293F5B"/>
              <w:right w:val="nil"/>
            </w:tcBorders>
            <w:shd w:val="clear" w:color="000000" w:fill="E6F2FF"/>
            <w:vAlign w:val="center"/>
            <w:hideMark/>
          </w:tcPr>
          <w:p w14:paraId="39293A52" w14:textId="77777777" w:rsidR="00673DF7" w:rsidRPr="00880FAB" w:rsidRDefault="00673DF7" w:rsidP="00673DF7">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103" w:type="pct"/>
            <w:tcBorders>
              <w:top w:val="nil"/>
              <w:left w:val="nil"/>
              <w:bottom w:val="single" w:sz="4" w:space="0" w:color="293F5B"/>
              <w:right w:val="nil"/>
            </w:tcBorders>
            <w:shd w:val="clear" w:color="000000" w:fill="E6F2FF"/>
            <w:vAlign w:val="center"/>
            <w:hideMark/>
          </w:tcPr>
          <w:p w14:paraId="7DAF1DB9" w14:textId="77777777" w:rsidR="00673DF7" w:rsidRPr="00880FAB" w:rsidRDefault="00673DF7" w:rsidP="00673DF7">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908" w:type="pct"/>
            <w:tcBorders>
              <w:top w:val="nil"/>
              <w:left w:val="nil"/>
              <w:bottom w:val="single" w:sz="4" w:space="0" w:color="293F5B"/>
              <w:right w:val="nil"/>
            </w:tcBorders>
            <w:shd w:val="clear" w:color="000000" w:fill="E6F2FF"/>
            <w:vAlign w:val="center"/>
            <w:hideMark/>
          </w:tcPr>
          <w:p w14:paraId="42143C6A" w14:textId="77777777" w:rsidR="00673DF7" w:rsidRPr="00880FAB" w:rsidRDefault="00673DF7" w:rsidP="0061147F">
            <w:pPr>
              <w:spacing w:before="0" w:after="0" w:line="240" w:lineRule="auto"/>
              <w:ind w:left="173"/>
              <w:rPr>
                <w:rFonts w:ascii="Arial" w:hAnsi="Arial" w:cs="Arial"/>
                <w:b/>
                <w:bCs/>
                <w:color w:val="000000"/>
                <w:sz w:val="16"/>
                <w:szCs w:val="16"/>
              </w:rPr>
            </w:pPr>
            <w:r w:rsidRPr="00880FAB">
              <w:rPr>
                <w:rFonts w:ascii="Arial" w:hAnsi="Arial" w:cs="Arial"/>
                <w:b/>
                <w:bCs/>
                <w:color w:val="000000"/>
                <w:sz w:val="16"/>
                <w:szCs w:val="16"/>
              </w:rPr>
              <w:t> </w:t>
            </w:r>
          </w:p>
        </w:tc>
        <w:tc>
          <w:tcPr>
            <w:tcW w:w="661" w:type="pct"/>
            <w:tcBorders>
              <w:top w:val="nil"/>
              <w:left w:val="nil"/>
              <w:bottom w:val="single" w:sz="4" w:space="0" w:color="293F5B"/>
              <w:right w:val="nil"/>
            </w:tcBorders>
            <w:shd w:val="clear" w:color="000000" w:fill="E6F2FF"/>
            <w:vAlign w:val="center"/>
            <w:hideMark/>
          </w:tcPr>
          <w:p w14:paraId="1D5E923D" w14:textId="77777777" w:rsidR="00673DF7" w:rsidRPr="00880FAB" w:rsidRDefault="00673DF7" w:rsidP="00673DF7">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526" w:type="pct"/>
            <w:tcBorders>
              <w:top w:val="nil"/>
              <w:left w:val="nil"/>
              <w:bottom w:val="single" w:sz="4" w:space="0" w:color="293F5B"/>
              <w:right w:val="nil"/>
            </w:tcBorders>
            <w:shd w:val="clear" w:color="000000" w:fill="E6F2FF"/>
            <w:vAlign w:val="center"/>
            <w:hideMark/>
          </w:tcPr>
          <w:p w14:paraId="501CFEEF" w14:textId="77777777" w:rsidR="00673DF7" w:rsidRPr="00880FAB" w:rsidRDefault="00673DF7" w:rsidP="00D6164E">
            <w:pPr>
              <w:spacing w:before="0" w:after="0" w:line="240" w:lineRule="auto"/>
              <w:ind w:leftChars="-3" w:left="-1" w:hangingChars="3" w:hanging="5"/>
              <w:rPr>
                <w:rFonts w:ascii="Arial" w:hAnsi="Arial" w:cs="Arial"/>
                <w:b/>
                <w:bCs/>
                <w:color w:val="000000"/>
                <w:sz w:val="16"/>
                <w:szCs w:val="16"/>
              </w:rPr>
            </w:pPr>
            <w:r w:rsidRPr="00880FAB">
              <w:rPr>
                <w:rFonts w:ascii="Arial" w:hAnsi="Arial" w:cs="Arial"/>
                <w:b/>
                <w:bCs/>
                <w:color w:val="000000"/>
                <w:sz w:val="16"/>
                <w:szCs w:val="16"/>
              </w:rPr>
              <w:t> </w:t>
            </w:r>
          </w:p>
        </w:tc>
        <w:tc>
          <w:tcPr>
            <w:tcW w:w="501" w:type="pct"/>
            <w:tcBorders>
              <w:top w:val="nil"/>
              <w:left w:val="nil"/>
              <w:bottom w:val="single" w:sz="4" w:space="0" w:color="293F5B"/>
              <w:right w:val="nil"/>
            </w:tcBorders>
            <w:shd w:val="clear" w:color="000000" w:fill="E6F2FF"/>
            <w:vAlign w:val="center"/>
            <w:hideMark/>
          </w:tcPr>
          <w:p w14:paraId="036CE953" w14:textId="77777777" w:rsidR="00673DF7" w:rsidRPr="00880FAB" w:rsidRDefault="00673DF7" w:rsidP="0061147F">
            <w:pPr>
              <w:spacing w:before="0" w:after="0" w:line="240" w:lineRule="auto"/>
              <w:ind w:firstLineChars="42" w:firstLine="67"/>
              <w:rPr>
                <w:rFonts w:ascii="Arial" w:hAnsi="Arial" w:cs="Arial"/>
                <w:b/>
                <w:bCs/>
                <w:color w:val="000000"/>
                <w:sz w:val="16"/>
                <w:szCs w:val="16"/>
              </w:rPr>
            </w:pPr>
            <w:r w:rsidRPr="00880FAB">
              <w:rPr>
                <w:rFonts w:ascii="Arial" w:hAnsi="Arial" w:cs="Arial"/>
                <w:b/>
                <w:bCs/>
                <w:color w:val="000000"/>
                <w:sz w:val="16"/>
                <w:szCs w:val="16"/>
              </w:rPr>
              <w:t> </w:t>
            </w:r>
          </w:p>
        </w:tc>
      </w:tr>
      <w:tr w:rsidR="00673DF7" w:rsidRPr="00880FAB" w14:paraId="7FDE8117" w14:textId="77777777" w:rsidTr="00673DF7">
        <w:trPr>
          <w:trHeight w:hRule="exact" w:val="225"/>
        </w:trPr>
        <w:tc>
          <w:tcPr>
            <w:tcW w:w="1488" w:type="pct"/>
            <w:tcBorders>
              <w:top w:val="nil"/>
              <w:left w:val="nil"/>
              <w:bottom w:val="single" w:sz="4" w:space="0" w:color="293F5B"/>
              <w:right w:val="nil"/>
            </w:tcBorders>
            <w:hideMark/>
          </w:tcPr>
          <w:p w14:paraId="1DEC7B11"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Home Equity Access Scheme</w:t>
            </w:r>
          </w:p>
        </w:tc>
        <w:tc>
          <w:tcPr>
            <w:tcW w:w="812" w:type="pct"/>
            <w:tcBorders>
              <w:top w:val="nil"/>
              <w:left w:val="nil"/>
              <w:bottom w:val="single" w:sz="4" w:space="0" w:color="293F5B"/>
              <w:right w:val="nil"/>
            </w:tcBorders>
            <w:hideMark/>
          </w:tcPr>
          <w:p w14:paraId="143A0B0D"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837</w:t>
            </w:r>
          </w:p>
        </w:tc>
        <w:tc>
          <w:tcPr>
            <w:tcW w:w="103" w:type="pct"/>
            <w:tcBorders>
              <w:top w:val="nil"/>
              <w:left w:val="nil"/>
              <w:bottom w:val="single" w:sz="4" w:space="0" w:color="293F5B"/>
              <w:right w:val="nil"/>
            </w:tcBorders>
            <w:hideMark/>
          </w:tcPr>
          <w:p w14:paraId="11C6BD54"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08" w:type="pct"/>
            <w:tcBorders>
              <w:top w:val="nil"/>
              <w:left w:val="nil"/>
              <w:bottom w:val="single" w:sz="4" w:space="0" w:color="293F5B"/>
              <w:right w:val="nil"/>
            </w:tcBorders>
            <w:hideMark/>
          </w:tcPr>
          <w:p w14:paraId="1059FD8F" w14:textId="77777777" w:rsidR="00673DF7" w:rsidRPr="00880FAB" w:rsidRDefault="00673DF7" w:rsidP="0061147F">
            <w:pPr>
              <w:spacing w:before="0" w:after="0" w:line="240" w:lineRule="auto"/>
              <w:ind w:left="173"/>
              <w:rPr>
                <w:rFonts w:ascii="Arial" w:hAnsi="Arial" w:cs="Arial"/>
                <w:color w:val="000000"/>
                <w:sz w:val="16"/>
                <w:szCs w:val="16"/>
              </w:rPr>
            </w:pPr>
            <w:r w:rsidRPr="00880FAB">
              <w:rPr>
                <w:rFonts w:ascii="Arial" w:hAnsi="Arial" w:cs="Arial"/>
                <w:color w:val="000000"/>
                <w:sz w:val="16"/>
                <w:szCs w:val="16"/>
              </w:rPr>
              <w:t>Eligible older Australians</w:t>
            </w:r>
          </w:p>
        </w:tc>
        <w:tc>
          <w:tcPr>
            <w:tcW w:w="661" w:type="pct"/>
            <w:tcBorders>
              <w:top w:val="nil"/>
              <w:left w:val="nil"/>
              <w:bottom w:val="single" w:sz="4" w:space="0" w:color="293F5B"/>
              <w:right w:val="nil"/>
            </w:tcBorders>
            <w:hideMark/>
          </w:tcPr>
          <w:p w14:paraId="676119B5"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3.95 per cent</w:t>
            </w:r>
          </w:p>
        </w:tc>
        <w:tc>
          <w:tcPr>
            <w:tcW w:w="526" w:type="pct"/>
            <w:tcBorders>
              <w:top w:val="nil"/>
              <w:left w:val="nil"/>
              <w:bottom w:val="single" w:sz="4" w:space="0" w:color="293F5B"/>
              <w:right w:val="nil"/>
            </w:tcBorders>
            <w:hideMark/>
          </w:tcPr>
          <w:p w14:paraId="13242EE4" w14:textId="77777777" w:rsidR="00673DF7" w:rsidRPr="00880FAB" w:rsidRDefault="00673DF7" w:rsidP="00D6164E">
            <w:pPr>
              <w:spacing w:before="0" w:after="0" w:line="240" w:lineRule="auto"/>
              <w:ind w:leftChars="-3" w:left="-1" w:hangingChars="3" w:hanging="5"/>
              <w:rPr>
                <w:rFonts w:ascii="Arial" w:hAnsi="Arial" w:cs="Arial"/>
                <w:color w:val="000000"/>
                <w:sz w:val="16"/>
                <w:szCs w:val="16"/>
              </w:rPr>
            </w:pPr>
            <w:r w:rsidRPr="00880FAB">
              <w:rPr>
                <w:rFonts w:ascii="Arial" w:hAnsi="Arial" w:cs="Arial"/>
                <w:color w:val="000000"/>
                <w:sz w:val="16"/>
                <w:szCs w:val="16"/>
              </w:rPr>
              <w:t>Various</w:t>
            </w:r>
          </w:p>
        </w:tc>
        <w:tc>
          <w:tcPr>
            <w:tcW w:w="501" w:type="pct"/>
            <w:tcBorders>
              <w:top w:val="nil"/>
              <w:left w:val="nil"/>
              <w:bottom w:val="single" w:sz="4" w:space="0" w:color="293F5B"/>
              <w:right w:val="nil"/>
            </w:tcBorders>
            <w:hideMark/>
          </w:tcPr>
          <w:p w14:paraId="6E279726" w14:textId="77777777" w:rsidR="00673DF7" w:rsidRPr="00880FAB" w:rsidRDefault="00673DF7" w:rsidP="0061147F">
            <w:pPr>
              <w:spacing w:before="0" w:after="0" w:line="240" w:lineRule="auto"/>
              <w:ind w:firstLineChars="42" w:firstLine="67"/>
              <w:rPr>
                <w:rFonts w:ascii="Arial" w:hAnsi="Arial" w:cs="Arial"/>
                <w:color w:val="000000"/>
                <w:sz w:val="16"/>
                <w:szCs w:val="16"/>
              </w:rPr>
            </w:pPr>
            <w:r w:rsidRPr="00880FAB">
              <w:rPr>
                <w:rFonts w:ascii="Arial" w:hAnsi="Arial" w:cs="Arial"/>
                <w:color w:val="000000"/>
                <w:sz w:val="16"/>
                <w:szCs w:val="16"/>
              </w:rPr>
              <w:t>Unchanged</w:t>
            </w:r>
          </w:p>
        </w:tc>
      </w:tr>
      <w:tr w:rsidR="00673DF7" w:rsidRPr="00880FAB" w14:paraId="405B792F" w14:textId="77777777" w:rsidTr="00673DF7">
        <w:trPr>
          <w:trHeight w:hRule="exact" w:val="900"/>
        </w:trPr>
        <w:tc>
          <w:tcPr>
            <w:tcW w:w="1488" w:type="pct"/>
            <w:tcBorders>
              <w:top w:val="nil"/>
              <w:left w:val="nil"/>
              <w:bottom w:val="single" w:sz="4" w:space="0" w:color="293F5B"/>
              <w:right w:val="nil"/>
            </w:tcBorders>
            <w:hideMark/>
          </w:tcPr>
          <w:p w14:paraId="160B4BF7"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Student Financial Supplement Scheme</w:t>
            </w:r>
          </w:p>
        </w:tc>
        <w:tc>
          <w:tcPr>
            <w:tcW w:w="812" w:type="pct"/>
            <w:tcBorders>
              <w:top w:val="nil"/>
              <w:left w:val="nil"/>
              <w:bottom w:val="single" w:sz="4" w:space="0" w:color="293F5B"/>
              <w:right w:val="nil"/>
            </w:tcBorders>
            <w:hideMark/>
          </w:tcPr>
          <w:p w14:paraId="4A6DF8E7"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83</w:t>
            </w:r>
          </w:p>
        </w:tc>
        <w:tc>
          <w:tcPr>
            <w:tcW w:w="103" w:type="pct"/>
            <w:tcBorders>
              <w:top w:val="nil"/>
              <w:left w:val="nil"/>
              <w:bottom w:val="single" w:sz="4" w:space="0" w:color="293F5B"/>
              <w:right w:val="nil"/>
            </w:tcBorders>
            <w:hideMark/>
          </w:tcPr>
          <w:p w14:paraId="77F29C44"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08" w:type="pct"/>
            <w:tcBorders>
              <w:top w:val="nil"/>
              <w:left w:val="nil"/>
              <w:bottom w:val="single" w:sz="4" w:space="0" w:color="293F5B"/>
              <w:right w:val="nil"/>
            </w:tcBorders>
            <w:hideMark/>
          </w:tcPr>
          <w:p w14:paraId="3161E18D" w14:textId="77777777" w:rsidR="00673DF7" w:rsidRPr="00880FAB" w:rsidRDefault="00673DF7" w:rsidP="0061147F">
            <w:pPr>
              <w:spacing w:before="0" w:after="0" w:line="240" w:lineRule="auto"/>
              <w:ind w:left="173"/>
              <w:rPr>
                <w:rFonts w:ascii="Arial" w:hAnsi="Arial" w:cs="Arial"/>
                <w:color w:val="000000"/>
                <w:sz w:val="16"/>
                <w:szCs w:val="16"/>
              </w:rPr>
            </w:pPr>
            <w:r w:rsidRPr="00880FAB">
              <w:rPr>
                <w:rFonts w:ascii="Arial" w:hAnsi="Arial" w:cs="Arial"/>
                <w:color w:val="000000"/>
                <w:sz w:val="16"/>
                <w:szCs w:val="16"/>
              </w:rPr>
              <w:t xml:space="preserve">Eligible Youth Allowance (student), </w:t>
            </w:r>
            <w:proofErr w:type="spellStart"/>
            <w:r w:rsidRPr="00880FAB">
              <w:rPr>
                <w:rFonts w:ascii="Arial" w:hAnsi="Arial" w:cs="Arial"/>
                <w:color w:val="000000"/>
                <w:sz w:val="16"/>
                <w:szCs w:val="16"/>
              </w:rPr>
              <w:t>Austudy</w:t>
            </w:r>
            <w:proofErr w:type="spellEnd"/>
            <w:r w:rsidRPr="00880FAB">
              <w:rPr>
                <w:rFonts w:ascii="Arial" w:hAnsi="Arial" w:cs="Arial"/>
                <w:color w:val="000000"/>
                <w:sz w:val="16"/>
                <w:szCs w:val="16"/>
              </w:rPr>
              <w:t xml:space="preserve"> and ABSTUDY Living Allowance recipients</w:t>
            </w:r>
          </w:p>
        </w:tc>
        <w:tc>
          <w:tcPr>
            <w:tcW w:w="661" w:type="pct"/>
            <w:tcBorders>
              <w:top w:val="nil"/>
              <w:left w:val="nil"/>
              <w:bottom w:val="single" w:sz="4" w:space="0" w:color="293F5B"/>
              <w:right w:val="nil"/>
            </w:tcBorders>
            <w:hideMark/>
          </w:tcPr>
          <w:p w14:paraId="0D68AEEE" w14:textId="77777777" w:rsidR="00F24BEE"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The lower of WPI </w:t>
            </w:r>
          </w:p>
          <w:p w14:paraId="1316BA03" w14:textId="692361B8"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or CPI growth </w:t>
            </w:r>
          </w:p>
        </w:tc>
        <w:tc>
          <w:tcPr>
            <w:tcW w:w="526" w:type="pct"/>
            <w:tcBorders>
              <w:top w:val="nil"/>
              <w:left w:val="nil"/>
              <w:bottom w:val="single" w:sz="4" w:space="0" w:color="293F5B"/>
              <w:right w:val="nil"/>
            </w:tcBorders>
            <w:hideMark/>
          </w:tcPr>
          <w:p w14:paraId="69EACC1F" w14:textId="77777777" w:rsidR="00673DF7" w:rsidRPr="00880FAB" w:rsidRDefault="00673DF7" w:rsidP="00D6164E">
            <w:pPr>
              <w:spacing w:before="0" w:after="0" w:line="240" w:lineRule="auto"/>
              <w:ind w:leftChars="-3" w:left="-1" w:hangingChars="3" w:hanging="5"/>
              <w:rPr>
                <w:rFonts w:ascii="Arial" w:hAnsi="Arial" w:cs="Arial"/>
                <w:color w:val="000000"/>
                <w:sz w:val="16"/>
                <w:szCs w:val="16"/>
              </w:rPr>
            </w:pPr>
            <w:r w:rsidRPr="00880FAB">
              <w:rPr>
                <w:rFonts w:ascii="Arial" w:hAnsi="Arial" w:cs="Arial"/>
                <w:color w:val="000000"/>
                <w:sz w:val="16"/>
                <w:szCs w:val="16"/>
              </w:rPr>
              <w:t>Various</w:t>
            </w:r>
          </w:p>
        </w:tc>
        <w:tc>
          <w:tcPr>
            <w:tcW w:w="501" w:type="pct"/>
            <w:tcBorders>
              <w:top w:val="nil"/>
              <w:left w:val="nil"/>
              <w:bottom w:val="single" w:sz="4" w:space="0" w:color="293F5B"/>
              <w:right w:val="nil"/>
            </w:tcBorders>
            <w:hideMark/>
          </w:tcPr>
          <w:p w14:paraId="6FA5A297" w14:textId="77777777" w:rsidR="00673DF7" w:rsidRPr="00880FAB" w:rsidRDefault="00673DF7" w:rsidP="0061147F">
            <w:pPr>
              <w:spacing w:before="0" w:after="0" w:line="240" w:lineRule="auto"/>
              <w:ind w:firstLineChars="42" w:firstLine="67"/>
              <w:rPr>
                <w:rFonts w:ascii="Arial" w:hAnsi="Arial" w:cs="Arial"/>
                <w:color w:val="000000"/>
                <w:sz w:val="16"/>
                <w:szCs w:val="16"/>
              </w:rPr>
            </w:pPr>
            <w:r w:rsidRPr="00880FAB">
              <w:rPr>
                <w:rFonts w:ascii="Arial" w:hAnsi="Arial" w:cs="Arial"/>
                <w:color w:val="000000"/>
                <w:sz w:val="16"/>
                <w:szCs w:val="16"/>
              </w:rPr>
              <w:t>Removed</w:t>
            </w:r>
          </w:p>
        </w:tc>
      </w:tr>
      <w:tr w:rsidR="00673DF7" w:rsidRPr="00880FAB" w14:paraId="65ABB9C2" w14:textId="77777777" w:rsidTr="00673DF7">
        <w:trPr>
          <w:trHeight w:hRule="exact" w:val="900"/>
        </w:trPr>
        <w:tc>
          <w:tcPr>
            <w:tcW w:w="1488" w:type="pct"/>
            <w:tcBorders>
              <w:top w:val="nil"/>
              <w:left w:val="nil"/>
              <w:bottom w:val="single" w:sz="4" w:space="0" w:color="293F5B"/>
              <w:right w:val="nil"/>
            </w:tcBorders>
            <w:hideMark/>
          </w:tcPr>
          <w:p w14:paraId="1044E382"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Student Start</w:t>
            </w:r>
            <w:r w:rsidRPr="00880FAB">
              <w:rPr>
                <w:rFonts w:ascii="Arial" w:hAnsi="Arial" w:cs="Arial"/>
                <w:color w:val="000000"/>
                <w:sz w:val="16"/>
                <w:szCs w:val="16"/>
              </w:rPr>
              <w:noBreakHyphen/>
              <w:t>up Loan</w:t>
            </w:r>
          </w:p>
        </w:tc>
        <w:tc>
          <w:tcPr>
            <w:tcW w:w="812" w:type="pct"/>
            <w:tcBorders>
              <w:top w:val="nil"/>
              <w:left w:val="nil"/>
              <w:bottom w:val="single" w:sz="4" w:space="0" w:color="293F5B"/>
              <w:right w:val="nil"/>
            </w:tcBorders>
            <w:hideMark/>
          </w:tcPr>
          <w:p w14:paraId="3DD8A720"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821</w:t>
            </w:r>
          </w:p>
        </w:tc>
        <w:tc>
          <w:tcPr>
            <w:tcW w:w="103" w:type="pct"/>
            <w:tcBorders>
              <w:top w:val="nil"/>
              <w:left w:val="nil"/>
              <w:bottom w:val="single" w:sz="4" w:space="0" w:color="293F5B"/>
              <w:right w:val="nil"/>
            </w:tcBorders>
            <w:hideMark/>
          </w:tcPr>
          <w:p w14:paraId="3B90599B"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08" w:type="pct"/>
            <w:tcBorders>
              <w:top w:val="nil"/>
              <w:left w:val="nil"/>
              <w:bottom w:val="single" w:sz="4" w:space="0" w:color="293F5B"/>
              <w:right w:val="nil"/>
            </w:tcBorders>
            <w:hideMark/>
          </w:tcPr>
          <w:p w14:paraId="2BCA6720" w14:textId="77777777" w:rsidR="00673DF7" w:rsidRPr="00880FAB" w:rsidRDefault="00673DF7" w:rsidP="0061147F">
            <w:pPr>
              <w:spacing w:before="0" w:after="0" w:line="240" w:lineRule="auto"/>
              <w:ind w:left="173"/>
              <w:rPr>
                <w:rFonts w:ascii="Arial" w:hAnsi="Arial" w:cs="Arial"/>
                <w:color w:val="000000"/>
                <w:sz w:val="16"/>
                <w:szCs w:val="16"/>
              </w:rPr>
            </w:pPr>
            <w:r w:rsidRPr="00880FAB">
              <w:rPr>
                <w:rFonts w:ascii="Arial" w:hAnsi="Arial" w:cs="Arial"/>
                <w:color w:val="000000"/>
                <w:sz w:val="16"/>
                <w:szCs w:val="16"/>
              </w:rPr>
              <w:t xml:space="preserve">Eligible Youth Allowance (student), </w:t>
            </w:r>
            <w:proofErr w:type="spellStart"/>
            <w:r w:rsidRPr="00880FAB">
              <w:rPr>
                <w:rFonts w:ascii="Arial" w:hAnsi="Arial" w:cs="Arial"/>
                <w:color w:val="000000"/>
                <w:sz w:val="16"/>
                <w:szCs w:val="16"/>
              </w:rPr>
              <w:t>Austudy</w:t>
            </w:r>
            <w:proofErr w:type="spellEnd"/>
            <w:r w:rsidRPr="00880FAB">
              <w:rPr>
                <w:rFonts w:ascii="Arial" w:hAnsi="Arial" w:cs="Arial"/>
                <w:color w:val="000000"/>
                <w:sz w:val="16"/>
                <w:szCs w:val="16"/>
              </w:rPr>
              <w:t xml:space="preserve"> and ABSTUDY Living Allowance recipients </w:t>
            </w:r>
          </w:p>
        </w:tc>
        <w:tc>
          <w:tcPr>
            <w:tcW w:w="661" w:type="pct"/>
            <w:tcBorders>
              <w:top w:val="nil"/>
              <w:left w:val="nil"/>
              <w:bottom w:val="single" w:sz="4" w:space="0" w:color="293F5B"/>
              <w:right w:val="nil"/>
            </w:tcBorders>
            <w:hideMark/>
          </w:tcPr>
          <w:p w14:paraId="24F1BE6F" w14:textId="77777777" w:rsidR="00F24BEE"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The lower of WPI </w:t>
            </w:r>
          </w:p>
          <w:p w14:paraId="0EE30BF9" w14:textId="41E90F03"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or CPI growth</w:t>
            </w:r>
          </w:p>
        </w:tc>
        <w:tc>
          <w:tcPr>
            <w:tcW w:w="526" w:type="pct"/>
            <w:tcBorders>
              <w:top w:val="nil"/>
              <w:left w:val="nil"/>
              <w:bottom w:val="single" w:sz="4" w:space="0" w:color="293F5B"/>
              <w:right w:val="nil"/>
            </w:tcBorders>
            <w:hideMark/>
          </w:tcPr>
          <w:p w14:paraId="374EFEAA" w14:textId="77777777" w:rsidR="00673DF7" w:rsidRPr="00880FAB" w:rsidRDefault="00673DF7" w:rsidP="00D6164E">
            <w:pPr>
              <w:spacing w:before="0" w:after="0" w:line="240" w:lineRule="auto"/>
              <w:ind w:leftChars="-3" w:left="-1" w:hangingChars="3" w:hanging="5"/>
              <w:rPr>
                <w:rFonts w:ascii="Arial" w:hAnsi="Arial" w:cs="Arial"/>
                <w:color w:val="000000"/>
                <w:sz w:val="16"/>
                <w:szCs w:val="16"/>
              </w:rPr>
            </w:pPr>
            <w:r w:rsidRPr="00880FAB">
              <w:rPr>
                <w:rFonts w:ascii="Arial" w:hAnsi="Arial" w:cs="Arial"/>
                <w:color w:val="000000"/>
                <w:sz w:val="16"/>
                <w:szCs w:val="16"/>
              </w:rPr>
              <w:t>Various </w:t>
            </w:r>
          </w:p>
        </w:tc>
        <w:tc>
          <w:tcPr>
            <w:tcW w:w="501" w:type="pct"/>
            <w:tcBorders>
              <w:top w:val="nil"/>
              <w:left w:val="nil"/>
              <w:bottom w:val="single" w:sz="4" w:space="0" w:color="293F5B"/>
              <w:right w:val="nil"/>
            </w:tcBorders>
            <w:hideMark/>
          </w:tcPr>
          <w:p w14:paraId="6C8C83DE" w14:textId="77777777" w:rsidR="00673DF7" w:rsidRPr="00880FAB" w:rsidRDefault="00673DF7" w:rsidP="0061147F">
            <w:pPr>
              <w:spacing w:before="0" w:after="0" w:line="240" w:lineRule="auto"/>
              <w:ind w:firstLineChars="42" w:firstLine="67"/>
              <w:rPr>
                <w:rFonts w:ascii="Arial" w:hAnsi="Arial" w:cs="Arial"/>
                <w:color w:val="000000"/>
                <w:sz w:val="16"/>
                <w:szCs w:val="16"/>
              </w:rPr>
            </w:pPr>
            <w:r w:rsidRPr="00880FAB">
              <w:rPr>
                <w:rFonts w:ascii="Arial" w:hAnsi="Arial" w:cs="Arial"/>
                <w:color w:val="000000"/>
                <w:sz w:val="16"/>
                <w:szCs w:val="16"/>
              </w:rPr>
              <w:t>Unchanged</w:t>
            </w:r>
          </w:p>
        </w:tc>
      </w:tr>
      <w:tr w:rsidR="00673DF7" w:rsidRPr="00880FAB" w14:paraId="684D8A83" w14:textId="77777777" w:rsidTr="00673DF7">
        <w:trPr>
          <w:trHeight w:hRule="exact" w:val="225"/>
        </w:trPr>
        <w:tc>
          <w:tcPr>
            <w:tcW w:w="1488" w:type="pct"/>
            <w:tcBorders>
              <w:top w:val="nil"/>
              <w:left w:val="nil"/>
              <w:bottom w:val="single" w:sz="4" w:space="0" w:color="293F5B"/>
              <w:right w:val="nil"/>
            </w:tcBorders>
            <w:shd w:val="clear" w:color="000000" w:fill="E6F2FF"/>
            <w:vAlign w:val="center"/>
            <w:hideMark/>
          </w:tcPr>
          <w:p w14:paraId="080226B7" w14:textId="77777777" w:rsidR="00673DF7" w:rsidRPr="00880FAB" w:rsidRDefault="00673DF7" w:rsidP="00673DF7">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Treasury</w:t>
            </w:r>
          </w:p>
        </w:tc>
        <w:tc>
          <w:tcPr>
            <w:tcW w:w="812" w:type="pct"/>
            <w:tcBorders>
              <w:top w:val="nil"/>
              <w:left w:val="nil"/>
              <w:bottom w:val="single" w:sz="4" w:space="0" w:color="293F5B"/>
              <w:right w:val="nil"/>
            </w:tcBorders>
            <w:shd w:val="clear" w:color="000000" w:fill="E6F2FF"/>
            <w:vAlign w:val="center"/>
            <w:hideMark/>
          </w:tcPr>
          <w:p w14:paraId="5593E8C9" w14:textId="77777777" w:rsidR="00673DF7" w:rsidRPr="00880FAB" w:rsidRDefault="00673DF7" w:rsidP="00673DF7">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103" w:type="pct"/>
            <w:tcBorders>
              <w:top w:val="nil"/>
              <w:left w:val="nil"/>
              <w:bottom w:val="single" w:sz="4" w:space="0" w:color="293F5B"/>
              <w:right w:val="nil"/>
            </w:tcBorders>
            <w:shd w:val="clear" w:color="000000" w:fill="E6F2FF"/>
            <w:vAlign w:val="center"/>
            <w:hideMark/>
          </w:tcPr>
          <w:p w14:paraId="26564A9A" w14:textId="77777777" w:rsidR="00673DF7" w:rsidRPr="00880FAB" w:rsidRDefault="00673DF7" w:rsidP="00673DF7">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908" w:type="pct"/>
            <w:tcBorders>
              <w:top w:val="nil"/>
              <w:left w:val="nil"/>
              <w:bottom w:val="single" w:sz="4" w:space="0" w:color="293F5B"/>
              <w:right w:val="nil"/>
            </w:tcBorders>
            <w:shd w:val="clear" w:color="000000" w:fill="E6F2FF"/>
            <w:vAlign w:val="center"/>
            <w:hideMark/>
          </w:tcPr>
          <w:p w14:paraId="5778B8C8" w14:textId="77777777" w:rsidR="00673DF7" w:rsidRPr="00880FAB" w:rsidRDefault="00673DF7" w:rsidP="0061147F">
            <w:pPr>
              <w:spacing w:before="0" w:after="0" w:line="240" w:lineRule="auto"/>
              <w:ind w:left="173"/>
              <w:rPr>
                <w:rFonts w:ascii="Arial" w:hAnsi="Arial" w:cs="Arial"/>
                <w:b/>
                <w:bCs/>
                <w:color w:val="000000"/>
                <w:sz w:val="16"/>
                <w:szCs w:val="16"/>
              </w:rPr>
            </w:pPr>
            <w:r w:rsidRPr="00880FAB">
              <w:rPr>
                <w:rFonts w:ascii="Arial" w:hAnsi="Arial" w:cs="Arial"/>
                <w:b/>
                <w:bCs/>
                <w:color w:val="000000"/>
                <w:sz w:val="16"/>
                <w:szCs w:val="16"/>
              </w:rPr>
              <w:t> </w:t>
            </w:r>
          </w:p>
        </w:tc>
        <w:tc>
          <w:tcPr>
            <w:tcW w:w="661" w:type="pct"/>
            <w:tcBorders>
              <w:top w:val="nil"/>
              <w:left w:val="nil"/>
              <w:bottom w:val="single" w:sz="4" w:space="0" w:color="293F5B"/>
              <w:right w:val="nil"/>
            </w:tcBorders>
            <w:shd w:val="clear" w:color="000000" w:fill="E6F2FF"/>
            <w:vAlign w:val="center"/>
            <w:hideMark/>
          </w:tcPr>
          <w:p w14:paraId="4D55AB65" w14:textId="77777777" w:rsidR="00673DF7" w:rsidRPr="00880FAB" w:rsidRDefault="00673DF7" w:rsidP="00673DF7">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526" w:type="pct"/>
            <w:tcBorders>
              <w:top w:val="nil"/>
              <w:left w:val="nil"/>
              <w:bottom w:val="single" w:sz="4" w:space="0" w:color="293F5B"/>
              <w:right w:val="nil"/>
            </w:tcBorders>
            <w:shd w:val="clear" w:color="000000" w:fill="E6F2FF"/>
            <w:vAlign w:val="center"/>
            <w:hideMark/>
          </w:tcPr>
          <w:p w14:paraId="6A9D1A41" w14:textId="77777777" w:rsidR="00673DF7" w:rsidRPr="00880FAB" w:rsidRDefault="00673DF7" w:rsidP="00D6164E">
            <w:pPr>
              <w:spacing w:before="0" w:after="0" w:line="240" w:lineRule="auto"/>
              <w:ind w:leftChars="-3" w:left="-1" w:hangingChars="3" w:hanging="5"/>
              <w:rPr>
                <w:rFonts w:ascii="Arial" w:hAnsi="Arial" w:cs="Arial"/>
                <w:b/>
                <w:bCs/>
                <w:color w:val="000000"/>
                <w:sz w:val="16"/>
                <w:szCs w:val="16"/>
              </w:rPr>
            </w:pPr>
            <w:r w:rsidRPr="00880FAB">
              <w:rPr>
                <w:rFonts w:ascii="Arial" w:hAnsi="Arial" w:cs="Arial"/>
                <w:b/>
                <w:bCs/>
                <w:color w:val="000000"/>
                <w:sz w:val="16"/>
                <w:szCs w:val="16"/>
              </w:rPr>
              <w:t> </w:t>
            </w:r>
          </w:p>
        </w:tc>
        <w:tc>
          <w:tcPr>
            <w:tcW w:w="501" w:type="pct"/>
            <w:tcBorders>
              <w:top w:val="nil"/>
              <w:left w:val="nil"/>
              <w:bottom w:val="single" w:sz="4" w:space="0" w:color="293F5B"/>
              <w:right w:val="nil"/>
            </w:tcBorders>
            <w:shd w:val="clear" w:color="000000" w:fill="E6F2FF"/>
            <w:vAlign w:val="center"/>
            <w:hideMark/>
          </w:tcPr>
          <w:p w14:paraId="28052447" w14:textId="77777777" w:rsidR="00673DF7" w:rsidRPr="00880FAB" w:rsidRDefault="00673DF7" w:rsidP="0061147F">
            <w:pPr>
              <w:spacing w:before="0" w:after="0" w:line="240" w:lineRule="auto"/>
              <w:ind w:firstLineChars="42" w:firstLine="67"/>
              <w:rPr>
                <w:rFonts w:ascii="Arial" w:hAnsi="Arial" w:cs="Arial"/>
                <w:b/>
                <w:bCs/>
                <w:color w:val="000000"/>
                <w:sz w:val="16"/>
                <w:szCs w:val="16"/>
              </w:rPr>
            </w:pPr>
            <w:r w:rsidRPr="00880FAB">
              <w:rPr>
                <w:rFonts w:ascii="Arial" w:hAnsi="Arial" w:cs="Arial"/>
                <w:b/>
                <w:bCs/>
                <w:color w:val="000000"/>
                <w:sz w:val="16"/>
                <w:szCs w:val="16"/>
              </w:rPr>
              <w:t> </w:t>
            </w:r>
          </w:p>
        </w:tc>
      </w:tr>
      <w:tr w:rsidR="00673DF7" w:rsidRPr="00880FAB" w14:paraId="216F0ACC" w14:textId="77777777" w:rsidTr="00673DF7">
        <w:trPr>
          <w:trHeight w:hRule="exact" w:val="225"/>
        </w:trPr>
        <w:tc>
          <w:tcPr>
            <w:tcW w:w="1488" w:type="pct"/>
            <w:tcBorders>
              <w:top w:val="nil"/>
              <w:left w:val="nil"/>
              <w:bottom w:val="single" w:sz="4" w:space="0" w:color="293F5B"/>
              <w:right w:val="nil"/>
            </w:tcBorders>
            <w:hideMark/>
          </w:tcPr>
          <w:p w14:paraId="01C7B1D0"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100,000 homes for first home buyers - loans</w:t>
            </w:r>
          </w:p>
        </w:tc>
        <w:tc>
          <w:tcPr>
            <w:tcW w:w="812" w:type="pct"/>
            <w:tcBorders>
              <w:top w:val="nil"/>
              <w:left w:val="nil"/>
              <w:bottom w:val="single" w:sz="4" w:space="0" w:color="293F5B"/>
              <w:right w:val="nil"/>
            </w:tcBorders>
            <w:hideMark/>
          </w:tcPr>
          <w:p w14:paraId="64FD3374"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57</w:t>
            </w:r>
          </w:p>
        </w:tc>
        <w:tc>
          <w:tcPr>
            <w:tcW w:w="103" w:type="pct"/>
            <w:tcBorders>
              <w:top w:val="nil"/>
              <w:left w:val="nil"/>
              <w:bottom w:val="single" w:sz="4" w:space="0" w:color="293F5B"/>
              <w:right w:val="nil"/>
            </w:tcBorders>
            <w:hideMark/>
          </w:tcPr>
          <w:p w14:paraId="60ABE081"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08" w:type="pct"/>
            <w:tcBorders>
              <w:top w:val="nil"/>
              <w:left w:val="nil"/>
              <w:bottom w:val="single" w:sz="4" w:space="0" w:color="293F5B"/>
              <w:right w:val="nil"/>
            </w:tcBorders>
            <w:hideMark/>
          </w:tcPr>
          <w:p w14:paraId="3CD08CE8" w14:textId="77777777" w:rsidR="00673DF7" w:rsidRPr="00880FAB" w:rsidRDefault="00673DF7" w:rsidP="0061147F">
            <w:pPr>
              <w:spacing w:before="0" w:after="0" w:line="240" w:lineRule="auto"/>
              <w:ind w:left="173"/>
              <w:rPr>
                <w:rFonts w:ascii="Arial" w:hAnsi="Arial" w:cs="Arial"/>
                <w:color w:val="000000"/>
                <w:sz w:val="16"/>
                <w:szCs w:val="16"/>
              </w:rPr>
            </w:pPr>
            <w:r w:rsidRPr="00880FAB">
              <w:rPr>
                <w:rFonts w:ascii="Arial" w:hAnsi="Arial" w:cs="Arial"/>
                <w:color w:val="000000"/>
                <w:sz w:val="16"/>
                <w:szCs w:val="16"/>
              </w:rPr>
              <w:t>State and territory</w:t>
            </w:r>
          </w:p>
        </w:tc>
        <w:tc>
          <w:tcPr>
            <w:tcW w:w="661" w:type="pct"/>
            <w:tcBorders>
              <w:top w:val="nil"/>
              <w:left w:val="nil"/>
              <w:bottom w:val="single" w:sz="4" w:space="0" w:color="293F5B"/>
              <w:right w:val="nil"/>
            </w:tcBorders>
            <w:hideMark/>
          </w:tcPr>
          <w:p w14:paraId="27BA642B" w14:textId="0B3E9318"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0</w:t>
            </w:r>
            <w:r w:rsidR="00AA06F4">
              <w:rPr>
                <w:rFonts w:ascii="Arial" w:hAnsi="Arial" w:cs="Arial"/>
                <w:color w:val="000000"/>
                <w:sz w:val="16"/>
                <w:szCs w:val="16"/>
              </w:rPr>
              <w:t> per cent</w:t>
            </w:r>
          </w:p>
        </w:tc>
        <w:tc>
          <w:tcPr>
            <w:tcW w:w="526" w:type="pct"/>
            <w:tcBorders>
              <w:top w:val="nil"/>
              <w:left w:val="nil"/>
              <w:bottom w:val="single" w:sz="4" w:space="0" w:color="293F5B"/>
              <w:right w:val="nil"/>
            </w:tcBorders>
            <w:hideMark/>
          </w:tcPr>
          <w:p w14:paraId="34A18ED4" w14:textId="77777777" w:rsidR="00673DF7" w:rsidRPr="00880FAB" w:rsidRDefault="00673DF7" w:rsidP="00D6164E">
            <w:pPr>
              <w:spacing w:before="0" w:after="0" w:line="240" w:lineRule="auto"/>
              <w:ind w:leftChars="-3" w:left="-1" w:hangingChars="3" w:hanging="5"/>
              <w:rPr>
                <w:rFonts w:ascii="Arial" w:hAnsi="Arial" w:cs="Arial"/>
                <w:color w:val="000000"/>
                <w:sz w:val="16"/>
                <w:szCs w:val="16"/>
              </w:rPr>
            </w:pPr>
            <w:r w:rsidRPr="00880FAB">
              <w:rPr>
                <w:rFonts w:ascii="Arial" w:hAnsi="Arial" w:cs="Arial"/>
                <w:color w:val="000000"/>
                <w:sz w:val="16"/>
                <w:szCs w:val="16"/>
              </w:rPr>
              <w:t>Various</w:t>
            </w:r>
          </w:p>
        </w:tc>
        <w:tc>
          <w:tcPr>
            <w:tcW w:w="501" w:type="pct"/>
            <w:tcBorders>
              <w:top w:val="nil"/>
              <w:left w:val="nil"/>
              <w:bottom w:val="single" w:sz="4" w:space="0" w:color="293F5B"/>
              <w:right w:val="nil"/>
            </w:tcBorders>
            <w:hideMark/>
          </w:tcPr>
          <w:p w14:paraId="34F12040" w14:textId="77777777" w:rsidR="00673DF7" w:rsidRPr="00880FAB" w:rsidRDefault="00673DF7" w:rsidP="0061147F">
            <w:pPr>
              <w:spacing w:before="0" w:after="0" w:line="240" w:lineRule="auto"/>
              <w:ind w:firstLineChars="42" w:firstLine="67"/>
              <w:rPr>
                <w:rFonts w:ascii="Arial" w:hAnsi="Arial" w:cs="Arial"/>
                <w:color w:val="000000"/>
                <w:sz w:val="16"/>
                <w:szCs w:val="16"/>
              </w:rPr>
            </w:pPr>
            <w:r w:rsidRPr="00880FAB">
              <w:rPr>
                <w:rFonts w:ascii="Arial" w:hAnsi="Arial" w:cs="Arial"/>
                <w:color w:val="000000"/>
                <w:sz w:val="16"/>
                <w:szCs w:val="16"/>
              </w:rPr>
              <w:t>Modified </w:t>
            </w:r>
          </w:p>
        </w:tc>
      </w:tr>
      <w:tr w:rsidR="00673DF7" w:rsidRPr="00880FAB" w14:paraId="66D384DF" w14:textId="77777777" w:rsidTr="00673DF7">
        <w:trPr>
          <w:trHeight w:hRule="exact" w:val="450"/>
        </w:trPr>
        <w:tc>
          <w:tcPr>
            <w:tcW w:w="1488" w:type="pct"/>
            <w:tcBorders>
              <w:top w:val="nil"/>
              <w:left w:val="nil"/>
              <w:bottom w:val="single" w:sz="4" w:space="0" w:color="293F5B"/>
              <w:right w:val="nil"/>
            </w:tcBorders>
            <w:hideMark/>
          </w:tcPr>
          <w:p w14:paraId="3BFDFBE4"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Affordable Housing Bond Aggregator </w:t>
            </w:r>
          </w:p>
        </w:tc>
        <w:tc>
          <w:tcPr>
            <w:tcW w:w="812" w:type="pct"/>
            <w:tcBorders>
              <w:top w:val="nil"/>
              <w:left w:val="nil"/>
              <w:bottom w:val="single" w:sz="4" w:space="0" w:color="293F5B"/>
              <w:right w:val="nil"/>
            </w:tcBorders>
            <w:hideMark/>
          </w:tcPr>
          <w:p w14:paraId="19B5341F"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754</w:t>
            </w:r>
          </w:p>
        </w:tc>
        <w:tc>
          <w:tcPr>
            <w:tcW w:w="103" w:type="pct"/>
            <w:tcBorders>
              <w:top w:val="nil"/>
              <w:left w:val="nil"/>
              <w:bottom w:val="single" w:sz="4" w:space="0" w:color="293F5B"/>
              <w:right w:val="nil"/>
            </w:tcBorders>
            <w:hideMark/>
          </w:tcPr>
          <w:p w14:paraId="579D3804"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08" w:type="pct"/>
            <w:tcBorders>
              <w:top w:val="nil"/>
              <w:left w:val="nil"/>
              <w:bottom w:val="single" w:sz="4" w:space="0" w:color="293F5B"/>
              <w:right w:val="nil"/>
            </w:tcBorders>
            <w:hideMark/>
          </w:tcPr>
          <w:p w14:paraId="457AD87B" w14:textId="77777777" w:rsidR="00673DF7" w:rsidRPr="00880FAB" w:rsidRDefault="00673DF7" w:rsidP="0061147F">
            <w:pPr>
              <w:spacing w:before="0" w:after="0" w:line="240" w:lineRule="auto"/>
              <w:ind w:left="173"/>
              <w:rPr>
                <w:rFonts w:ascii="Arial" w:hAnsi="Arial" w:cs="Arial"/>
                <w:color w:val="000000"/>
                <w:sz w:val="16"/>
                <w:szCs w:val="16"/>
              </w:rPr>
            </w:pPr>
            <w:r w:rsidRPr="00880FAB">
              <w:rPr>
                <w:rFonts w:ascii="Arial" w:hAnsi="Arial" w:cs="Arial"/>
                <w:color w:val="000000"/>
                <w:sz w:val="16"/>
                <w:szCs w:val="16"/>
              </w:rPr>
              <w:t>Housing Australia</w:t>
            </w:r>
          </w:p>
        </w:tc>
        <w:tc>
          <w:tcPr>
            <w:tcW w:w="661" w:type="pct"/>
            <w:tcBorders>
              <w:top w:val="nil"/>
              <w:left w:val="nil"/>
              <w:bottom w:val="single" w:sz="4" w:space="0" w:color="293F5B"/>
              <w:right w:val="nil"/>
            </w:tcBorders>
            <w:hideMark/>
          </w:tcPr>
          <w:p w14:paraId="03E6A232" w14:textId="77777777" w:rsidR="00F24BEE"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Commonwealth </w:t>
            </w:r>
          </w:p>
          <w:p w14:paraId="14CFB729" w14:textId="46B75FE5"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cost of borrowing </w:t>
            </w:r>
          </w:p>
        </w:tc>
        <w:tc>
          <w:tcPr>
            <w:tcW w:w="526" w:type="pct"/>
            <w:tcBorders>
              <w:top w:val="nil"/>
              <w:left w:val="nil"/>
              <w:bottom w:val="single" w:sz="4" w:space="0" w:color="293F5B"/>
              <w:right w:val="nil"/>
            </w:tcBorders>
            <w:hideMark/>
          </w:tcPr>
          <w:p w14:paraId="7FB25684" w14:textId="77777777" w:rsidR="00673DF7" w:rsidRPr="00880FAB" w:rsidRDefault="00673DF7" w:rsidP="00D6164E">
            <w:pPr>
              <w:spacing w:before="0" w:after="0" w:line="240" w:lineRule="auto"/>
              <w:ind w:leftChars="-3" w:left="-1" w:hangingChars="3" w:hanging="5"/>
              <w:rPr>
                <w:rFonts w:ascii="Arial" w:hAnsi="Arial" w:cs="Arial"/>
                <w:color w:val="000000"/>
                <w:sz w:val="16"/>
                <w:szCs w:val="16"/>
              </w:rPr>
            </w:pPr>
            <w:r w:rsidRPr="00880FAB">
              <w:rPr>
                <w:rFonts w:ascii="Arial" w:hAnsi="Arial" w:cs="Arial"/>
                <w:color w:val="000000"/>
                <w:sz w:val="16"/>
                <w:szCs w:val="16"/>
              </w:rPr>
              <w:t>Various </w:t>
            </w:r>
          </w:p>
        </w:tc>
        <w:tc>
          <w:tcPr>
            <w:tcW w:w="501" w:type="pct"/>
            <w:tcBorders>
              <w:top w:val="nil"/>
              <w:left w:val="nil"/>
              <w:bottom w:val="single" w:sz="4" w:space="0" w:color="293F5B"/>
              <w:right w:val="nil"/>
            </w:tcBorders>
            <w:hideMark/>
          </w:tcPr>
          <w:p w14:paraId="77ADEFC0" w14:textId="77777777" w:rsidR="00673DF7" w:rsidRPr="00880FAB" w:rsidRDefault="00673DF7" w:rsidP="0061147F">
            <w:pPr>
              <w:spacing w:before="0" w:after="0" w:line="240" w:lineRule="auto"/>
              <w:ind w:firstLineChars="42" w:firstLine="67"/>
              <w:rPr>
                <w:rFonts w:ascii="Arial" w:hAnsi="Arial" w:cs="Arial"/>
                <w:color w:val="000000"/>
                <w:sz w:val="16"/>
                <w:szCs w:val="16"/>
              </w:rPr>
            </w:pPr>
            <w:r w:rsidRPr="00880FAB">
              <w:rPr>
                <w:rFonts w:ascii="Arial" w:hAnsi="Arial" w:cs="Arial"/>
                <w:color w:val="000000"/>
                <w:sz w:val="16"/>
                <w:szCs w:val="16"/>
              </w:rPr>
              <w:t>Unchanged </w:t>
            </w:r>
          </w:p>
        </w:tc>
      </w:tr>
      <w:tr w:rsidR="00673DF7" w:rsidRPr="00880FAB" w14:paraId="24CEF10F" w14:textId="77777777" w:rsidTr="00673DF7">
        <w:trPr>
          <w:trHeight w:hRule="exact" w:val="675"/>
        </w:trPr>
        <w:tc>
          <w:tcPr>
            <w:tcW w:w="1488" w:type="pct"/>
            <w:tcBorders>
              <w:top w:val="nil"/>
              <w:left w:val="nil"/>
              <w:bottom w:val="single" w:sz="4" w:space="0" w:color="293F5B"/>
              <w:right w:val="nil"/>
            </w:tcBorders>
            <w:hideMark/>
          </w:tcPr>
          <w:p w14:paraId="4FDA8426"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Commonwealth-State financing </w:t>
            </w:r>
          </w:p>
          <w:p w14:paraId="36FC26E9"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arrangements – housing and specific </w:t>
            </w:r>
          </w:p>
          <w:p w14:paraId="5B9D3D0C" w14:textId="0D0C96A6"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purpose capital</w:t>
            </w:r>
          </w:p>
        </w:tc>
        <w:tc>
          <w:tcPr>
            <w:tcW w:w="812" w:type="pct"/>
            <w:tcBorders>
              <w:top w:val="nil"/>
              <w:left w:val="nil"/>
              <w:bottom w:val="single" w:sz="4" w:space="0" w:color="293F5B"/>
              <w:right w:val="nil"/>
            </w:tcBorders>
            <w:hideMark/>
          </w:tcPr>
          <w:p w14:paraId="3A3BCDA0"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1,004</w:t>
            </w:r>
          </w:p>
        </w:tc>
        <w:tc>
          <w:tcPr>
            <w:tcW w:w="103" w:type="pct"/>
            <w:tcBorders>
              <w:top w:val="nil"/>
              <w:left w:val="nil"/>
              <w:bottom w:val="single" w:sz="4" w:space="0" w:color="293F5B"/>
              <w:right w:val="nil"/>
            </w:tcBorders>
            <w:hideMark/>
          </w:tcPr>
          <w:p w14:paraId="234C4BEB"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08" w:type="pct"/>
            <w:tcBorders>
              <w:top w:val="nil"/>
              <w:left w:val="nil"/>
              <w:bottom w:val="single" w:sz="4" w:space="0" w:color="293F5B"/>
              <w:right w:val="nil"/>
            </w:tcBorders>
            <w:hideMark/>
          </w:tcPr>
          <w:p w14:paraId="41093337" w14:textId="77777777" w:rsidR="00673DF7" w:rsidRPr="00880FAB" w:rsidRDefault="00673DF7" w:rsidP="0061147F">
            <w:pPr>
              <w:spacing w:before="0" w:after="0" w:line="240" w:lineRule="auto"/>
              <w:ind w:left="173"/>
              <w:rPr>
                <w:rFonts w:ascii="Arial" w:hAnsi="Arial" w:cs="Arial"/>
                <w:color w:val="000000"/>
                <w:sz w:val="16"/>
                <w:szCs w:val="16"/>
              </w:rPr>
            </w:pPr>
            <w:r w:rsidRPr="00880FAB">
              <w:rPr>
                <w:rFonts w:ascii="Arial" w:hAnsi="Arial" w:cs="Arial"/>
                <w:color w:val="000000"/>
                <w:sz w:val="16"/>
                <w:szCs w:val="16"/>
              </w:rPr>
              <w:t>State and Northern Territory governments </w:t>
            </w:r>
          </w:p>
        </w:tc>
        <w:tc>
          <w:tcPr>
            <w:tcW w:w="661" w:type="pct"/>
            <w:tcBorders>
              <w:top w:val="nil"/>
              <w:left w:val="nil"/>
              <w:bottom w:val="single" w:sz="4" w:space="0" w:color="293F5B"/>
              <w:right w:val="nil"/>
            </w:tcBorders>
            <w:hideMark/>
          </w:tcPr>
          <w:p w14:paraId="18FE8B57"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4 to 5 per cent </w:t>
            </w:r>
          </w:p>
        </w:tc>
        <w:tc>
          <w:tcPr>
            <w:tcW w:w="526" w:type="pct"/>
            <w:tcBorders>
              <w:top w:val="nil"/>
              <w:left w:val="nil"/>
              <w:bottom w:val="single" w:sz="4" w:space="0" w:color="293F5B"/>
              <w:right w:val="nil"/>
            </w:tcBorders>
            <w:hideMark/>
          </w:tcPr>
          <w:p w14:paraId="4E19EE9F" w14:textId="77777777" w:rsidR="00F24BEE" w:rsidRPr="00880FAB" w:rsidRDefault="00673DF7" w:rsidP="00D6164E">
            <w:pPr>
              <w:spacing w:before="0" w:after="0" w:line="240" w:lineRule="auto"/>
              <w:ind w:leftChars="-3" w:left="-1" w:hangingChars="3" w:hanging="5"/>
              <w:rPr>
                <w:rFonts w:ascii="Arial" w:hAnsi="Arial" w:cs="Arial"/>
                <w:color w:val="000000"/>
                <w:sz w:val="16"/>
                <w:szCs w:val="16"/>
              </w:rPr>
            </w:pPr>
            <w:r w:rsidRPr="00880FAB">
              <w:rPr>
                <w:rFonts w:ascii="Arial" w:hAnsi="Arial" w:cs="Arial"/>
                <w:color w:val="000000"/>
                <w:sz w:val="16"/>
                <w:szCs w:val="16"/>
              </w:rPr>
              <w:t xml:space="preserve">Up to </w:t>
            </w:r>
          </w:p>
          <w:p w14:paraId="78345195" w14:textId="040BA732" w:rsidR="00673DF7" w:rsidRPr="00880FAB" w:rsidRDefault="00673DF7" w:rsidP="00D6164E">
            <w:pPr>
              <w:spacing w:before="0" w:after="0" w:line="240" w:lineRule="auto"/>
              <w:ind w:leftChars="-3" w:left="-1" w:hangingChars="3" w:hanging="5"/>
              <w:rPr>
                <w:rFonts w:ascii="Arial" w:hAnsi="Arial" w:cs="Arial"/>
                <w:color w:val="000000"/>
                <w:sz w:val="16"/>
                <w:szCs w:val="16"/>
              </w:rPr>
            </w:pPr>
            <w:r w:rsidRPr="00880FAB">
              <w:rPr>
                <w:rFonts w:ascii="Arial" w:hAnsi="Arial" w:cs="Arial"/>
                <w:color w:val="000000"/>
                <w:sz w:val="16"/>
                <w:szCs w:val="16"/>
              </w:rPr>
              <w:t>30 June 2042</w:t>
            </w:r>
          </w:p>
        </w:tc>
        <w:tc>
          <w:tcPr>
            <w:tcW w:w="501" w:type="pct"/>
            <w:tcBorders>
              <w:top w:val="nil"/>
              <w:left w:val="nil"/>
              <w:bottom w:val="single" w:sz="4" w:space="0" w:color="293F5B"/>
              <w:right w:val="nil"/>
            </w:tcBorders>
            <w:hideMark/>
          </w:tcPr>
          <w:p w14:paraId="0A2ABE30" w14:textId="77777777" w:rsidR="00673DF7" w:rsidRPr="00880FAB" w:rsidRDefault="00673DF7" w:rsidP="0061147F">
            <w:pPr>
              <w:spacing w:before="0" w:after="0" w:line="240" w:lineRule="auto"/>
              <w:ind w:firstLineChars="42" w:firstLine="67"/>
              <w:rPr>
                <w:rFonts w:ascii="Arial" w:hAnsi="Arial" w:cs="Arial"/>
                <w:color w:val="000000"/>
                <w:sz w:val="16"/>
                <w:szCs w:val="16"/>
              </w:rPr>
            </w:pPr>
            <w:r w:rsidRPr="00880FAB">
              <w:rPr>
                <w:rFonts w:ascii="Arial" w:hAnsi="Arial" w:cs="Arial"/>
                <w:color w:val="000000"/>
                <w:sz w:val="16"/>
                <w:szCs w:val="16"/>
              </w:rPr>
              <w:t>Unchanged </w:t>
            </w:r>
          </w:p>
        </w:tc>
      </w:tr>
      <w:tr w:rsidR="00673DF7" w:rsidRPr="00880FAB" w14:paraId="797D8D02" w14:textId="77777777" w:rsidTr="00673DF7">
        <w:trPr>
          <w:trHeight w:hRule="exact" w:val="225"/>
        </w:trPr>
        <w:tc>
          <w:tcPr>
            <w:tcW w:w="1488" w:type="pct"/>
            <w:tcBorders>
              <w:top w:val="nil"/>
              <w:left w:val="nil"/>
              <w:bottom w:val="single" w:sz="4" w:space="0" w:color="293F5B"/>
              <w:right w:val="nil"/>
            </w:tcBorders>
            <w:shd w:val="clear" w:color="000000" w:fill="E6F2FF"/>
            <w:vAlign w:val="center"/>
            <w:hideMark/>
          </w:tcPr>
          <w:p w14:paraId="32029A13" w14:textId="77777777" w:rsidR="00673DF7" w:rsidRPr="00880FAB" w:rsidRDefault="00673DF7" w:rsidP="00673DF7">
            <w:pPr>
              <w:spacing w:before="0" w:after="0" w:line="240" w:lineRule="auto"/>
              <w:ind w:firstLineChars="100" w:firstLine="161"/>
              <w:rPr>
                <w:rFonts w:ascii="Arial" w:hAnsi="Arial" w:cs="Arial"/>
                <w:b/>
                <w:bCs/>
                <w:color w:val="000000"/>
                <w:sz w:val="16"/>
                <w:szCs w:val="16"/>
              </w:rPr>
            </w:pPr>
            <w:r w:rsidRPr="00880FAB">
              <w:rPr>
                <w:rFonts w:ascii="Arial" w:hAnsi="Arial" w:cs="Arial"/>
                <w:b/>
                <w:bCs/>
                <w:color w:val="000000"/>
                <w:sz w:val="16"/>
                <w:szCs w:val="16"/>
              </w:rPr>
              <w:t>Treasury (continued)</w:t>
            </w:r>
          </w:p>
        </w:tc>
        <w:tc>
          <w:tcPr>
            <w:tcW w:w="812" w:type="pct"/>
            <w:tcBorders>
              <w:top w:val="nil"/>
              <w:left w:val="nil"/>
              <w:bottom w:val="single" w:sz="4" w:space="0" w:color="293F5B"/>
              <w:right w:val="nil"/>
            </w:tcBorders>
            <w:shd w:val="clear" w:color="000000" w:fill="E6F2FF"/>
            <w:vAlign w:val="center"/>
            <w:hideMark/>
          </w:tcPr>
          <w:p w14:paraId="28DDABA3" w14:textId="77777777" w:rsidR="00673DF7" w:rsidRPr="00880FAB" w:rsidRDefault="00673DF7" w:rsidP="00673DF7">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103" w:type="pct"/>
            <w:tcBorders>
              <w:top w:val="nil"/>
              <w:left w:val="nil"/>
              <w:bottom w:val="single" w:sz="4" w:space="0" w:color="293F5B"/>
              <w:right w:val="nil"/>
            </w:tcBorders>
            <w:shd w:val="clear" w:color="000000" w:fill="E6F2FF"/>
            <w:vAlign w:val="center"/>
            <w:hideMark/>
          </w:tcPr>
          <w:p w14:paraId="5B0E52CC" w14:textId="77777777" w:rsidR="00673DF7" w:rsidRPr="00880FAB" w:rsidRDefault="00673DF7" w:rsidP="00673DF7">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908" w:type="pct"/>
            <w:tcBorders>
              <w:top w:val="nil"/>
              <w:left w:val="nil"/>
              <w:bottom w:val="single" w:sz="4" w:space="0" w:color="293F5B"/>
              <w:right w:val="nil"/>
            </w:tcBorders>
            <w:shd w:val="clear" w:color="000000" w:fill="E6F2FF"/>
            <w:vAlign w:val="center"/>
            <w:hideMark/>
          </w:tcPr>
          <w:p w14:paraId="4F8B39FE" w14:textId="77777777" w:rsidR="00673DF7" w:rsidRPr="00880FAB" w:rsidRDefault="00673DF7" w:rsidP="0061147F">
            <w:pPr>
              <w:spacing w:before="0" w:after="0" w:line="240" w:lineRule="auto"/>
              <w:ind w:left="173"/>
              <w:rPr>
                <w:rFonts w:ascii="Arial" w:hAnsi="Arial" w:cs="Arial"/>
                <w:b/>
                <w:bCs/>
                <w:color w:val="000000"/>
                <w:sz w:val="16"/>
                <w:szCs w:val="16"/>
              </w:rPr>
            </w:pPr>
            <w:r w:rsidRPr="00880FAB">
              <w:rPr>
                <w:rFonts w:ascii="Arial" w:hAnsi="Arial" w:cs="Arial"/>
                <w:b/>
                <w:bCs/>
                <w:color w:val="000000"/>
                <w:sz w:val="16"/>
                <w:szCs w:val="16"/>
              </w:rPr>
              <w:t> </w:t>
            </w:r>
          </w:p>
        </w:tc>
        <w:tc>
          <w:tcPr>
            <w:tcW w:w="661" w:type="pct"/>
            <w:tcBorders>
              <w:top w:val="nil"/>
              <w:left w:val="nil"/>
              <w:bottom w:val="single" w:sz="4" w:space="0" w:color="293F5B"/>
              <w:right w:val="nil"/>
            </w:tcBorders>
            <w:shd w:val="clear" w:color="000000" w:fill="E6F2FF"/>
            <w:vAlign w:val="center"/>
            <w:hideMark/>
          </w:tcPr>
          <w:p w14:paraId="2B3CB5F8" w14:textId="77777777" w:rsidR="00673DF7" w:rsidRPr="00880FAB" w:rsidRDefault="00673DF7" w:rsidP="00673DF7">
            <w:pPr>
              <w:spacing w:before="0" w:after="0" w:line="240" w:lineRule="auto"/>
              <w:rPr>
                <w:rFonts w:ascii="Arial" w:hAnsi="Arial" w:cs="Arial"/>
                <w:b/>
                <w:bCs/>
                <w:color w:val="000000"/>
                <w:sz w:val="16"/>
                <w:szCs w:val="16"/>
              </w:rPr>
            </w:pPr>
            <w:r w:rsidRPr="00880FAB">
              <w:rPr>
                <w:rFonts w:ascii="Arial" w:hAnsi="Arial" w:cs="Arial"/>
                <w:b/>
                <w:bCs/>
                <w:color w:val="000000"/>
                <w:sz w:val="16"/>
                <w:szCs w:val="16"/>
              </w:rPr>
              <w:t> </w:t>
            </w:r>
          </w:p>
        </w:tc>
        <w:tc>
          <w:tcPr>
            <w:tcW w:w="526" w:type="pct"/>
            <w:tcBorders>
              <w:top w:val="nil"/>
              <w:left w:val="nil"/>
              <w:bottom w:val="single" w:sz="4" w:space="0" w:color="293F5B"/>
              <w:right w:val="nil"/>
            </w:tcBorders>
            <w:shd w:val="clear" w:color="000000" w:fill="E6F2FF"/>
            <w:vAlign w:val="center"/>
            <w:hideMark/>
          </w:tcPr>
          <w:p w14:paraId="531DA5C3" w14:textId="77777777" w:rsidR="00673DF7" w:rsidRPr="00880FAB" w:rsidRDefault="00673DF7" w:rsidP="00D6164E">
            <w:pPr>
              <w:spacing w:before="0" w:after="0" w:line="240" w:lineRule="auto"/>
              <w:ind w:leftChars="-3" w:left="-1" w:hangingChars="3" w:hanging="5"/>
              <w:rPr>
                <w:rFonts w:ascii="Arial" w:hAnsi="Arial" w:cs="Arial"/>
                <w:b/>
                <w:bCs/>
                <w:color w:val="000000"/>
                <w:sz w:val="16"/>
                <w:szCs w:val="16"/>
              </w:rPr>
            </w:pPr>
            <w:r w:rsidRPr="00880FAB">
              <w:rPr>
                <w:rFonts w:ascii="Arial" w:hAnsi="Arial" w:cs="Arial"/>
                <w:b/>
                <w:bCs/>
                <w:color w:val="000000"/>
                <w:sz w:val="16"/>
                <w:szCs w:val="16"/>
              </w:rPr>
              <w:t> </w:t>
            </w:r>
          </w:p>
        </w:tc>
        <w:tc>
          <w:tcPr>
            <w:tcW w:w="501" w:type="pct"/>
            <w:tcBorders>
              <w:top w:val="nil"/>
              <w:left w:val="nil"/>
              <w:bottom w:val="single" w:sz="4" w:space="0" w:color="293F5B"/>
              <w:right w:val="nil"/>
            </w:tcBorders>
            <w:shd w:val="clear" w:color="000000" w:fill="E6F2FF"/>
            <w:vAlign w:val="center"/>
            <w:hideMark/>
          </w:tcPr>
          <w:p w14:paraId="336D0C4C" w14:textId="77777777" w:rsidR="00673DF7" w:rsidRPr="00880FAB" w:rsidRDefault="00673DF7" w:rsidP="0061147F">
            <w:pPr>
              <w:spacing w:before="0" w:after="0" w:line="240" w:lineRule="auto"/>
              <w:ind w:firstLineChars="42" w:firstLine="67"/>
              <w:rPr>
                <w:rFonts w:ascii="Arial" w:hAnsi="Arial" w:cs="Arial"/>
                <w:b/>
                <w:bCs/>
                <w:color w:val="000000"/>
                <w:sz w:val="16"/>
                <w:szCs w:val="16"/>
              </w:rPr>
            </w:pPr>
            <w:r w:rsidRPr="00880FAB">
              <w:rPr>
                <w:rFonts w:ascii="Arial" w:hAnsi="Arial" w:cs="Arial"/>
                <w:b/>
                <w:bCs/>
                <w:color w:val="000000"/>
                <w:sz w:val="16"/>
                <w:szCs w:val="16"/>
              </w:rPr>
              <w:t> </w:t>
            </w:r>
          </w:p>
        </w:tc>
      </w:tr>
      <w:tr w:rsidR="00673DF7" w:rsidRPr="00880FAB" w14:paraId="493F4B4F" w14:textId="77777777" w:rsidTr="00673DF7">
        <w:trPr>
          <w:trHeight w:hRule="exact" w:val="225"/>
        </w:trPr>
        <w:tc>
          <w:tcPr>
            <w:tcW w:w="1488" w:type="pct"/>
            <w:tcBorders>
              <w:top w:val="nil"/>
              <w:left w:val="nil"/>
              <w:bottom w:val="single" w:sz="4" w:space="0" w:color="293F5B"/>
              <w:right w:val="nil"/>
            </w:tcBorders>
            <w:hideMark/>
          </w:tcPr>
          <w:p w14:paraId="609777EA"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International Monetary Fund – Poverty Reduction and Growth Trust</w:t>
            </w:r>
          </w:p>
        </w:tc>
        <w:tc>
          <w:tcPr>
            <w:tcW w:w="812" w:type="pct"/>
            <w:tcBorders>
              <w:top w:val="nil"/>
              <w:left w:val="nil"/>
              <w:bottom w:val="single" w:sz="4" w:space="0" w:color="293F5B"/>
              <w:right w:val="nil"/>
            </w:tcBorders>
            <w:hideMark/>
          </w:tcPr>
          <w:p w14:paraId="2DE04551"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670</w:t>
            </w:r>
          </w:p>
        </w:tc>
        <w:tc>
          <w:tcPr>
            <w:tcW w:w="103" w:type="pct"/>
            <w:tcBorders>
              <w:top w:val="nil"/>
              <w:left w:val="nil"/>
              <w:bottom w:val="single" w:sz="4" w:space="0" w:color="293F5B"/>
              <w:right w:val="nil"/>
            </w:tcBorders>
            <w:hideMark/>
          </w:tcPr>
          <w:p w14:paraId="0FD01131"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08" w:type="pct"/>
            <w:tcBorders>
              <w:top w:val="nil"/>
              <w:left w:val="nil"/>
              <w:bottom w:val="single" w:sz="4" w:space="0" w:color="293F5B"/>
              <w:right w:val="nil"/>
            </w:tcBorders>
            <w:hideMark/>
          </w:tcPr>
          <w:p w14:paraId="3C303355" w14:textId="77777777" w:rsidR="00673DF7" w:rsidRPr="00880FAB" w:rsidRDefault="00673DF7" w:rsidP="0061147F">
            <w:pPr>
              <w:spacing w:before="0" w:after="0" w:line="240" w:lineRule="auto"/>
              <w:ind w:left="173"/>
              <w:rPr>
                <w:rFonts w:ascii="Arial" w:hAnsi="Arial" w:cs="Arial"/>
                <w:color w:val="000000"/>
                <w:sz w:val="16"/>
                <w:szCs w:val="16"/>
              </w:rPr>
            </w:pPr>
            <w:r w:rsidRPr="00880FAB">
              <w:rPr>
                <w:rFonts w:ascii="Arial" w:hAnsi="Arial" w:cs="Arial"/>
                <w:color w:val="000000"/>
                <w:sz w:val="16"/>
                <w:szCs w:val="16"/>
              </w:rPr>
              <w:t>International Monetary Fund </w:t>
            </w:r>
          </w:p>
        </w:tc>
        <w:tc>
          <w:tcPr>
            <w:tcW w:w="661" w:type="pct"/>
            <w:tcBorders>
              <w:top w:val="nil"/>
              <w:left w:val="nil"/>
              <w:bottom w:val="single" w:sz="4" w:space="0" w:color="293F5B"/>
              <w:right w:val="nil"/>
            </w:tcBorders>
            <w:hideMark/>
          </w:tcPr>
          <w:p w14:paraId="202E1601"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IMF SDR interest rate </w:t>
            </w:r>
          </w:p>
        </w:tc>
        <w:tc>
          <w:tcPr>
            <w:tcW w:w="526" w:type="pct"/>
            <w:tcBorders>
              <w:top w:val="nil"/>
              <w:left w:val="nil"/>
              <w:bottom w:val="single" w:sz="4" w:space="0" w:color="293F5B"/>
              <w:right w:val="nil"/>
            </w:tcBorders>
            <w:hideMark/>
          </w:tcPr>
          <w:p w14:paraId="230EDAD7" w14:textId="77777777" w:rsidR="00673DF7" w:rsidRPr="00880FAB" w:rsidRDefault="00673DF7" w:rsidP="00D6164E">
            <w:pPr>
              <w:spacing w:before="0" w:after="0" w:line="240" w:lineRule="auto"/>
              <w:ind w:leftChars="-3" w:left="-1" w:hangingChars="3" w:hanging="5"/>
              <w:rPr>
                <w:rFonts w:ascii="Arial" w:hAnsi="Arial" w:cs="Arial"/>
                <w:color w:val="000000"/>
                <w:sz w:val="16"/>
                <w:szCs w:val="16"/>
              </w:rPr>
            </w:pPr>
            <w:r w:rsidRPr="00880FAB">
              <w:rPr>
                <w:rFonts w:ascii="Arial" w:hAnsi="Arial" w:cs="Arial"/>
                <w:color w:val="000000"/>
                <w:sz w:val="16"/>
                <w:szCs w:val="16"/>
              </w:rPr>
              <w:t>Various</w:t>
            </w:r>
          </w:p>
        </w:tc>
        <w:tc>
          <w:tcPr>
            <w:tcW w:w="501" w:type="pct"/>
            <w:tcBorders>
              <w:top w:val="nil"/>
              <w:left w:val="nil"/>
              <w:bottom w:val="single" w:sz="4" w:space="0" w:color="293F5B"/>
              <w:right w:val="nil"/>
            </w:tcBorders>
            <w:hideMark/>
          </w:tcPr>
          <w:p w14:paraId="0BEE1F9C" w14:textId="77777777" w:rsidR="00673DF7" w:rsidRPr="00880FAB" w:rsidRDefault="00673DF7" w:rsidP="0061147F">
            <w:pPr>
              <w:spacing w:before="0" w:after="0" w:line="240" w:lineRule="auto"/>
              <w:ind w:firstLineChars="42" w:firstLine="67"/>
              <w:rPr>
                <w:rFonts w:ascii="Arial" w:hAnsi="Arial" w:cs="Arial"/>
                <w:color w:val="000000"/>
                <w:sz w:val="16"/>
                <w:szCs w:val="16"/>
              </w:rPr>
            </w:pPr>
            <w:r w:rsidRPr="00880FAB">
              <w:rPr>
                <w:rFonts w:ascii="Arial" w:hAnsi="Arial" w:cs="Arial"/>
                <w:color w:val="000000"/>
                <w:sz w:val="16"/>
                <w:szCs w:val="16"/>
              </w:rPr>
              <w:t>Modified </w:t>
            </w:r>
          </w:p>
        </w:tc>
      </w:tr>
      <w:tr w:rsidR="00673DF7" w:rsidRPr="00880FAB" w14:paraId="4D48CF44" w14:textId="77777777" w:rsidTr="00673DF7">
        <w:trPr>
          <w:trHeight w:hRule="exact" w:val="450"/>
        </w:trPr>
        <w:tc>
          <w:tcPr>
            <w:tcW w:w="1488" w:type="pct"/>
            <w:tcBorders>
              <w:top w:val="nil"/>
              <w:left w:val="nil"/>
              <w:bottom w:val="single" w:sz="4" w:space="0" w:color="293F5B"/>
              <w:right w:val="nil"/>
            </w:tcBorders>
            <w:hideMark/>
          </w:tcPr>
          <w:p w14:paraId="40A7D013"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International Monetary Fund – Resilience </w:t>
            </w:r>
          </w:p>
          <w:p w14:paraId="1C38F2EA" w14:textId="026D92DD"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and Sustainability Trust</w:t>
            </w:r>
          </w:p>
        </w:tc>
        <w:tc>
          <w:tcPr>
            <w:tcW w:w="812" w:type="pct"/>
            <w:tcBorders>
              <w:top w:val="nil"/>
              <w:left w:val="nil"/>
              <w:bottom w:val="single" w:sz="4" w:space="0" w:color="293F5B"/>
              <w:right w:val="nil"/>
            </w:tcBorders>
            <w:hideMark/>
          </w:tcPr>
          <w:p w14:paraId="4FCBACFC"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309</w:t>
            </w:r>
          </w:p>
        </w:tc>
        <w:tc>
          <w:tcPr>
            <w:tcW w:w="103" w:type="pct"/>
            <w:tcBorders>
              <w:top w:val="nil"/>
              <w:left w:val="nil"/>
              <w:bottom w:val="single" w:sz="4" w:space="0" w:color="293F5B"/>
              <w:right w:val="nil"/>
            </w:tcBorders>
            <w:hideMark/>
          </w:tcPr>
          <w:p w14:paraId="53B81F4E"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08" w:type="pct"/>
            <w:tcBorders>
              <w:top w:val="nil"/>
              <w:left w:val="nil"/>
              <w:bottom w:val="single" w:sz="4" w:space="0" w:color="293F5B"/>
              <w:right w:val="nil"/>
            </w:tcBorders>
            <w:hideMark/>
          </w:tcPr>
          <w:p w14:paraId="5995D26B" w14:textId="77777777" w:rsidR="00673DF7" w:rsidRPr="00880FAB" w:rsidRDefault="00673DF7" w:rsidP="0061147F">
            <w:pPr>
              <w:spacing w:before="0" w:after="0" w:line="240" w:lineRule="auto"/>
              <w:ind w:left="173"/>
              <w:rPr>
                <w:rFonts w:ascii="Arial" w:hAnsi="Arial" w:cs="Arial"/>
                <w:color w:val="000000"/>
                <w:sz w:val="16"/>
                <w:szCs w:val="16"/>
              </w:rPr>
            </w:pPr>
            <w:r w:rsidRPr="00880FAB">
              <w:rPr>
                <w:rFonts w:ascii="Arial" w:hAnsi="Arial" w:cs="Arial"/>
                <w:color w:val="000000"/>
                <w:sz w:val="16"/>
                <w:szCs w:val="16"/>
              </w:rPr>
              <w:t>International Monetary Fund </w:t>
            </w:r>
          </w:p>
        </w:tc>
        <w:tc>
          <w:tcPr>
            <w:tcW w:w="661" w:type="pct"/>
            <w:tcBorders>
              <w:top w:val="nil"/>
              <w:left w:val="nil"/>
              <w:bottom w:val="single" w:sz="4" w:space="0" w:color="293F5B"/>
              <w:right w:val="nil"/>
            </w:tcBorders>
            <w:hideMark/>
          </w:tcPr>
          <w:p w14:paraId="46C5596F"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IMF SDR interest </w:t>
            </w:r>
          </w:p>
          <w:p w14:paraId="63B63FF7" w14:textId="642A532A"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rate </w:t>
            </w:r>
          </w:p>
        </w:tc>
        <w:tc>
          <w:tcPr>
            <w:tcW w:w="526" w:type="pct"/>
            <w:tcBorders>
              <w:top w:val="nil"/>
              <w:left w:val="nil"/>
              <w:bottom w:val="single" w:sz="4" w:space="0" w:color="293F5B"/>
              <w:right w:val="nil"/>
            </w:tcBorders>
            <w:hideMark/>
          </w:tcPr>
          <w:p w14:paraId="74672365" w14:textId="77777777" w:rsidR="00F24BEE" w:rsidRPr="00880FAB" w:rsidRDefault="00673DF7" w:rsidP="00D6164E">
            <w:pPr>
              <w:spacing w:before="0" w:after="0" w:line="240" w:lineRule="auto"/>
              <w:ind w:leftChars="-3" w:left="-1" w:hangingChars="3" w:hanging="5"/>
              <w:rPr>
                <w:rFonts w:ascii="Arial" w:hAnsi="Arial" w:cs="Arial"/>
                <w:color w:val="000000"/>
                <w:sz w:val="16"/>
                <w:szCs w:val="16"/>
              </w:rPr>
            </w:pPr>
            <w:r w:rsidRPr="00880FAB">
              <w:rPr>
                <w:rFonts w:ascii="Arial" w:hAnsi="Arial" w:cs="Arial"/>
                <w:color w:val="000000"/>
                <w:sz w:val="16"/>
                <w:szCs w:val="16"/>
              </w:rPr>
              <w:t xml:space="preserve">Approximately </w:t>
            </w:r>
          </w:p>
          <w:p w14:paraId="61C0D28D" w14:textId="53E43236" w:rsidR="00673DF7" w:rsidRPr="00880FAB" w:rsidRDefault="00673DF7" w:rsidP="00D6164E">
            <w:pPr>
              <w:spacing w:before="0" w:after="0" w:line="240" w:lineRule="auto"/>
              <w:ind w:leftChars="-3" w:left="-1" w:hangingChars="3" w:hanging="5"/>
              <w:rPr>
                <w:rFonts w:ascii="Arial" w:hAnsi="Arial" w:cs="Arial"/>
                <w:color w:val="000000"/>
                <w:sz w:val="16"/>
                <w:szCs w:val="16"/>
              </w:rPr>
            </w:pPr>
            <w:r w:rsidRPr="00880FAB">
              <w:rPr>
                <w:rFonts w:ascii="Arial" w:hAnsi="Arial" w:cs="Arial"/>
                <w:color w:val="000000"/>
                <w:sz w:val="16"/>
                <w:szCs w:val="16"/>
              </w:rPr>
              <w:t>8 years </w:t>
            </w:r>
          </w:p>
        </w:tc>
        <w:tc>
          <w:tcPr>
            <w:tcW w:w="501" w:type="pct"/>
            <w:tcBorders>
              <w:top w:val="nil"/>
              <w:left w:val="nil"/>
              <w:bottom w:val="single" w:sz="4" w:space="0" w:color="293F5B"/>
              <w:right w:val="nil"/>
            </w:tcBorders>
            <w:hideMark/>
          </w:tcPr>
          <w:p w14:paraId="3D5A53AC" w14:textId="77777777" w:rsidR="00673DF7" w:rsidRPr="00880FAB" w:rsidRDefault="00673DF7" w:rsidP="0061147F">
            <w:pPr>
              <w:spacing w:before="0" w:after="0" w:line="240" w:lineRule="auto"/>
              <w:ind w:firstLineChars="42" w:firstLine="67"/>
              <w:rPr>
                <w:rFonts w:ascii="Arial" w:hAnsi="Arial" w:cs="Arial"/>
                <w:color w:val="000000"/>
                <w:sz w:val="16"/>
                <w:szCs w:val="16"/>
              </w:rPr>
            </w:pPr>
            <w:r w:rsidRPr="00880FAB">
              <w:rPr>
                <w:rFonts w:ascii="Arial" w:hAnsi="Arial" w:cs="Arial"/>
                <w:color w:val="000000"/>
                <w:sz w:val="16"/>
                <w:szCs w:val="16"/>
              </w:rPr>
              <w:t>Unchanged </w:t>
            </w:r>
          </w:p>
        </w:tc>
      </w:tr>
      <w:tr w:rsidR="00673DF7" w:rsidRPr="00880FAB" w14:paraId="28B6911A" w14:textId="77777777" w:rsidTr="00673DF7">
        <w:trPr>
          <w:trHeight w:hRule="exact" w:val="675"/>
        </w:trPr>
        <w:tc>
          <w:tcPr>
            <w:tcW w:w="1488" w:type="pct"/>
            <w:tcBorders>
              <w:top w:val="nil"/>
              <w:left w:val="nil"/>
              <w:bottom w:val="single" w:sz="4" w:space="0" w:color="293F5B"/>
              <w:right w:val="nil"/>
            </w:tcBorders>
            <w:hideMark/>
          </w:tcPr>
          <w:p w14:paraId="1973A00B"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Loan Agreement between the </w:t>
            </w:r>
          </w:p>
          <w:p w14:paraId="4917F845"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Australian Government and the Government </w:t>
            </w:r>
          </w:p>
          <w:p w14:paraId="7D443F1D" w14:textId="03CF7714"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of Indonesia </w:t>
            </w:r>
          </w:p>
        </w:tc>
        <w:tc>
          <w:tcPr>
            <w:tcW w:w="812" w:type="pct"/>
            <w:tcBorders>
              <w:top w:val="nil"/>
              <w:left w:val="nil"/>
              <w:bottom w:val="single" w:sz="4" w:space="0" w:color="293F5B"/>
              <w:right w:val="nil"/>
            </w:tcBorders>
            <w:hideMark/>
          </w:tcPr>
          <w:p w14:paraId="3E362C74"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768</w:t>
            </w:r>
          </w:p>
        </w:tc>
        <w:tc>
          <w:tcPr>
            <w:tcW w:w="103" w:type="pct"/>
            <w:tcBorders>
              <w:top w:val="nil"/>
              <w:left w:val="nil"/>
              <w:bottom w:val="single" w:sz="4" w:space="0" w:color="293F5B"/>
              <w:right w:val="nil"/>
            </w:tcBorders>
            <w:hideMark/>
          </w:tcPr>
          <w:p w14:paraId="3F542DCA"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08" w:type="pct"/>
            <w:tcBorders>
              <w:top w:val="nil"/>
              <w:left w:val="nil"/>
              <w:bottom w:val="single" w:sz="4" w:space="0" w:color="293F5B"/>
              <w:right w:val="nil"/>
            </w:tcBorders>
            <w:hideMark/>
          </w:tcPr>
          <w:p w14:paraId="1B6D7B72" w14:textId="77777777" w:rsidR="00673DF7" w:rsidRPr="00880FAB" w:rsidRDefault="00673DF7" w:rsidP="0061147F">
            <w:pPr>
              <w:spacing w:before="0" w:after="0" w:line="240" w:lineRule="auto"/>
              <w:ind w:left="173"/>
              <w:rPr>
                <w:rFonts w:ascii="Arial" w:hAnsi="Arial" w:cs="Arial"/>
                <w:color w:val="000000"/>
                <w:sz w:val="16"/>
                <w:szCs w:val="16"/>
              </w:rPr>
            </w:pPr>
            <w:r w:rsidRPr="00880FAB">
              <w:rPr>
                <w:rFonts w:ascii="Arial" w:hAnsi="Arial" w:cs="Arial"/>
                <w:color w:val="000000"/>
                <w:sz w:val="16"/>
                <w:szCs w:val="16"/>
              </w:rPr>
              <w:t>Government of Indonesia </w:t>
            </w:r>
          </w:p>
        </w:tc>
        <w:tc>
          <w:tcPr>
            <w:tcW w:w="661" w:type="pct"/>
            <w:tcBorders>
              <w:top w:val="nil"/>
              <w:left w:val="nil"/>
              <w:bottom w:val="single" w:sz="4" w:space="0" w:color="293F5B"/>
              <w:right w:val="nil"/>
            </w:tcBorders>
            <w:hideMark/>
          </w:tcPr>
          <w:p w14:paraId="516D35B4" w14:textId="77777777" w:rsidR="00F24BEE"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Commonwealth </w:t>
            </w:r>
          </w:p>
          <w:p w14:paraId="7E0952B8" w14:textId="77777777" w:rsidR="00F24BEE"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cost of borrowing </w:t>
            </w:r>
          </w:p>
          <w:p w14:paraId="52258ED1" w14:textId="65B22383"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plus 0.5 per cent </w:t>
            </w:r>
          </w:p>
        </w:tc>
        <w:tc>
          <w:tcPr>
            <w:tcW w:w="526" w:type="pct"/>
            <w:tcBorders>
              <w:top w:val="nil"/>
              <w:left w:val="nil"/>
              <w:bottom w:val="single" w:sz="4" w:space="0" w:color="293F5B"/>
              <w:right w:val="nil"/>
            </w:tcBorders>
            <w:hideMark/>
          </w:tcPr>
          <w:p w14:paraId="05E4CFEE" w14:textId="77777777" w:rsidR="00673DF7" w:rsidRPr="00880FAB" w:rsidRDefault="00673DF7" w:rsidP="00D6164E">
            <w:pPr>
              <w:spacing w:before="0" w:after="0" w:line="240" w:lineRule="auto"/>
              <w:ind w:leftChars="-3" w:left="-1" w:hangingChars="3" w:hanging="5"/>
              <w:rPr>
                <w:rFonts w:ascii="Arial" w:hAnsi="Arial" w:cs="Arial"/>
                <w:color w:val="000000"/>
                <w:sz w:val="16"/>
                <w:szCs w:val="16"/>
              </w:rPr>
            </w:pPr>
            <w:r w:rsidRPr="00880FAB">
              <w:rPr>
                <w:rFonts w:ascii="Arial" w:hAnsi="Arial" w:cs="Arial"/>
                <w:color w:val="000000"/>
                <w:sz w:val="16"/>
                <w:szCs w:val="16"/>
              </w:rPr>
              <w:t>15 years </w:t>
            </w:r>
          </w:p>
        </w:tc>
        <w:tc>
          <w:tcPr>
            <w:tcW w:w="501" w:type="pct"/>
            <w:tcBorders>
              <w:top w:val="nil"/>
              <w:left w:val="nil"/>
              <w:bottom w:val="single" w:sz="4" w:space="0" w:color="293F5B"/>
              <w:right w:val="nil"/>
            </w:tcBorders>
            <w:hideMark/>
          </w:tcPr>
          <w:p w14:paraId="3609956F" w14:textId="77777777" w:rsidR="00673DF7" w:rsidRPr="00880FAB" w:rsidRDefault="00673DF7" w:rsidP="0061147F">
            <w:pPr>
              <w:spacing w:before="0" w:after="0" w:line="240" w:lineRule="auto"/>
              <w:ind w:firstLineChars="42" w:firstLine="67"/>
              <w:rPr>
                <w:rFonts w:ascii="Arial" w:hAnsi="Arial" w:cs="Arial"/>
                <w:color w:val="000000"/>
                <w:sz w:val="16"/>
                <w:szCs w:val="16"/>
              </w:rPr>
            </w:pPr>
            <w:r w:rsidRPr="00880FAB">
              <w:rPr>
                <w:rFonts w:ascii="Arial" w:hAnsi="Arial" w:cs="Arial"/>
                <w:color w:val="000000"/>
                <w:sz w:val="16"/>
                <w:szCs w:val="16"/>
              </w:rPr>
              <w:t>Unchanged </w:t>
            </w:r>
          </w:p>
        </w:tc>
      </w:tr>
      <w:tr w:rsidR="00673DF7" w:rsidRPr="00880FAB" w14:paraId="04AC8664" w14:textId="77777777" w:rsidTr="00673DF7">
        <w:trPr>
          <w:trHeight w:hRule="exact" w:val="637"/>
        </w:trPr>
        <w:tc>
          <w:tcPr>
            <w:tcW w:w="1488" w:type="pct"/>
            <w:tcBorders>
              <w:top w:val="nil"/>
              <w:left w:val="nil"/>
              <w:bottom w:val="single" w:sz="4" w:space="0" w:color="293F5B"/>
              <w:right w:val="nil"/>
            </w:tcBorders>
            <w:hideMark/>
          </w:tcPr>
          <w:p w14:paraId="008A9ABC"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Loan Agreements between the </w:t>
            </w:r>
          </w:p>
          <w:p w14:paraId="61E9DF59"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 xml:space="preserve">Australian Government and the Government </w:t>
            </w:r>
          </w:p>
          <w:p w14:paraId="7EE95ABF" w14:textId="3C59F3C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of Papua New Guinea</w:t>
            </w:r>
          </w:p>
        </w:tc>
        <w:tc>
          <w:tcPr>
            <w:tcW w:w="812" w:type="pct"/>
            <w:tcBorders>
              <w:top w:val="nil"/>
              <w:left w:val="nil"/>
              <w:bottom w:val="single" w:sz="4" w:space="0" w:color="293F5B"/>
              <w:right w:val="nil"/>
            </w:tcBorders>
            <w:hideMark/>
          </w:tcPr>
          <w:p w14:paraId="594B5C74"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1,515</w:t>
            </w:r>
          </w:p>
        </w:tc>
        <w:tc>
          <w:tcPr>
            <w:tcW w:w="103" w:type="pct"/>
            <w:tcBorders>
              <w:top w:val="nil"/>
              <w:left w:val="nil"/>
              <w:bottom w:val="single" w:sz="4" w:space="0" w:color="293F5B"/>
              <w:right w:val="nil"/>
            </w:tcBorders>
            <w:hideMark/>
          </w:tcPr>
          <w:p w14:paraId="3B26ACC7" w14:textId="77777777" w:rsidR="00673DF7" w:rsidRPr="00880FAB" w:rsidRDefault="00673DF7" w:rsidP="00673DF7">
            <w:pPr>
              <w:spacing w:before="0" w:after="0" w:line="240" w:lineRule="auto"/>
              <w:ind w:firstLineChars="100" w:firstLine="160"/>
              <w:jc w:val="right"/>
              <w:rPr>
                <w:rFonts w:ascii="Arial" w:hAnsi="Arial" w:cs="Arial"/>
                <w:color w:val="000000"/>
                <w:sz w:val="16"/>
                <w:szCs w:val="16"/>
              </w:rPr>
            </w:pPr>
            <w:r w:rsidRPr="00880FAB">
              <w:rPr>
                <w:rFonts w:ascii="Arial" w:hAnsi="Arial" w:cs="Arial"/>
                <w:color w:val="000000"/>
                <w:sz w:val="16"/>
                <w:szCs w:val="16"/>
              </w:rPr>
              <w:t> </w:t>
            </w:r>
          </w:p>
        </w:tc>
        <w:tc>
          <w:tcPr>
            <w:tcW w:w="908" w:type="pct"/>
            <w:tcBorders>
              <w:top w:val="nil"/>
              <w:left w:val="nil"/>
              <w:bottom w:val="single" w:sz="4" w:space="0" w:color="293F5B"/>
              <w:right w:val="nil"/>
            </w:tcBorders>
            <w:hideMark/>
          </w:tcPr>
          <w:p w14:paraId="55BF1194" w14:textId="77777777" w:rsidR="00673DF7" w:rsidRPr="00880FAB" w:rsidRDefault="00673DF7" w:rsidP="0061147F">
            <w:pPr>
              <w:spacing w:before="0" w:after="0" w:line="240" w:lineRule="auto"/>
              <w:ind w:left="173"/>
              <w:rPr>
                <w:rFonts w:ascii="Arial" w:hAnsi="Arial" w:cs="Arial"/>
                <w:color w:val="000000"/>
                <w:sz w:val="16"/>
                <w:szCs w:val="16"/>
              </w:rPr>
            </w:pPr>
            <w:r w:rsidRPr="00880FAB">
              <w:rPr>
                <w:rFonts w:ascii="Arial" w:hAnsi="Arial" w:cs="Arial"/>
                <w:color w:val="000000"/>
                <w:sz w:val="16"/>
                <w:szCs w:val="16"/>
              </w:rPr>
              <w:t>Government of Papua New Guinea</w:t>
            </w:r>
          </w:p>
        </w:tc>
        <w:tc>
          <w:tcPr>
            <w:tcW w:w="661" w:type="pct"/>
            <w:tcBorders>
              <w:top w:val="nil"/>
              <w:left w:val="nil"/>
              <w:bottom w:val="single" w:sz="4" w:space="0" w:color="293F5B"/>
              <w:right w:val="nil"/>
            </w:tcBorders>
            <w:hideMark/>
          </w:tcPr>
          <w:p w14:paraId="1E1238F4" w14:textId="77777777" w:rsidR="00673DF7" w:rsidRPr="00880FAB" w:rsidRDefault="00673DF7" w:rsidP="00673DF7">
            <w:pPr>
              <w:spacing w:before="0" w:after="0" w:line="240" w:lineRule="auto"/>
              <w:ind w:firstLineChars="100" w:firstLine="160"/>
              <w:rPr>
                <w:rFonts w:ascii="Arial" w:hAnsi="Arial" w:cs="Arial"/>
                <w:color w:val="000000"/>
                <w:sz w:val="16"/>
                <w:szCs w:val="16"/>
              </w:rPr>
            </w:pPr>
            <w:r w:rsidRPr="00880FAB">
              <w:rPr>
                <w:rFonts w:ascii="Arial" w:hAnsi="Arial" w:cs="Arial"/>
                <w:color w:val="000000"/>
                <w:sz w:val="16"/>
                <w:szCs w:val="16"/>
              </w:rPr>
              <w:t>Various</w:t>
            </w:r>
          </w:p>
        </w:tc>
        <w:tc>
          <w:tcPr>
            <w:tcW w:w="526" w:type="pct"/>
            <w:tcBorders>
              <w:top w:val="nil"/>
              <w:left w:val="nil"/>
              <w:bottom w:val="single" w:sz="4" w:space="0" w:color="293F5B"/>
              <w:right w:val="nil"/>
            </w:tcBorders>
            <w:hideMark/>
          </w:tcPr>
          <w:p w14:paraId="3C1FA87B" w14:textId="77777777" w:rsidR="00673DF7" w:rsidRPr="00880FAB" w:rsidRDefault="00673DF7" w:rsidP="00D6164E">
            <w:pPr>
              <w:spacing w:before="0" w:after="0" w:line="240" w:lineRule="auto"/>
              <w:ind w:leftChars="-3" w:left="-1" w:hangingChars="3" w:hanging="5"/>
              <w:rPr>
                <w:rFonts w:ascii="Arial" w:hAnsi="Arial" w:cs="Arial"/>
                <w:color w:val="000000"/>
                <w:sz w:val="16"/>
                <w:szCs w:val="16"/>
              </w:rPr>
            </w:pPr>
            <w:r w:rsidRPr="00880FAB">
              <w:rPr>
                <w:rFonts w:ascii="Arial" w:hAnsi="Arial" w:cs="Arial"/>
                <w:color w:val="000000"/>
                <w:sz w:val="16"/>
                <w:szCs w:val="16"/>
              </w:rPr>
              <w:t>Various</w:t>
            </w:r>
          </w:p>
        </w:tc>
        <w:tc>
          <w:tcPr>
            <w:tcW w:w="501" w:type="pct"/>
            <w:tcBorders>
              <w:top w:val="nil"/>
              <w:left w:val="nil"/>
              <w:bottom w:val="single" w:sz="4" w:space="0" w:color="293F5B"/>
              <w:right w:val="nil"/>
            </w:tcBorders>
            <w:hideMark/>
          </w:tcPr>
          <w:p w14:paraId="258F473C" w14:textId="77777777" w:rsidR="00673DF7" w:rsidRPr="00880FAB" w:rsidRDefault="00673DF7" w:rsidP="0061147F">
            <w:pPr>
              <w:spacing w:before="0" w:after="0" w:line="240" w:lineRule="auto"/>
              <w:ind w:firstLineChars="42" w:firstLine="67"/>
              <w:rPr>
                <w:rFonts w:ascii="Arial" w:hAnsi="Arial" w:cs="Arial"/>
                <w:color w:val="000000"/>
                <w:sz w:val="16"/>
                <w:szCs w:val="16"/>
              </w:rPr>
            </w:pPr>
            <w:r w:rsidRPr="00880FAB">
              <w:rPr>
                <w:rFonts w:ascii="Arial" w:hAnsi="Arial" w:cs="Arial"/>
                <w:color w:val="000000"/>
                <w:sz w:val="16"/>
                <w:szCs w:val="16"/>
              </w:rPr>
              <w:t>Modified </w:t>
            </w:r>
          </w:p>
        </w:tc>
      </w:tr>
    </w:tbl>
    <w:p w14:paraId="330EAB51" w14:textId="79EFDB09" w:rsidR="007B5C53" w:rsidRPr="00D12C6F" w:rsidRDefault="007B5C53" w:rsidP="00A47596">
      <w:pPr>
        <w:pStyle w:val="ChartandTableFootnoteAlpha"/>
        <w:numPr>
          <w:ilvl w:val="0"/>
          <w:numId w:val="8"/>
        </w:numPr>
      </w:pPr>
      <w:r w:rsidRPr="00D12C6F">
        <w:t xml:space="preserve">Loan amount is the estimated loan program amounts outstanding as </w:t>
      </w:r>
      <w:proofErr w:type="gramStart"/>
      <w:r w:rsidRPr="00D12C6F">
        <w:t>at</w:t>
      </w:r>
      <w:proofErr w:type="gramEnd"/>
      <w:r w:rsidRPr="00D12C6F">
        <w:t xml:space="preserve"> 30 June 202</w:t>
      </w:r>
      <w:r w:rsidR="00877290">
        <w:t>6</w:t>
      </w:r>
      <w:r w:rsidRPr="00D12C6F">
        <w:t xml:space="preserve"> in $ million. </w:t>
      </w:r>
    </w:p>
    <w:p w14:paraId="54CF1645" w14:textId="31E7D853" w:rsidR="007B5C53" w:rsidRDefault="007B5C53" w:rsidP="00F414A0">
      <w:pPr>
        <w:pStyle w:val="ChartandTableFootnoteAlpha"/>
        <w:numPr>
          <w:ilvl w:val="0"/>
          <w:numId w:val="8"/>
        </w:numPr>
        <w:spacing w:before="0"/>
      </w:pPr>
      <w:r w:rsidRPr="00D12C6F">
        <w:t xml:space="preserve">Status of loan items are considered </w:t>
      </w:r>
      <w:r w:rsidR="00880FAB">
        <w:t>‘</w:t>
      </w:r>
      <w:r w:rsidRPr="00D12C6F">
        <w:t>unchanged</w:t>
      </w:r>
      <w:r w:rsidR="00880FAB">
        <w:t>’</w:t>
      </w:r>
      <w:r w:rsidRPr="00D12C6F">
        <w:t xml:space="preserve"> unless there are modifications to respective interest rates and/or loan term.</w:t>
      </w:r>
    </w:p>
    <w:p w14:paraId="329BE430" w14:textId="77777777" w:rsidR="00F414A0" w:rsidRPr="00F414A0" w:rsidRDefault="00F414A0" w:rsidP="00F414A0">
      <w:pPr>
        <w:pStyle w:val="TableLine"/>
      </w:pPr>
    </w:p>
    <w:p w14:paraId="490ADB03" w14:textId="77777777" w:rsidR="007B5C53" w:rsidRPr="00D12C6F" w:rsidRDefault="007B5C53" w:rsidP="001C5235">
      <w:pPr>
        <w:pStyle w:val="TableLine"/>
        <w:sectPr w:rsidR="007B5C53" w:rsidRPr="00D12C6F" w:rsidSect="00B816B9">
          <w:headerReference w:type="even" r:id="rId18"/>
          <w:headerReference w:type="default" r:id="rId19"/>
          <w:footerReference w:type="even" r:id="rId20"/>
          <w:footerReference w:type="default" r:id="rId21"/>
          <w:headerReference w:type="first" r:id="rId22"/>
          <w:footerReference w:type="first" r:id="rId23"/>
          <w:pgSz w:w="16840" w:h="11907" w:orient="landscape" w:code="9"/>
          <w:pgMar w:top="2098" w:right="2835" w:bottom="2098" w:left="2466" w:header="1814" w:footer="1814" w:gutter="0"/>
          <w:cols w:space="708"/>
          <w:docGrid w:linePitch="360"/>
        </w:sectPr>
      </w:pPr>
    </w:p>
    <w:p w14:paraId="4080D8B5" w14:textId="77777777" w:rsidR="00FE5F92" w:rsidRPr="00D12C6F" w:rsidRDefault="00FE5F92" w:rsidP="00FE5F92">
      <w:pPr>
        <w:pStyle w:val="Heading3"/>
        <w:rPr>
          <w:rFonts w:eastAsia="Arial"/>
        </w:rPr>
      </w:pPr>
      <w:bookmarkStart w:id="254" w:name="_Toc99141903"/>
      <w:bookmarkStart w:id="255" w:name="_Toc184039501"/>
      <w:bookmarkStart w:id="256" w:name="_Toc228987429"/>
      <w:r w:rsidRPr="00D12C6F">
        <w:rPr>
          <w:rFonts w:eastAsia="Arial"/>
        </w:rPr>
        <w:lastRenderedPageBreak/>
        <w:t xml:space="preserve">Agriculture, Fisheries and </w:t>
      </w:r>
      <w:bookmarkEnd w:id="254"/>
      <w:r w:rsidRPr="00D12C6F">
        <w:rPr>
          <w:rFonts w:eastAsia="Arial"/>
        </w:rPr>
        <w:t>Forestry</w:t>
      </w:r>
      <w:bookmarkEnd w:id="255"/>
      <w:bookmarkEnd w:id="256"/>
    </w:p>
    <w:p w14:paraId="49CD3BAD" w14:textId="0EC5DC4E" w:rsidR="00FE5F92" w:rsidRPr="00D12C6F" w:rsidRDefault="00FE5F92" w:rsidP="00FE5F92">
      <w:pPr>
        <w:pStyle w:val="Heading4"/>
        <w:rPr>
          <w:rFonts w:eastAsia="Arial"/>
        </w:rPr>
      </w:pPr>
      <w:bookmarkStart w:id="257" w:name="_Toc223077589"/>
      <w:bookmarkStart w:id="258" w:name="_Toc184039506"/>
      <w:bookmarkStart w:id="259" w:name="_Toc99141905"/>
      <w:r w:rsidRPr="00D12C6F">
        <w:rPr>
          <w:rFonts w:eastAsia="Arial"/>
        </w:rPr>
        <w:t xml:space="preserve">Farm Investment Loans, Drought Loans, </w:t>
      </w:r>
      <w:proofErr w:type="spellStart"/>
      <w:r w:rsidRPr="00D12C6F">
        <w:rPr>
          <w:rFonts w:eastAsia="Arial"/>
        </w:rPr>
        <w:t>AgriStarter</w:t>
      </w:r>
      <w:proofErr w:type="spellEnd"/>
      <w:r w:rsidRPr="00D12C6F">
        <w:rPr>
          <w:rFonts w:eastAsia="Arial"/>
        </w:rPr>
        <w:t xml:space="preserve"> Loans, </w:t>
      </w:r>
      <w:proofErr w:type="spellStart"/>
      <w:r w:rsidRPr="00D12C6F">
        <w:rPr>
          <w:rFonts w:eastAsia="Arial"/>
        </w:rPr>
        <w:t>AgBiz</w:t>
      </w:r>
      <w:proofErr w:type="spellEnd"/>
      <w:r w:rsidRPr="00D12C6F">
        <w:rPr>
          <w:rFonts w:eastAsia="Arial"/>
        </w:rPr>
        <w:t xml:space="preserve"> Drought Loans, </w:t>
      </w:r>
      <w:proofErr w:type="spellStart"/>
      <w:r w:rsidRPr="00D12C6F">
        <w:rPr>
          <w:rFonts w:eastAsia="Arial"/>
        </w:rPr>
        <w:t>AgRebuild</w:t>
      </w:r>
      <w:proofErr w:type="spellEnd"/>
      <w:r w:rsidRPr="00D12C6F">
        <w:rPr>
          <w:rFonts w:eastAsia="Arial"/>
        </w:rPr>
        <w:t xml:space="preserve">, </w:t>
      </w:r>
      <w:bookmarkEnd w:id="257"/>
      <w:r w:rsidRPr="00D12C6F">
        <w:rPr>
          <w:rFonts w:eastAsia="Arial"/>
        </w:rPr>
        <w:t xml:space="preserve">Drought Hardship Loans and Marine Recovery Loans </w:t>
      </w:r>
    </w:p>
    <w:p w14:paraId="1078BA92" w14:textId="3AC18413" w:rsidR="00FE5F92" w:rsidRPr="00D529D2" w:rsidRDefault="00FE5F92" w:rsidP="00FE5F92">
      <w:r w:rsidRPr="00D529D2">
        <w:t>The</w:t>
      </w:r>
      <w:r>
        <w:t xml:space="preserve"> Regional Investment Corporation currently delivers six loan products.</w:t>
      </w:r>
      <w:r w:rsidRPr="00D529D2">
        <w:t xml:space="preserve"> </w:t>
      </w:r>
      <w:r>
        <w:t>Four</w:t>
      </w:r>
      <w:r w:rsidRPr="00D529D2">
        <w:t xml:space="preserve"> loan products </w:t>
      </w:r>
      <w:r>
        <w:t xml:space="preserve">are </w:t>
      </w:r>
      <w:r w:rsidRPr="00D529D2">
        <w:t xml:space="preserve">available to farm businesses: Farm Investment Loans, Drought Loans, </w:t>
      </w:r>
      <w:proofErr w:type="spellStart"/>
      <w:r w:rsidRPr="00D529D2">
        <w:t>AgriStarter</w:t>
      </w:r>
      <w:proofErr w:type="spellEnd"/>
      <w:r w:rsidRPr="00D529D2">
        <w:t xml:space="preserve"> Loans</w:t>
      </w:r>
      <w:r>
        <w:t xml:space="preserve"> and </w:t>
      </w:r>
      <w:r w:rsidRPr="00D529D2">
        <w:t>Drought Hardship Loans (opened 31 March</w:t>
      </w:r>
      <w:r w:rsidR="004341C4">
        <w:t> 2026</w:t>
      </w:r>
      <w:r w:rsidRPr="00D529D2">
        <w:t xml:space="preserve">). In addition, </w:t>
      </w:r>
      <w:proofErr w:type="spellStart"/>
      <w:r w:rsidRPr="00D529D2">
        <w:t>AgBiz</w:t>
      </w:r>
      <w:proofErr w:type="spellEnd"/>
      <w:r w:rsidRPr="00D529D2">
        <w:t xml:space="preserve"> Drought Loans are available for small businesses</w:t>
      </w:r>
      <w:r>
        <w:t>, and Marine Recovery Loans (opened 6 May</w:t>
      </w:r>
      <w:r w:rsidR="004341C4">
        <w:t> 2026</w:t>
      </w:r>
      <w:r>
        <w:t>), are available for wild</w:t>
      </w:r>
      <w:r w:rsidR="00880FAB">
        <w:noBreakHyphen/>
      </w:r>
      <w:r>
        <w:t>catch fishing and aquaculture businesses</w:t>
      </w:r>
      <w:r w:rsidRPr="00D529D2">
        <w:t xml:space="preserve">. </w:t>
      </w:r>
      <w:proofErr w:type="spellStart"/>
      <w:r w:rsidRPr="00D529D2">
        <w:t>AgRebuild</w:t>
      </w:r>
      <w:proofErr w:type="spellEnd"/>
      <w:r w:rsidRPr="00D529D2">
        <w:t xml:space="preserve"> Loans (North Queensland flood) closed on 30 June</w:t>
      </w:r>
      <w:r w:rsidR="001370F4">
        <w:t> 2020</w:t>
      </w:r>
      <w:r w:rsidRPr="00D529D2">
        <w:t xml:space="preserve">. </w:t>
      </w:r>
    </w:p>
    <w:p w14:paraId="542DA429" w14:textId="3C08D92E" w:rsidR="00FE5F92" w:rsidRPr="00D529D2" w:rsidRDefault="00FE5F92" w:rsidP="00FE5F92">
      <w:pPr>
        <w:rPr>
          <w:i/>
        </w:rPr>
      </w:pPr>
      <w:r w:rsidRPr="00D529D2">
        <w:t xml:space="preserve">The total fair value of Farm Investment Loans, Drought Loans, </w:t>
      </w:r>
      <w:proofErr w:type="spellStart"/>
      <w:r w:rsidRPr="00D529D2">
        <w:t>AgriStarter</w:t>
      </w:r>
      <w:proofErr w:type="spellEnd"/>
      <w:r w:rsidRPr="00D529D2">
        <w:t xml:space="preserve"> Loans, </w:t>
      </w:r>
      <w:proofErr w:type="spellStart"/>
      <w:r w:rsidRPr="00D529D2">
        <w:t>AgBiz</w:t>
      </w:r>
      <w:proofErr w:type="spellEnd"/>
      <w:r w:rsidRPr="00D529D2">
        <w:t xml:space="preserve"> Drought Loans, and </w:t>
      </w:r>
      <w:proofErr w:type="spellStart"/>
      <w:r w:rsidRPr="00D529D2">
        <w:t>AgRebuild</w:t>
      </w:r>
      <w:proofErr w:type="spellEnd"/>
      <w:r w:rsidRPr="00D529D2">
        <w:t xml:space="preserve"> Loans is estimated to be $3.2 billion </w:t>
      </w:r>
      <w:proofErr w:type="gramStart"/>
      <w:r w:rsidRPr="00D529D2">
        <w:t>at</w:t>
      </w:r>
      <w:proofErr w:type="gramEnd"/>
      <w:r w:rsidRPr="00D529D2">
        <w:t xml:space="preserve"> 30 June</w:t>
      </w:r>
      <w:r w:rsidR="004341C4">
        <w:t> 2026</w:t>
      </w:r>
      <w:r w:rsidRPr="00D529D2">
        <w:t xml:space="preserve">. </w:t>
      </w:r>
    </w:p>
    <w:p w14:paraId="75FF94D4" w14:textId="5E99583F" w:rsidR="00FE5F92" w:rsidRPr="00D529D2" w:rsidRDefault="00FE5F92" w:rsidP="00FE5F92">
      <w:r w:rsidRPr="00D529D2">
        <w:t xml:space="preserve">The Farm Investment, Drought, </w:t>
      </w:r>
      <w:proofErr w:type="spellStart"/>
      <w:r w:rsidRPr="00D529D2">
        <w:t>AgriStarter</w:t>
      </w:r>
      <w:proofErr w:type="spellEnd"/>
      <w:r w:rsidRPr="00D529D2">
        <w:t>, Drought Hardship</w:t>
      </w:r>
      <w:r>
        <w:t>, Marine Recovery</w:t>
      </w:r>
      <w:r w:rsidRPr="00D529D2">
        <w:t xml:space="preserve"> and </w:t>
      </w:r>
      <w:proofErr w:type="spellStart"/>
      <w:r w:rsidRPr="00D529D2">
        <w:t>AgBiz</w:t>
      </w:r>
      <w:proofErr w:type="spellEnd"/>
      <w:r w:rsidRPr="00D529D2">
        <w:t xml:space="preserve"> Drought loan products provide concessional loans to eligible businesses in financial need that are considered financially viable in the long term (additional criteria apply for each product). All products are for farm businesses, except for </w:t>
      </w:r>
      <w:proofErr w:type="spellStart"/>
      <w:r w:rsidRPr="00D529D2">
        <w:t>AgBiz</w:t>
      </w:r>
      <w:proofErr w:type="spellEnd"/>
      <w:r w:rsidRPr="00D529D2">
        <w:t> Drought Loans which are for small businesses that provide primary production related goods and services for drought affected farm businesses</w:t>
      </w:r>
      <w:r>
        <w:t xml:space="preserve"> and </w:t>
      </w:r>
      <w:r w:rsidRPr="006949BE">
        <w:t>Marine Recovery Loans which are for wild</w:t>
      </w:r>
      <w:r w:rsidR="00880FAB">
        <w:noBreakHyphen/>
      </w:r>
      <w:r w:rsidRPr="006949BE">
        <w:t>catch fishing and aquaculture businesses affected by the marine harmful algal bloom off the coast of South Australia</w:t>
      </w:r>
      <w:r w:rsidRPr="00D529D2">
        <w:t>.</w:t>
      </w:r>
    </w:p>
    <w:p w14:paraId="68FD8458" w14:textId="72C02D59" w:rsidR="00FE5F92" w:rsidRDefault="00FE5F92" w:rsidP="00FE5F92">
      <w:r w:rsidRPr="00D529D2">
        <w:t xml:space="preserve">As </w:t>
      </w:r>
      <w:proofErr w:type="gramStart"/>
      <w:r w:rsidRPr="00D529D2">
        <w:t>at</w:t>
      </w:r>
      <w:proofErr w:type="gramEnd"/>
      <w:r w:rsidRPr="00D529D2">
        <w:t xml:space="preserve"> 1 February</w:t>
      </w:r>
      <w:r w:rsidR="004341C4">
        <w:t> 2026</w:t>
      </w:r>
      <w:r w:rsidRPr="00D529D2">
        <w:t xml:space="preserve">, the variable interest rate was 5.18 per cent for the Farm Investment, Drought, </w:t>
      </w:r>
      <w:proofErr w:type="spellStart"/>
      <w:r w:rsidRPr="00D529D2">
        <w:t>AgriStarter</w:t>
      </w:r>
      <w:proofErr w:type="spellEnd"/>
      <w:r w:rsidRPr="00D529D2">
        <w:t xml:space="preserve">, </w:t>
      </w:r>
      <w:proofErr w:type="spellStart"/>
      <w:r w:rsidRPr="00D529D2">
        <w:t>AgBiz</w:t>
      </w:r>
      <w:proofErr w:type="spellEnd"/>
      <w:r w:rsidRPr="00D529D2">
        <w:t xml:space="preserve"> Drought, </w:t>
      </w:r>
      <w:proofErr w:type="spellStart"/>
      <w:r w:rsidRPr="00D529D2">
        <w:t>AgRebuild</w:t>
      </w:r>
      <w:proofErr w:type="spellEnd"/>
      <w:r w:rsidRPr="00D529D2">
        <w:t xml:space="preserve"> loan products and new Drought Hardship </w:t>
      </w:r>
      <w:r>
        <w:t xml:space="preserve">and Marine Recovery </w:t>
      </w:r>
      <w:r w:rsidRPr="00D529D2">
        <w:t>Loan</w:t>
      </w:r>
      <w:r>
        <w:t>s</w:t>
      </w:r>
      <w:r w:rsidRPr="00D529D2">
        <w:t>. Interest rates are typically revised on a 6</w:t>
      </w:r>
      <w:r w:rsidR="00880FAB">
        <w:noBreakHyphen/>
      </w:r>
      <w:r w:rsidRPr="00D529D2">
        <w:t>monthly basis in line with any material changes to the Australian Government 10</w:t>
      </w:r>
      <w:r w:rsidR="00880FAB">
        <w:noBreakHyphen/>
      </w:r>
      <w:r w:rsidRPr="00D529D2">
        <w:t xml:space="preserve">year bond rate where a material change is taken to be a movement of more than ten basis points (0.1 per cent). </w:t>
      </w:r>
    </w:p>
    <w:p w14:paraId="5F445912" w14:textId="77777777" w:rsidR="00FE5F92" w:rsidRPr="00D12C6F" w:rsidRDefault="00FE5F92" w:rsidP="00FE5F92">
      <w:r w:rsidRPr="006700EF">
        <w:t>Loans have a maximum term of ten years, except for the new Drought Hardship Loan which has a maximum term of five years</w:t>
      </w:r>
      <w:r>
        <w:t>.</w:t>
      </w:r>
    </w:p>
    <w:p w14:paraId="3E858956" w14:textId="77777777" w:rsidR="00FE5F92" w:rsidRPr="00D12C6F" w:rsidRDefault="00FE5F92" w:rsidP="00FE5F92">
      <w:pPr>
        <w:pStyle w:val="Heading3"/>
        <w:rPr>
          <w:lang w:val="en-US"/>
        </w:rPr>
      </w:pPr>
      <w:bookmarkStart w:id="260" w:name="_Toc228987430"/>
      <w:r w:rsidRPr="00D12C6F">
        <w:rPr>
          <w:lang w:val="en-US"/>
        </w:rPr>
        <w:t>Climate Change, Energy, the Environment and Water</w:t>
      </w:r>
      <w:bookmarkEnd w:id="260"/>
    </w:p>
    <w:p w14:paraId="23F282AF" w14:textId="77777777" w:rsidR="00FE5F92" w:rsidRPr="00D12C6F" w:rsidRDefault="00FE5F92" w:rsidP="00FE5F92">
      <w:pPr>
        <w:pStyle w:val="Heading4"/>
        <w:rPr>
          <w:rFonts w:eastAsia="Arial"/>
        </w:rPr>
      </w:pPr>
      <w:r w:rsidRPr="00D12C6F">
        <w:rPr>
          <w:rFonts w:eastAsia="Arial"/>
        </w:rPr>
        <w:t>Clean Energy Finance Corporation</w:t>
      </w:r>
    </w:p>
    <w:p w14:paraId="18BA4428" w14:textId="773EEA2B" w:rsidR="00FE5F92" w:rsidRPr="00D12C6F" w:rsidRDefault="00FE5F92" w:rsidP="00FE5F92">
      <w:pPr>
        <w:rPr>
          <w:rFonts w:eastAsia="Arial"/>
        </w:rPr>
      </w:pPr>
      <w:r w:rsidRPr="00D12C6F">
        <w:rPr>
          <w:rFonts w:eastAsia="Arial"/>
        </w:rPr>
        <w:t xml:space="preserve">The Clean Energy Finance Corporation (CEFC) has developed a portfolio of loans and investments across the spectrum of clean energy technologies, as required by the </w:t>
      </w:r>
      <w:r w:rsidRPr="00D12C6F">
        <w:rPr>
          <w:rFonts w:eastAsia="Arial"/>
          <w:i/>
          <w:iCs/>
        </w:rPr>
        <w:t>Clean</w:t>
      </w:r>
      <w:r>
        <w:rPr>
          <w:rFonts w:eastAsia="Arial"/>
          <w:i/>
          <w:iCs/>
        </w:rPr>
        <w:t> </w:t>
      </w:r>
      <w:r w:rsidRPr="00D12C6F">
        <w:rPr>
          <w:rFonts w:eastAsia="Arial"/>
          <w:i/>
          <w:iCs/>
        </w:rPr>
        <w:t xml:space="preserve">Energy Finance Corporation Act 2012 </w:t>
      </w:r>
      <w:r w:rsidRPr="00D12C6F">
        <w:rPr>
          <w:rFonts w:eastAsia="Arial"/>
        </w:rPr>
        <w:t xml:space="preserve">and the </w:t>
      </w:r>
      <w:r w:rsidRPr="00D12C6F">
        <w:rPr>
          <w:rFonts w:eastAsia="Arial"/>
          <w:i/>
          <w:iCs/>
        </w:rPr>
        <w:t xml:space="preserve">Clean Energy Finance Corporation Investment Mandate Direction 2023 </w:t>
      </w:r>
      <w:r w:rsidRPr="00D12C6F">
        <w:rPr>
          <w:rFonts w:eastAsia="Arial"/>
        </w:rPr>
        <w:t>(the Investment Mandate), comprising the General Portfolio, Rewiring the Nation Fund and Specialised Investment Funds.</w:t>
      </w:r>
    </w:p>
    <w:p w14:paraId="62B42104" w14:textId="5C65201A" w:rsidR="00FE5F92" w:rsidRPr="00D12C6F" w:rsidRDefault="00FE5F92" w:rsidP="00FE5F92">
      <w:pPr>
        <w:rPr>
          <w:rFonts w:eastAsia="Arial"/>
          <w:szCs w:val="19"/>
        </w:rPr>
      </w:pPr>
      <w:r w:rsidRPr="00D12C6F">
        <w:rPr>
          <w:rFonts w:eastAsia="Arial"/>
        </w:rPr>
        <w:t>The CEFC</w:t>
      </w:r>
      <w:r w:rsidR="00880FAB">
        <w:rPr>
          <w:rFonts w:eastAsia="Arial"/>
        </w:rPr>
        <w:t>’</w:t>
      </w:r>
      <w:r w:rsidRPr="00D12C6F">
        <w:rPr>
          <w:rFonts w:eastAsia="Arial"/>
        </w:rPr>
        <w:t xml:space="preserve">s Rewiring the Nation Fund is delivering concessional finance, including loans, for projects that support grid transformation. </w:t>
      </w:r>
      <w:r w:rsidRPr="00D12C6F">
        <w:rPr>
          <w:rFonts w:eastAsia="Arial"/>
          <w:szCs w:val="19"/>
        </w:rPr>
        <w:t>The CEFC</w:t>
      </w:r>
      <w:r w:rsidR="00880FAB">
        <w:rPr>
          <w:rFonts w:eastAsia="Arial"/>
          <w:szCs w:val="19"/>
        </w:rPr>
        <w:t>’</w:t>
      </w:r>
      <w:r w:rsidRPr="00D12C6F">
        <w:rPr>
          <w:rFonts w:eastAsia="Arial"/>
          <w:szCs w:val="19"/>
        </w:rPr>
        <w:t xml:space="preserve">s Specialised Investment Funds portfolio of loans consists of the Clean Energy Innovation Fund, the Advancing Hydrogen Fund, the Powering Australia Technology Fund and the Household Energy Upgrades Fund. </w:t>
      </w:r>
    </w:p>
    <w:p w14:paraId="336384D3" w14:textId="4F84AD20" w:rsidR="00FE5F92" w:rsidRPr="00D12C6F" w:rsidRDefault="00FE5F92" w:rsidP="00FE5F92">
      <w:pPr>
        <w:rPr>
          <w:rFonts w:eastAsia="Arial"/>
        </w:rPr>
      </w:pPr>
      <w:r w:rsidRPr="00D12C6F">
        <w:rPr>
          <w:rFonts w:eastAsia="Arial"/>
        </w:rPr>
        <w:lastRenderedPageBreak/>
        <w:t>The CEFC has predominantly made loans as a co</w:t>
      </w:r>
      <w:r w:rsidR="00880FAB">
        <w:rPr>
          <w:rFonts w:eastAsia="Arial"/>
        </w:rPr>
        <w:noBreakHyphen/>
      </w:r>
      <w:r w:rsidRPr="00D12C6F">
        <w:rPr>
          <w:rFonts w:eastAsia="Arial"/>
        </w:rPr>
        <w:t xml:space="preserve">financier either jointly or in consortiums with private sector financial institutions. Interest rates vary with a current average expected return on loans already funded of approximately 4.6 per cent. Loans have various maturity dates, with an expected weighted average remaining maturity </w:t>
      </w:r>
      <w:proofErr w:type="gramStart"/>
      <w:r w:rsidRPr="00D12C6F">
        <w:rPr>
          <w:rFonts w:eastAsia="Arial"/>
        </w:rPr>
        <w:t>at</w:t>
      </w:r>
      <w:proofErr w:type="gramEnd"/>
      <w:r w:rsidRPr="00D12C6F">
        <w:rPr>
          <w:rFonts w:eastAsia="Arial"/>
        </w:rPr>
        <w:t xml:space="preserve"> 30</w:t>
      </w:r>
      <w:r>
        <w:rPr>
          <w:rFonts w:eastAsia="Arial"/>
        </w:rPr>
        <w:t> </w:t>
      </w:r>
      <w:r w:rsidRPr="00D12C6F">
        <w:rPr>
          <w:rFonts w:eastAsia="Arial"/>
        </w:rPr>
        <w:t>June</w:t>
      </w:r>
      <w:r>
        <w:rPr>
          <w:rFonts w:eastAsia="Arial"/>
        </w:rPr>
        <w:t> </w:t>
      </w:r>
      <w:r w:rsidRPr="00D12C6F">
        <w:rPr>
          <w:rFonts w:eastAsia="Arial"/>
        </w:rPr>
        <w:t>2026 of approximately four years in the General Portfolio and Specialised Investment Funds, and 19</w:t>
      </w:r>
      <w:r>
        <w:rPr>
          <w:rFonts w:eastAsia="Arial"/>
        </w:rPr>
        <w:t> </w:t>
      </w:r>
      <w:r w:rsidRPr="00D12C6F">
        <w:rPr>
          <w:rFonts w:eastAsia="Arial"/>
        </w:rPr>
        <w:t xml:space="preserve">years in the Rewiring the Nation Fund. The value of loans contracted and outstanding (excluding bonds and equities) is estimated to total $4.1 billion </w:t>
      </w:r>
      <w:proofErr w:type="gramStart"/>
      <w:r w:rsidRPr="00D12C6F">
        <w:rPr>
          <w:rFonts w:eastAsia="Arial"/>
        </w:rPr>
        <w:t>at</w:t>
      </w:r>
      <w:proofErr w:type="gramEnd"/>
      <w:r w:rsidRPr="00D12C6F">
        <w:rPr>
          <w:rFonts w:eastAsia="Arial"/>
        </w:rPr>
        <w:t xml:space="preserve"> 30 June 2026</w:t>
      </w:r>
      <w:r>
        <w:rPr>
          <w:rFonts w:eastAsia="Arial"/>
        </w:rPr>
        <w:t xml:space="preserve">. </w:t>
      </w:r>
    </w:p>
    <w:p w14:paraId="69FA8339" w14:textId="77777777" w:rsidR="00FE5F92" w:rsidRPr="00D12C6F" w:rsidRDefault="00FE5F92" w:rsidP="00FE5F92">
      <w:pPr>
        <w:pStyle w:val="Heading3"/>
        <w:rPr>
          <w:rFonts w:eastAsia="Arial"/>
        </w:rPr>
      </w:pPr>
      <w:bookmarkStart w:id="261" w:name="_Toc228987431"/>
      <w:r w:rsidRPr="00D12C6F">
        <w:rPr>
          <w:rFonts w:eastAsia="Arial"/>
        </w:rPr>
        <w:t>Education</w:t>
      </w:r>
      <w:bookmarkEnd w:id="258"/>
      <w:bookmarkEnd w:id="261"/>
    </w:p>
    <w:p w14:paraId="4A891698" w14:textId="77777777" w:rsidR="00FE5F92" w:rsidRPr="00D12C6F" w:rsidRDefault="00FE5F92" w:rsidP="00FE5F92">
      <w:pPr>
        <w:pStyle w:val="Heading4"/>
        <w:rPr>
          <w:rFonts w:eastAsia="Arial"/>
        </w:rPr>
      </w:pPr>
      <w:r w:rsidRPr="00D12C6F">
        <w:rPr>
          <w:rFonts w:eastAsia="Arial"/>
        </w:rPr>
        <w:t>Higher Education Loan Program</w:t>
      </w:r>
    </w:p>
    <w:p w14:paraId="3AFD289B" w14:textId="04749235" w:rsidR="00FE5F92" w:rsidRPr="00D12C6F" w:rsidRDefault="00FE5F92" w:rsidP="00FE5F92">
      <w:pPr>
        <w:rPr>
          <w:rFonts w:eastAsia="Arial"/>
        </w:rPr>
      </w:pPr>
      <w:bookmarkStart w:id="262" w:name="_Toc184039514"/>
      <w:bookmarkStart w:id="263" w:name="_Toc99141909"/>
      <w:bookmarkEnd w:id="259"/>
      <w:r w:rsidRPr="00D12C6F">
        <w:rPr>
          <w:rFonts w:eastAsia="Arial"/>
        </w:rPr>
        <w:t>The Higher Education Loan Program (HELP) is an income</w:t>
      </w:r>
      <w:r w:rsidR="00880FAB">
        <w:rPr>
          <w:rFonts w:eastAsia="Arial"/>
        </w:rPr>
        <w:noBreakHyphen/>
      </w:r>
      <w:r w:rsidRPr="00D12C6F">
        <w:rPr>
          <w:rFonts w:eastAsia="Arial"/>
        </w:rPr>
        <w:t xml:space="preserve">contingent loan program that assists eligible higher education students with the cost of their student contribution amounts and tuition fees. </w:t>
      </w:r>
    </w:p>
    <w:p w14:paraId="1D0B9602" w14:textId="20F39BDE" w:rsidR="00FE5F92" w:rsidRPr="00D12C6F" w:rsidRDefault="00FE5F92" w:rsidP="00FE5F92">
      <w:pPr>
        <w:rPr>
          <w:rFonts w:eastAsia="Arial"/>
        </w:rPr>
      </w:pPr>
      <w:r w:rsidRPr="00D12C6F">
        <w:rPr>
          <w:rFonts w:eastAsia="Arial"/>
        </w:rPr>
        <w:t xml:space="preserve">The fair value of HELP debt outstanding is estimated to be $40.8 billion </w:t>
      </w:r>
      <w:proofErr w:type="gramStart"/>
      <w:r w:rsidRPr="00D12C6F">
        <w:rPr>
          <w:rFonts w:eastAsia="Arial"/>
        </w:rPr>
        <w:t>at</w:t>
      </w:r>
      <w:proofErr w:type="gramEnd"/>
      <w:r w:rsidRPr="00D12C6F">
        <w:rPr>
          <w:rFonts w:eastAsia="Arial"/>
        </w:rPr>
        <w:t xml:space="preserve"> 30 June 2026. The fair value </w:t>
      </w:r>
      <w:proofErr w:type="gramStart"/>
      <w:r w:rsidRPr="00D12C6F">
        <w:rPr>
          <w:rFonts w:eastAsia="Arial"/>
        </w:rPr>
        <w:t>takes into account</w:t>
      </w:r>
      <w:proofErr w:type="gramEnd"/>
      <w:r w:rsidRPr="00D12C6F">
        <w:rPr>
          <w:rFonts w:eastAsia="Arial"/>
        </w:rPr>
        <w:t xml:space="preserve"> the </w:t>
      </w:r>
      <w:proofErr w:type="spellStart"/>
      <w:r w:rsidRPr="00D12C6F">
        <w:rPr>
          <w:rFonts w:eastAsia="Arial"/>
        </w:rPr>
        <w:t>concessionality</w:t>
      </w:r>
      <w:proofErr w:type="spellEnd"/>
      <w:r w:rsidRPr="00D12C6F">
        <w:rPr>
          <w:rFonts w:eastAsia="Arial"/>
        </w:rPr>
        <w:t xml:space="preserve"> of HELP loans and makes an allowance for debt not expected to be repaid. The fair value includes the impacts of the 2024–25 MYEFO measure </w:t>
      </w:r>
      <w:r w:rsidRPr="00D12C6F">
        <w:rPr>
          <w:rFonts w:eastAsia="Arial"/>
          <w:i/>
        </w:rPr>
        <w:t>Building Australia</w:t>
      </w:r>
      <w:r w:rsidR="00880FAB">
        <w:rPr>
          <w:rFonts w:eastAsia="Arial"/>
          <w:i/>
        </w:rPr>
        <w:t>’</w:t>
      </w:r>
      <w:r w:rsidRPr="00D12C6F">
        <w:rPr>
          <w:rFonts w:eastAsia="Arial"/>
          <w:i/>
        </w:rPr>
        <w:t>s Future – A fairer deal for students</w:t>
      </w:r>
      <w:r w:rsidRPr="00D12C6F">
        <w:rPr>
          <w:rFonts w:eastAsia="Arial"/>
          <w:iCs/>
        </w:rPr>
        <w:t>, as the relevant legislation received Royal Assent on 2 August</w:t>
      </w:r>
      <w:r w:rsidR="004341C4">
        <w:rPr>
          <w:rFonts w:eastAsia="Arial"/>
          <w:iCs/>
        </w:rPr>
        <w:t> </w:t>
      </w:r>
      <w:r w:rsidRPr="00D12C6F">
        <w:rPr>
          <w:rFonts w:eastAsia="Arial"/>
          <w:iCs/>
        </w:rPr>
        <w:t xml:space="preserve">2025. </w:t>
      </w:r>
    </w:p>
    <w:p w14:paraId="6086858B" w14:textId="77777777" w:rsidR="00FE5F92" w:rsidRPr="00D12C6F" w:rsidRDefault="00FE5F92" w:rsidP="00FE5F92">
      <w:pPr>
        <w:rPr>
          <w:rFonts w:eastAsia="Arial"/>
        </w:rPr>
      </w:pPr>
      <w:r w:rsidRPr="00D12C6F">
        <w:rPr>
          <w:rFonts w:eastAsia="Arial"/>
        </w:rPr>
        <w:t xml:space="preserve">There were 2,962,650 HELP debtors as </w:t>
      </w:r>
      <w:proofErr w:type="gramStart"/>
      <w:r w:rsidRPr="00D12C6F">
        <w:rPr>
          <w:rFonts w:eastAsia="Arial"/>
        </w:rPr>
        <w:t>at</w:t>
      </w:r>
      <w:proofErr w:type="gramEnd"/>
      <w:r w:rsidRPr="00D12C6F">
        <w:rPr>
          <w:rFonts w:eastAsia="Arial"/>
        </w:rPr>
        <w:t xml:space="preserve"> 30 June 2025. The repayment term of a HELP debt can only be determined for people who have fully repaid their debt. As at the end of June 2025, the average time taken to repay HELP debts was 10.2 years.</w:t>
      </w:r>
    </w:p>
    <w:p w14:paraId="7BA83034" w14:textId="77777777" w:rsidR="00FE5F92" w:rsidRPr="00D12C6F" w:rsidRDefault="00FE5F92" w:rsidP="00FE5F92">
      <w:pPr>
        <w:pStyle w:val="Heading3"/>
        <w:rPr>
          <w:lang w:val="en-US"/>
        </w:rPr>
      </w:pPr>
      <w:bookmarkStart w:id="264" w:name="_Toc228987432"/>
      <w:r w:rsidRPr="00D12C6F">
        <w:rPr>
          <w:lang w:val="en-US"/>
        </w:rPr>
        <w:t>Employment and Workplace Relations</w:t>
      </w:r>
      <w:bookmarkEnd w:id="264"/>
    </w:p>
    <w:p w14:paraId="7E4E3971" w14:textId="77777777" w:rsidR="00FE5F92" w:rsidRPr="00D12C6F" w:rsidRDefault="00FE5F92" w:rsidP="00FE5F92">
      <w:pPr>
        <w:pStyle w:val="Heading4"/>
      </w:pPr>
      <w:bookmarkStart w:id="265" w:name="_Toc184039509"/>
      <w:r w:rsidRPr="00D12C6F">
        <w:t>Australian Apprenticeship Support Loans Program</w:t>
      </w:r>
      <w:bookmarkEnd w:id="265"/>
      <w:r w:rsidRPr="00D12C6F">
        <w:t xml:space="preserve"> </w:t>
      </w:r>
    </w:p>
    <w:p w14:paraId="077F3C32" w14:textId="0192D39D" w:rsidR="00FE5F92" w:rsidRPr="00D12C6F" w:rsidRDefault="00FE5F92" w:rsidP="00FE5F92">
      <w:pPr>
        <w:rPr>
          <w:rFonts w:eastAsia="Arial"/>
        </w:rPr>
      </w:pPr>
      <w:bookmarkStart w:id="266" w:name="_Hlk183081007"/>
      <w:bookmarkStart w:id="267" w:name="_Toc184039510"/>
      <w:r w:rsidRPr="00D12C6F">
        <w:rPr>
          <w:rFonts w:eastAsia="Arial"/>
        </w:rPr>
        <w:t>The Australian Apprenticeship Support Loans Program (formerly Trade Support Loans Program) is an income</w:t>
      </w:r>
      <w:r w:rsidR="00880FAB">
        <w:rPr>
          <w:rFonts w:eastAsia="Arial"/>
        </w:rPr>
        <w:noBreakHyphen/>
      </w:r>
      <w:r w:rsidRPr="00D12C6F">
        <w:rPr>
          <w:rFonts w:eastAsia="Arial"/>
        </w:rPr>
        <w:t>contingent, concessional loan program that assists eligible Australian apprentices by providing financial support of up to $25,983 (for 2025–26) to assist with the costs of living, learning and undertaking an apprenticeship, and helping apprentices to focus on completing a qualification listed on the Australian Apprenticeships Priority List.</w:t>
      </w:r>
      <w:bookmarkEnd w:id="266"/>
    </w:p>
    <w:p w14:paraId="3734F998" w14:textId="56CD8FBB" w:rsidR="00FE5F92" w:rsidRPr="00D12C6F" w:rsidRDefault="00FE5F92" w:rsidP="00FE5F92">
      <w:pPr>
        <w:rPr>
          <w:rFonts w:eastAsia="Arial"/>
        </w:rPr>
      </w:pPr>
      <w:r w:rsidRPr="00D12C6F">
        <w:rPr>
          <w:rFonts w:eastAsia="Arial"/>
        </w:rPr>
        <w:t xml:space="preserve">An eligible </w:t>
      </w:r>
      <w:r>
        <w:rPr>
          <w:rFonts w:eastAsia="Arial"/>
        </w:rPr>
        <w:t>a</w:t>
      </w:r>
      <w:r w:rsidRPr="00D12C6F">
        <w:rPr>
          <w:rFonts w:eastAsia="Arial"/>
        </w:rPr>
        <w:t xml:space="preserve">pprentice can access up to $866.17 per month in the first year of their apprenticeship, $649.58 per month in the second year, $433.08 per month in the third year, and $216.50 per month in the fourth year. </w:t>
      </w:r>
    </w:p>
    <w:p w14:paraId="0658153D" w14:textId="6717A92C" w:rsidR="00FE5F92" w:rsidRPr="00D12C6F" w:rsidRDefault="00FE5F92" w:rsidP="00FE5F92">
      <w:pPr>
        <w:rPr>
          <w:rFonts w:eastAsia="Arial"/>
        </w:rPr>
      </w:pPr>
      <w:r w:rsidRPr="00D12C6F">
        <w:rPr>
          <w:rFonts w:eastAsia="Arial"/>
        </w:rPr>
        <w:t xml:space="preserve">The fair value of the Australian Apprenticeship Support Loans debt outstanding is estimated to be $788.7 million </w:t>
      </w:r>
      <w:proofErr w:type="gramStart"/>
      <w:r w:rsidRPr="00D12C6F">
        <w:rPr>
          <w:rFonts w:eastAsia="Arial"/>
        </w:rPr>
        <w:t>at</w:t>
      </w:r>
      <w:proofErr w:type="gramEnd"/>
      <w:r w:rsidRPr="00D12C6F">
        <w:rPr>
          <w:rFonts w:eastAsia="Arial"/>
        </w:rPr>
        <w:t xml:space="preserve"> 30 June</w:t>
      </w:r>
      <w:r w:rsidR="004341C4">
        <w:rPr>
          <w:rFonts w:eastAsia="Arial"/>
        </w:rPr>
        <w:t> 2026</w:t>
      </w:r>
      <w:r w:rsidRPr="00D12C6F">
        <w:rPr>
          <w:rFonts w:eastAsia="Arial"/>
        </w:rPr>
        <w:t xml:space="preserve">. The fair value </w:t>
      </w:r>
      <w:proofErr w:type="gramStart"/>
      <w:r w:rsidRPr="00D12C6F">
        <w:rPr>
          <w:rFonts w:eastAsia="Arial"/>
        </w:rPr>
        <w:t>takes into account</w:t>
      </w:r>
      <w:proofErr w:type="gramEnd"/>
      <w:r w:rsidRPr="00D12C6F">
        <w:rPr>
          <w:rFonts w:eastAsia="Arial"/>
        </w:rPr>
        <w:t xml:space="preserve"> the </w:t>
      </w:r>
      <w:proofErr w:type="spellStart"/>
      <w:r w:rsidRPr="00D12C6F">
        <w:rPr>
          <w:rFonts w:eastAsia="Arial"/>
        </w:rPr>
        <w:t>concessionality</w:t>
      </w:r>
      <w:proofErr w:type="spellEnd"/>
      <w:r w:rsidRPr="00D12C6F">
        <w:rPr>
          <w:rFonts w:eastAsia="Arial"/>
        </w:rPr>
        <w:t xml:space="preserve"> of Australian Apprenticeship Support Loans and makes an allowance for debt not expected to be repaid</w:t>
      </w:r>
      <w:r w:rsidRPr="00D12C6F">
        <w:rPr>
          <w:rFonts w:eastAsia="Arial"/>
          <w:lang w:val="en-US"/>
        </w:rPr>
        <w:t xml:space="preserve">. The fair value includes the impacts of the </w:t>
      </w:r>
      <w:r w:rsidRPr="00D12C6F">
        <w:rPr>
          <w:rFonts w:eastAsia="Arial"/>
        </w:rPr>
        <w:t xml:space="preserve">2024–25 MYEFO measure </w:t>
      </w:r>
      <w:r w:rsidRPr="00D12C6F">
        <w:rPr>
          <w:rFonts w:eastAsia="Arial"/>
          <w:i/>
          <w:iCs/>
        </w:rPr>
        <w:t>Building Australia</w:t>
      </w:r>
      <w:r w:rsidR="00880FAB">
        <w:rPr>
          <w:rFonts w:eastAsia="Arial"/>
          <w:i/>
          <w:iCs/>
        </w:rPr>
        <w:t>’</w:t>
      </w:r>
      <w:r w:rsidRPr="00D12C6F">
        <w:rPr>
          <w:rFonts w:eastAsia="Arial"/>
          <w:i/>
          <w:iCs/>
        </w:rPr>
        <w:t xml:space="preserve">s Future – a fairer deal for students </w:t>
      </w:r>
      <w:r w:rsidRPr="00D12C6F">
        <w:rPr>
          <w:rFonts w:eastAsia="Arial"/>
        </w:rPr>
        <w:t>as the relevant legislation received Royal Assent on 2 August 2025</w:t>
      </w:r>
      <w:r>
        <w:rPr>
          <w:rFonts w:eastAsia="Arial"/>
        </w:rPr>
        <w:t xml:space="preserve">. </w:t>
      </w:r>
    </w:p>
    <w:p w14:paraId="46B96D44" w14:textId="77777777" w:rsidR="00FE5F92" w:rsidRPr="00D12C6F" w:rsidRDefault="00FE5F92" w:rsidP="00FE5F92">
      <w:pPr>
        <w:pStyle w:val="Heading4"/>
      </w:pPr>
      <w:r w:rsidRPr="00D12C6F">
        <w:lastRenderedPageBreak/>
        <w:t>VET Student Loans Program</w:t>
      </w:r>
      <w:bookmarkEnd w:id="267"/>
    </w:p>
    <w:p w14:paraId="5EC8B9BD" w14:textId="693BB602" w:rsidR="00FE5F92" w:rsidRPr="00D12C6F" w:rsidRDefault="00FE5F92" w:rsidP="00FE5F92">
      <w:pPr>
        <w:rPr>
          <w:rFonts w:eastAsia="Arial"/>
        </w:rPr>
      </w:pPr>
      <w:r w:rsidRPr="00D12C6F">
        <w:rPr>
          <w:rFonts w:eastAsia="Arial"/>
        </w:rPr>
        <w:t>The VET Student Loans Program (VSL) is an income contingent loan program that assists eligible tertiary education students with the cost of their fees when undertaking approved higher</w:t>
      </w:r>
      <w:r w:rsidR="00880FAB">
        <w:rPr>
          <w:rFonts w:eastAsia="Arial"/>
        </w:rPr>
        <w:noBreakHyphen/>
      </w:r>
      <w:r w:rsidRPr="00D12C6F">
        <w:rPr>
          <w:rFonts w:eastAsia="Arial"/>
        </w:rPr>
        <w:t xml:space="preserve">level VET courses (diploma and above). </w:t>
      </w:r>
    </w:p>
    <w:p w14:paraId="558A65B2" w14:textId="54E2483F" w:rsidR="00FE5F92" w:rsidRPr="00D12C6F" w:rsidRDefault="00FE5F92" w:rsidP="00FE5F92">
      <w:pPr>
        <w:rPr>
          <w:rFonts w:eastAsia="Arial"/>
        </w:rPr>
      </w:pPr>
      <w:r w:rsidRPr="00D12C6F">
        <w:rPr>
          <w:rFonts w:eastAsia="Arial"/>
        </w:rPr>
        <w:t>The fair value of both VET</w:t>
      </w:r>
      <w:r w:rsidR="00880FAB">
        <w:rPr>
          <w:rFonts w:eastAsia="Arial"/>
        </w:rPr>
        <w:noBreakHyphen/>
      </w:r>
      <w:r w:rsidRPr="00D12C6F">
        <w:rPr>
          <w:rFonts w:eastAsia="Arial"/>
        </w:rPr>
        <w:t>FEE HELP debt and VSL debt outstanding is estimated to be $2.9</w:t>
      </w:r>
      <w:r>
        <w:rPr>
          <w:rFonts w:eastAsia="Arial"/>
        </w:rPr>
        <w:t> </w:t>
      </w:r>
      <w:r w:rsidRPr="00D12C6F">
        <w:rPr>
          <w:rFonts w:eastAsia="Arial"/>
        </w:rPr>
        <w:t xml:space="preserve">billion </w:t>
      </w:r>
      <w:proofErr w:type="gramStart"/>
      <w:r w:rsidRPr="00D12C6F">
        <w:rPr>
          <w:rFonts w:eastAsia="Arial"/>
        </w:rPr>
        <w:t>at</w:t>
      </w:r>
      <w:proofErr w:type="gramEnd"/>
      <w:r w:rsidRPr="00D12C6F">
        <w:rPr>
          <w:rFonts w:eastAsia="Arial"/>
        </w:rPr>
        <w:t xml:space="preserve"> 30 June</w:t>
      </w:r>
      <w:r w:rsidR="004341C4">
        <w:rPr>
          <w:rFonts w:eastAsia="Arial"/>
        </w:rPr>
        <w:t> 2026</w:t>
      </w:r>
      <w:r w:rsidRPr="00D12C6F">
        <w:rPr>
          <w:rFonts w:eastAsia="Arial"/>
        </w:rPr>
        <w:t xml:space="preserve">. The fair value </w:t>
      </w:r>
      <w:proofErr w:type="gramStart"/>
      <w:r w:rsidRPr="00D12C6F">
        <w:rPr>
          <w:rFonts w:eastAsia="Arial"/>
        </w:rPr>
        <w:t>takes into account</w:t>
      </w:r>
      <w:proofErr w:type="gramEnd"/>
      <w:r w:rsidRPr="00D12C6F">
        <w:rPr>
          <w:rFonts w:eastAsia="Arial"/>
        </w:rPr>
        <w:t xml:space="preserve"> the </w:t>
      </w:r>
      <w:proofErr w:type="spellStart"/>
      <w:r w:rsidRPr="00D12C6F">
        <w:rPr>
          <w:rFonts w:eastAsia="Arial"/>
        </w:rPr>
        <w:t>concessionality</w:t>
      </w:r>
      <w:proofErr w:type="spellEnd"/>
      <w:r w:rsidRPr="00D12C6F">
        <w:rPr>
          <w:rFonts w:eastAsia="Arial"/>
        </w:rPr>
        <w:t xml:space="preserve"> of VSL</w:t>
      </w:r>
      <w:r>
        <w:rPr>
          <w:rFonts w:eastAsia="Arial"/>
        </w:rPr>
        <w:t> </w:t>
      </w:r>
      <w:r w:rsidRPr="00D12C6F">
        <w:rPr>
          <w:rFonts w:eastAsia="Arial"/>
        </w:rPr>
        <w:t>loans and makes an allowance for debt not expected to be repaid</w:t>
      </w:r>
      <w:r w:rsidRPr="00D12C6F">
        <w:rPr>
          <w:rFonts w:eastAsia="Arial"/>
          <w:lang w:val="en-US"/>
        </w:rPr>
        <w:t xml:space="preserve">. The fair value includes the impacts of the </w:t>
      </w:r>
      <w:r w:rsidRPr="00D12C6F">
        <w:rPr>
          <w:rFonts w:eastAsia="Arial"/>
        </w:rPr>
        <w:t xml:space="preserve">2024–25 MYEFO measure </w:t>
      </w:r>
      <w:r w:rsidRPr="00D12C6F">
        <w:rPr>
          <w:rFonts w:eastAsia="Arial"/>
          <w:i/>
          <w:iCs/>
        </w:rPr>
        <w:t>Building Australia</w:t>
      </w:r>
      <w:r w:rsidR="00880FAB">
        <w:rPr>
          <w:rFonts w:eastAsia="Arial"/>
          <w:i/>
          <w:iCs/>
        </w:rPr>
        <w:t>’</w:t>
      </w:r>
      <w:r w:rsidRPr="00D12C6F">
        <w:rPr>
          <w:rFonts w:eastAsia="Arial"/>
          <w:i/>
          <w:iCs/>
        </w:rPr>
        <w:t xml:space="preserve">s Future </w:t>
      </w:r>
      <w:r>
        <w:rPr>
          <w:rFonts w:eastAsia="Arial"/>
          <w:i/>
          <w:iCs/>
        </w:rPr>
        <w:t xml:space="preserve">– </w:t>
      </w:r>
      <w:r w:rsidRPr="00D12C6F">
        <w:rPr>
          <w:rFonts w:eastAsia="Arial"/>
          <w:i/>
          <w:iCs/>
        </w:rPr>
        <w:t xml:space="preserve">a fairer deal for students </w:t>
      </w:r>
      <w:r w:rsidRPr="00D12C6F">
        <w:rPr>
          <w:rFonts w:eastAsia="Arial"/>
        </w:rPr>
        <w:t xml:space="preserve">as the relevant legislation received Royal Assent on 2 August 2025. </w:t>
      </w:r>
    </w:p>
    <w:p w14:paraId="396C35EE" w14:textId="2FFCD21C" w:rsidR="00FE5F92" w:rsidRPr="00D12C6F" w:rsidRDefault="00FE5F92" w:rsidP="00FE5F92">
      <w:pPr>
        <w:rPr>
          <w:rFonts w:eastAsia="Arial"/>
        </w:rPr>
      </w:pPr>
      <w:r w:rsidRPr="00D12C6F">
        <w:rPr>
          <w:rFonts w:eastAsia="Arial"/>
        </w:rPr>
        <w:t xml:space="preserve">There were </w:t>
      </w:r>
      <w:r w:rsidRPr="00D12C6F">
        <w:rPr>
          <w:rFonts w:eastAsia="Arial"/>
          <w:lang w:val="en-US"/>
        </w:rPr>
        <w:t>134,774</w:t>
      </w:r>
      <w:r w:rsidRPr="00D12C6F">
        <w:rPr>
          <w:rFonts w:eastAsia="Arial"/>
        </w:rPr>
        <w:t xml:space="preserve"> VSL debtors as </w:t>
      </w:r>
      <w:proofErr w:type="gramStart"/>
      <w:r w:rsidRPr="00D12C6F">
        <w:rPr>
          <w:rFonts w:eastAsia="Arial"/>
        </w:rPr>
        <w:t>at</w:t>
      </w:r>
      <w:proofErr w:type="gramEnd"/>
      <w:r w:rsidRPr="00D12C6F">
        <w:rPr>
          <w:rFonts w:eastAsia="Arial"/>
        </w:rPr>
        <w:t xml:space="preserve"> 30 June</w:t>
      </w:r>
      <w:r w:rsidR="004341C4">
        <w:rPr>
          <w:rFonts w:eastAsia="Arial"/>
        </w:rPr>
        <w:t> 2025</w:t>
      </w:r>
      <w:r w:rsidRPr="00D12C6F">
        <w:rPr>
          <w:rFonts w:eastAsia="Arial"/>
        </w:rPr>
        <w:t>. The repayment term of a post 1 July 2019 VSL debt can only be determined for people who have fully repaid their debt. ATO data for the 2024–25 period indicates the average time to repay a VSL debt in full is 2.8 years.</w:t>
      </w:r>
    </w:p>
    <w:p w14:paraId="3F26DF81" w14:textId="77777777" w:rsidR="00FE5F92" w:rsidRPr="00D12C6F" w:rsidRDefault="00FE5F92" w:rsidP="00FE5F92">
      <w:pPr>
        <w:pStyle w:val="Heading3"/>
      </w:pPr>
      <w:bookmarkStart w:id="268" w:name="_Toc228987433"/>
      <w:r w:rsidRPr="00D12C6F">
        <w:t>Finance</w:t>
      </w:r>
      <w:bookmarkEnd w:id="268"/>
    </w:p>
    <w:p w14:paraId="51591E98" w14:textId="77777777" w:rsidR="00FE5F92" w:rsidRPr="00D12C6F" w:rsidRDefault="00FE5F92" w:rsidP="00FE5F92">
      <w:pPr>
        <w:pStyle w:val="Heading4"/>
      </w:pPr>
      <w:r w:rsidRPr="00D12C6F">
        <w:t>Snowy Hydro Limited Loan</w:t>
      </w:r>
    </w:p>
    <w:p w14:paraId="5E7DF366" w14:textId="00CCDE5F" w:rsidR="00FE5F92" w:rsidRPr="00D12C6F" w:rsidRDefault="00FE5F92" w:rsidP="00FE5F92">
      <w:pPr>
        <w:rPr>
          <w:rFonts w:eastAsia="Arial"/>
        </w:rPr>
      </w:pPr>
      <w:r w:rsidRPr="00D12C6F">
        <w:rPr>
          <w:rFonts w:eastAsia="Arial"/>
        </w:rPr>
        <w:t>Snowy Hydro Limited (SHL) executed a debt facility with the Department of Finance and the Department of Climate Change, Energy, the Environment and Water for funding for the Snowy 2.0 project. Interest rates are floating plus a margin, with interest paid quarterly and the principal due in full after five years. SHL</w:t>
      </w:r>
      <w:r w:rsidR="00880FAB">
        <w:rPr>
          <w:rFonts w:eastAsia="Arial"/>
        </w:rPr>
        <w:t>’</w:t>
      </w:r>
      <w:r w:rsidRPr="00D12C6F">
        <w:rPr>
          <w:rFonts w:eastAsia="Arial"/>
        </w:rPr>
        <w:t xml:space="preserve">s projected cash flows are sufficient to service the loan which is expected to be refinanced by the private sector at maturity. SHL is a wholly owned Commonwealth </w:t>
      </w:r>
      <w:r>
        <w:rPr>
          <w:rFonts w:eastAsia="Arial"/>
        </w:rPr>
        <w:t>c</w:t>
      </w:r>
      <w:r w:rsidRPr="00D12C6F">
        <w:rPr>
          <w:rFonts w:eastAsia="Arial"/>
        </w:rPr>
        <w:t>ompany and a Government Business Enterprise owned by the Government that owns and operates the Snowy Mountains hydro</w:t>
      </w:r>
      <w:r w:rsidR="00880FAB">
        <w:rPr>
          <w:rFonts w:eastAsia="Arial"/>
        </w:rPr>
        <w:noBreakHyphen/>
      </w:r>
      <w:r w:rsidRPr="00D12C6F">
        <w:rPr>
          <w:rFonts w:eastAsia="Arial"/>
        </w:rPr>
        <w:t>electric scheme.</w:t>
      </w:r>
    </w:p>
    <w:p w14:paraId="072484B6" w14:textId="77777777" w:rsidR="00FE5F92" w:rsidRPr="00D12C6F" w:rsidRDefault="00FE5F92" w:rsidP="00FE5F92">
      <w:pPr>
        <w:pStyle w:val="Heading3"/>
      </w:pPr>
      <w:bookmarkStart w:id="269" w:name="_Toc228987434"/>
      <w:r w:rsidRPr="00D12C6F">
        <w:t>Foreign Affairs and Trade</w:t>
      </w:r>
      <w:bookmarkEnd w:id="269"/>
    </w:p>
    <w:p w14:paraId="1F03EE6B" w14:textId="77777777" w:rsidR="00FE5F92" w:rsidRPr="00D12C6F" w:rsidRDefault="00FE5F92" w:rsidP="00FE5F92">
      <w:pPr>
        <w:pStyle w:val="Heading4"/>
      </w:pPr>
      <w:bookmarkStart w:id="270" w:name="_Toc184039512"/>
      <w:r w:rsidRPr="00D12C6F">
        <w:t xml:space="preserve">Government support for </w:t>
      </w:r>
      <w:proofErr w:type="spellStart"/>
      <w:r w:rsidRPr="00D12C6F">
        <w:t>PsiQuantum</w:t>
      </w:r>
      <w:proofErr w:type="spellEnd"/>
      <w:r w:rsidRPr="00D12C6F">
        <w:t xml:space="preserve"> Pty Ltd</w:t>
      </w:r>
      <w:bookmarkEnd w:id="270"/>
    </w:p>
    <w:p w14:paraId="71866DB1" w14:textId="1874E9D4" w:rsidR="00FE5F92" w:rsidRDefault="00FE5F92" w:rsidP="00FE5F92">
      <w:pPr>
        <w:rPr>
          <w:rFonts w:eastAsia="Calibri"/>
          <w:color w:val="000000" w:themeColor="text1"/>
          <w:szCs w:val="19"/>
          <w:lang w:eastAsia="en-US"/>
        </w:rPr>
      </w:pPr>
      <w:bookmarkStart w:id="271" w:name="_Hlk182825955"/>
      <w:bookmarkStart w:id="272" w:name="_Toc184039513"/>
      <w:r w:rsidRPr="00D12C6F">
        <w:rPr>
          <w:rFonts w:eastAsia="Calibri"/>
          <w:lang w:eastAsia="en-US"/>
        </w:rPr>
        <w:t xml:space="preserve">In the 2024–25 Budget, the Government agreed to a financing package of equity and loans through Export Finance Australia on the National Interest Account to </w:t>
      </w:r>
      <w:proofErr w:type="spellStart"/>
      <w:r w:rsidRPr="00D12C6F">
        <w:rPr>
          <w:rFonts w:eastAsia="Calibri"/>
          <w:lang w:eastAsia="en-US"/>
        </w:rPr>
        <w:t>PsiQuantum</w:t>
      </w:r>
      <w:proofErr w:type="spellEnd"/>
      <w:r w:rsidRPr="00D12C6F">
        <w:rPr>
          <w:rFonts w:eastAsia="Calibri"/>
          <w:lang w:eastAsia="en-US"/>
        </w:rPr>
        <w:t xml:space="preserve"> Corporation and its wholly owned Australian subsidiary to support the construction and operation of quantum computing capabilities and associated investment in industry and research development in Brisbane. The package is part of a joint investment with the Queensland Government. </w:t>
      </w:r>
      <w:r w:rsidRPr="00D12C6F">
        <w:rPr>
          <w:rFonts w:eastAsia="Calibri"/>
          <w:color w:val="000000" w:themeColor="text1"/>
          <w:szCs w:val="19"/>
          <w:lang w:eastAsia="en-US"/>
        </w:rPr>
        <w:t xml:space="preserve">The value of outstanding loans </w:t>
      </w:r>
      <w:r w:rsidRPr="00D12C6F">
        <w:rPr>
          <w:rFonts w:eastAsia="Calibri"/>
          <w:lang w:eastAsia="en-US"/>
        </w:rPr>
        <w:t>is estimated to be US$125</w:t>
      </w:r>
      <w:r>
        <w:rPr>
          <w:rFonts w:eastAsia="Calibri"/>
          <w:lang w:eastAsia="en-US"/>
        </w:rPr>
        <w:t> </w:t>
      </w:r>
      <w:r w:rsidRPr="00D12C6F">
        <w:rPr>
          <w:rFonts w:eastAsia="Calibri"/>
          <w:lang w:eastAsia="en-US"/>
        </w:rPr>
        <w:t>million (A$183.6</w:t>
      </w:r>
      <w:r>
        <w:rPr>
          <w:rFonts w:eastAsia="Calibri"/>
          <w:lang w:eastAsia="en-US"/>
        </w:rPr>
        <w:t> </w:t>
      </w:r>
      <w:r w:rsidRPr="00D12C6F">
        <w:rPr>
          <w:rFonts w:eastAsia="Calibri"/>
          <w:lang w:eastAsia="en-US"/>
        </w:rPr>
        <w:t xml:space="preserve">million) </w:t>
      </w:r>
      <w:proofErr w:type="gramStart"/>
      <w:r w:rsidRPr="00D12C6F">
        <w:rPr>
          <w:rFonts w:eastAsia="Calibri"/>
          <w:lang w:eastAsia="en-US"/>
        </w:rPr>
        <w:t>at</w:t>
      </w:r>
      <w:proofErr w:type="gramEnd"/>
      <w:r w:rsidRPr="00D12C6F">
        <w:rPr>
          <w:rFonts w:eastAsia="Calibri"/>
          <w:lang w:eastAsia="en-US"/>
        </w:rPr>
        <w:t xml:space="preserve"> 30</w:t>
      </w:r>
      <w:r>
        <w:rPr>
          <w:rFonts w:eastAsia="Calibri"/>
          <w:lang w:eastAsia="en-US"/>
        </w:rPr>
        <w:t> </w:t>
      </w:r>
      <w:r w:rsidRPr="00D12C6F">
        <w:rPr>
          <w:rFonts w:eastAsia="Calibri"/>
          <w:lang w:eastAsia="en-US"/>
        </w:rPr>
        <w:t>June</w:t>
      </w:r>
      <w:r>
        <w:rPr>
          <w:rFonts w:eastAsia="Calibri"/>
          <w:lang w:eastAsia="en-US"/>
        </w:rPr>
        <w:t> </w:t>
      </w:r>
      <w:r w:rsidRPr="00D12C6F">
        <w:rPr>
          <w:rFonts w:eastAsia="Calibri"/>
          <w:lang w:eastAsia="en-US"/>
        </w:rPr>
        <w:t>2026</w:t>
      </w:r>
      <w:r w:rsidRPr="00D12C6F">
        <w:rPr>
          <w:rFonts w:eastAsia="Calibri"/>
          <w:color w:val="000000" w:themeColor="text1"/>
          <w:szCs w:val="19"/>
          <w:lang w:eastAsia="en-US"/>
        </w:rPr>
        <w:t>, with further loan funding of A$275.0 million still to be drawn down</w:t>
      </w:r>
      <w:bookmarkEnd w:id="271"/>
      <w:r>
        <w:rPr>
          <w:rFonts w:eastAsia="Calibri"/>
          <w:color w:val="000000" w:themeColor="text1"/>
          <w:szCs w:val="19"/>
          <w:lang w:eastAsia="en-US"/>
        </w:rPr>
        <w:t xml:space="preserve">. </w:t>
      </w:r>
    </w:p>
    <w:p w14:paraId="583B3BC3" w14:textId="77777777" w:rsidR="00081CA0" w:rsidRDefault="00081CA0">
      <w:pPr>
        <w:spacing w:before="0" w:after="160" w:line="259" w:lineRule="auto"/>
        <w:rPr>
          <w:rFonts w:eastAsia="Calibri"/>
          <w:color w:val="000000" w:themeColor="text1"/>
          <w:szCs w:val="19"/>
          <w:lang w:eastAsia="en-US"/>
        </w:rPr>
      </w:pPr>
      <w:r>
        <w:rPr>
          <w:rFonts w:eastAsia="Calibri"/>
          <w:color w:val="000000" w:themeColor="text1"/>
          <w:szCs w:val="19"/>
          <w:lang w:eastAsia="en-US"/>
        </w:rPr>
        <w:br w:type="page"/>
      </w:r>
    </w:p>
    <w:p w14:paraId="4D2B20DA" w14:textId="63EF3331" w:rsidR="00FE5F92" w:rsidRPr="00D12C6F" w:rsidRDefault="00FE5F92" w:rsidP="00FE5F92">
      <w:pPr>
        <w:pStyle w:val="Heading4"/>
      </w:pPr>
      <w:r w:rsidRPr="00D12C6F">
        <w:lastRenderedPageBreak/>
        <w:t>Telstra acquisition of Digicel Pacific</w:t>
      </w:r>
      <w:bookmarkEnd w:id="272"/>
      <w:r w:rsidRPr="00D12C6F">
        <w:t xml:space="preserve"> </w:t>
      </w:r>
    </w:p>
    <w:p w14:paraId="0A982749" w14:textId="7573D54F" w:rsidR="00FE5F92" w:rsidRPr="00D12C6F" w:rsidRDefault="00FE5F92" w:rsidP="00FE5F92">
      <w:pPr>
        <w:rPr>
          <w:rFonts w:eastAsia="Calibri"/>
          <w:lang w:eastAsia="en-US"/>
        </w:rPr>
      </w:pPr>
      <w:r w:rsidRPr="00D12C6F">
        <w:rPr>
          <w:rFonts w:eastAsia="Calibri"/>
          <w:lang w:eastAsia="en-US"/>
        </w:rPr>
        <w:t>The Government provided Telstra a financing package through Export Finance Australia for Telstra</w:t>
      </w:r>
      <w:r w:rsidR="00880FAB">
        <w:rPr>
          <w:rFonts w:eastAsia="Calibri"/>
          <w:lang w:eastAsia="en-US"/>
        </w:rPr>
        <w:t>’</w:t>
      </w:r>
      <w:r w:rsidRPr="00D12C6F">
        <w:rPr>
          <w:rFonts w:eastAsia="Calibri"/>
          <w:lang w:eastAsia="en-US"/>
        </w:rPr>
        <w:t>s acquisition of Digicel Pacific. Telstra now owns and operates Digicel Pacific. This package includes debt and equity, including securities designed to secure the Government a long</w:t>
      </w:r>
      <w:r w:rsidR="00880FAB">
        <w:rPr>
          <w:rFonts w:eastAsia="Calibri"/>
          <w:lang w:eastAsia="en-US"/>
        </w:rPr>
        <w:noBreakHyphen/>
      </w:r>
      <w:r w:rsidRPr="00D12C6F">
        <w:rPr>
          <w:rFonts w:eastAsia="Calibri"/>
          <w:lang w:eastAsia="en-US"/>
        </w:rPr>
        <w:t xml:space="preserve">term return. </w:t>
      </w:r>
      <w:r w:rsidRPr="00D12C6F">
        <w:rPr>
          <w:rFonts w:eastAsia="Calibri"/>
          <w:color w:val="000000" w:themeColor="text1"/>
          <w:szCs w:val="19"/>
          <w:lang w:eastAsia="en-US"/>
        </w:rPr>
        <w:t xml:space="preserve">The value of outstanding loans is </w:t>
      </w:r>
      <w:r w:rsidRPr="00D12C6F">
        <w:rPr>
          <w:rFonts w:eastAsia="Calibri"/>
          <w:lang w:eastAsia="en-US"/>
        </w:rPr>
        <w:t xml:space="preserve">estimated to be </w:t>
      </w:r>
      <w:r w:rsidRPr="00D12C6F">
        <w:rPr>
          <w:rFonts w:eastAsia="Calibri"/>
          <w:color w:val="000000" w:themeColor="text1"/>
          <w:szCs w:val="19"/>
          <w:lang w:eastAsia="en-US"/>
        </w:rPr>
        <w:t xml:space="preserve">US$1.4 billion (approximately A$2.1 billion) </w:t>
      </w:r>
      <w:proofErr w:type="gramStart"/>
      <w:r w:rsidRPr="00D12C6F">
        <w:rPr>
          <w:rFonts w:eastAsia="Calibri"/>
          <w:color w:val="000000" w:themeColor="text1"/>
          <w:szCs w:val="19"/>
          <w:lang w:eastAsia="en-US"/>
        </w:rPr>
        <w:t>at</w:t>
      </w:r>
      <w:proofErr w:type="gramEnd"/>
      <w:r w:rsidRPr="00D12C6F">
        <w:rPr>
          <w:rFonts w:eastAsia="Calibri"/>
          <w:color w:val="000000" w:themeColor="text1"/>
          <w:szCs w:val="19"/>
          <w:lang w:eastAsia="en-US"/>
        </w:rPr>
        <w:t xml:space="preserve"> 30</w:t>
      </w:r>
      <w:r>
        <w:rPr>
          <w:rFonts w:eastAsia="Calibri"/>
          <w:color w:val="000000" w:themeColor="text1"/>
          <w:szCs w:val="19"/>
          <w:lang w:eastAsia="en-US"/>
        </w:rPr>
        <w:t> </w:t>
      </w:r>
      <w:r w:rsidRPr="00D12C6F">
        <w:rPr>
          <w:rFonts w:eastAsia="Calibri"/>
          <w:color w:val="000000" w:themeColor="text1"/>
          <w:szCs w:val="19"/>
          <w:lang w:eastAsia="en-US"/>
        </w:rPr>
        <w:t>June</w:t>
      </w:r>
      <w:r>
        <w:rPr>
          <w:rFonts w:eastAsia="Calibri"/>
          <w:color w:val="000000" w:themeColor="text1"/>
          <w:szCs w:val="19"/>
          <w:lang w:eastAsia="en-US"/>
        </w:rPr>
        <w:t> </w:t>
      </w:r>
      <w:r w:rsidRPr="00D12C6F">
        <w:rPr>
          <w:rFonts w:eastAsia="Calibri"/>
          <w:color w:val="000000" w:themeColor="text1"/>
          <w:szCs w:val="19"/>
          <w:lang w:eastAsia="en-US"/>
        </w:rPr>
        <w:t>2026.</w:t>
      </w:r>
      <w:r w:rsidRPr="00D12C6F">
        <w:rPr>
          <w:rFonts w:eastAsia="Calibri"/>
          <w:lang w:eastAsia="en-US"/>
        </w:rPr>
        <w:t xml:space="preserve"> </w:t>
      </w:r>
    </w:p>
    <w:p w14:paraId="26980C81" w14:textId="77777777" w:rsidR="00FE5F92" w:rsidRPr="00D12C6F" w:rsidRDefault="00FE5F92" w:rsidP="00FE5F92">
      <w:pPr>
        <w:pStyle w:val="Heading3"/>
      </w:pPr>
      <w:bookmarkStart w:id="273" w:name="_Toc228987435"/>
      <w:r w:rsidRPr="00D12C6F">
        <w:t>Industry, Science and Resources</w:t>
      </w:r>
      <w:bookmarkEnd w:id="273"/>
    </w:p>
    <w:p w14:paraId="32247490" w14:textId="77777777" w:rsidR="00FE5F92" w:rsidRPr="00D12C6F" w:rsidRDefault="00FE5F92" w:rsidP="00FE5F92">
      <w:pPr>
        <w:pStyle w:val="Heading4"/>
        <w:rPr>
          <w:shd w:val="clear" w:color="auto" w:fill="D89698" w:themeFill="accent2" w:themeFillTint="99"/>
        </w:rPr>
      </w:pPr>
      <w:r w:rsidRPr="00D12C6F">
        <w:t>National Reconstruction Fund Corporation</w:t>
      </w:r>
    </w:p>
    <w:p w14:paraId="6CD3D2F9" w14:textId="77777777" w:rsidR="00FE5F92" w:rsidRPr="00D12C6F" w:rsidRDefault="00FE5F92" w:rsidP="00FE5F92">
      <w:r w:rsidRPr="00D12C6F">
        <w:t xml:space="preserve">The </w:t>
      </w:r>
      <w:r w:rsidRPr="00D12C6F">
        <w:rPr>
          <w:i/>
          <w:iCs/>
        </w:rPr>
        <w:t>National Reconstruction Fund Corporation Act 2023</w:t>
      </w:r>
      <w:r w:rsidRPr="00D12C6F">
        <w:t xml:space="preserve"> (NRFC Act) commenced on 18 September 2023, establishing the National Reconstruction Fund Corporation (NRFC) to facilitate increased flows of finance into priority areas of the Australian economy.</w:t>
      </w:r>
    </w:p>
    <w:p w14:paraId="6C38D72A" w14:textId="56C5F51B" w:rsidR="00FE5F92" w:rsidRPr="00D12C6F" w:rsidRDefault="00FE5F92" w:rsidP="00FE5F92">
      <w:r w:rsidRPr="00D12C6F">
        <w:t xml:space="preserve">The NRFC offers loans and guarantees and makes equity investments in priority areas of the economy consistent with the NRFC Act and the associated instrument. </w:t>
      </w:r>
    </w:p>
    <w:p w14:paraId="72266B13" w14:textId="5978BB8F" w:rsidR="00FE5F92" w:rsidRPr="00D12C6F" w:rsidRDefault="00FE5F92" w:rsidP="00FE5F92">
      <w:r w:rsidRPr="00D12C6F">
        <w:t>The NRFC makes a range of investments, including in emerging technologies and technically complex projects that carry higher risk. There are also risks inherent in investing in a large and diverse portfolio of financial assets. In practice, this involves some short</w:t>
      </w:r>
      <w:r w:rsidR="00880FAB">
        <w:noBreakHyphen/>
      </w:r>
      <w:r w:rsidRPr="00D12C6F">
        <w:t>term volatility in the NRFC</w:t>
      </w:r>
      <w:r w:rsidR="00880FAB">
        <w:t>’</w:t>
      </w:r>
      <w:r w:rsidRPr="00D12C6F">
        <w:t>s returns, including the possibility of credit losses across the portfolio.</w:t>
      </w:r>
      <w:r w:rsidRPr="00D12C6F">
        <w:rPr>
          <w:color w:val="000000" w:themeColor="text1"/>
          <w:szCs w:val="19"/>
        </w:rPr>
        <w:t xml:space="preserve"> In the 2025</w:t>
      </w:r>
      <w:r>
        <w:rPr>
          <w:color w:val="000000" w:themeColor="text1"/>
          <w:szCs w:val="19"/>
        </w:rPr>
        <w:t>–</w:t>
      </w:r>
      <w:r w:rsidRPr="00D12C6F">
        <w:rPr>
          <w:color w:val="000000" w:themeColor="text1"/>
          <w:szCs w:val="19"/>
        </w:rPr>
        <w:t>26 MYEFO, the Government committed to the introduction of three new sub</w:t>
      </w:r>
      <w:r w:rsidR="00880FAB">
        <w:rPr>
          <w:color w:val="000000" w:themeColor="text1"/>
          <w:szCs w:val="19"/>
        </w:rPr>
        <w:noBreakHyphen/>
      </w:r>
      <w:r w:rsidRPr="00D12C6F">
        <w:rPr>
          <w:color w:val="000000" w:themeColor="text1"/>
          <w:szCs w:val="19"/>
        </w:rPr>
        <w:t>funds, the Economic Resilience Program, Net Zero Fund and Forestry Growth Fund, all of which will offer finance at a more concessional rate than the NRFC</w:t>
      </w:r>
      <w:r w:rsidR="00880FAB">
        <w:rPr>
          <w:color w:val="000000" w:themeColor="text1"/>
          <w:szCs w:val="19"/>
        </w:rPr>
        <w:t>’</w:t>
      </w:r>
      <w:r w:rsidRPr="00D12C6F">
        <w:rPr>
          <w:color w:val="000000" w:themeColor="text1"/>
          <w:szCs w:val="19"/>
        </w:rPr>
        <w:t>s general portfolio. All three sub</w:t>
      </w:r>
      <w:r w:rsidR="00880FAB">
        <w:rPr>
          <w:color w:val="000000" w:themeColor="text1"/>
          <w:szCs w:val="19"/>
        </w:rPr>
        <w:noBreakHyphen/>
      </w:r>
      <w:r w:rsidRPr="00D12C6F">
        <w:rPr>
          <w:color w:val="000000" w:themeColor="text1"/>
          <w:szCs w:val="19"/>
        </w:rPr>
        <w:t>funds are expected to commence in 2026</w:t>
      </w:r>
      <w:r>
        <w:rPr>
          <w:color w:val="000000" w:themeColor="text1"/>
          <w:szCs w:val="19"/>
        </w:rPr>
        <w:t>–</w:t>
      </w:r>
      <w:r w:rsidRPr="00D12C6F">
        <w:rPr>
          <w:color w:val="000000" w:themeColor="text1"/>
          <w:szCs w:val="19"/>
        </w:rPr>
        <w:t>27. Investments through these sub</w:t>
      </w:r>
      <w:r w:rsidR="00880FAB">
        <w:rPr>
          <w:color w:val="000000" w:themeColor="text1"/>
          <w:szCs w:val="19"/>
        </w:rPr>
        <w:noBreakHyphen/>
      </w:r>
      <w:r w:rsidRPr="00D12C6F">
        <w:rPr>
          <w:color w:val="000000" w:themeColor="text1"/>
          <w:szCs w:val="19"/>
        </w:rPr>
        <w:t>funds will add to the NRFC</w:t>
      </w:r>
      <w:r w:rsidR="00880FAB">
        <w:rPr>
          <w:color w:val="000000" w:themeColor="text1"/>
          <w:szCs w:val="19"/>
        </w:rPr>
        <w:t>’</w:t>
      </w:r>
      <w:r w:rsidRPr="00D12C6F">
        <w:rPr>
          <w:color w:val="000000" w:themeColor="text1"/>
          <w:szCs w:val="19"/>
        </w:rPr>
        <w:t>s large and diverse portfolio of financial assets.</w:t>
      </w:r>
    </w:p>
    <w:p w14:paraId="46E6A227" w14:textId="771091E0" w:rsidR="00FE5F92" w:rsidRPr="00D12C6F" w:rsidRDefault="00FE5F92" w:rsidP="00FE5F92">
      <w:r w:rsidRPr="00D12C6F">
        <w:t>The NRFC Board develops the NRFC</w:t>
      </w:r>
      <w:r w:rsidR="00880FAB">
        <w:t>’</w:t>
      </w:r>
      <w:r w:rsidRPr="00D12C6F">
        <w:t xml:space="preserve">s investment portfolio with an appropriate risk tolerance relative to the National Reconstruction Fund priority areas as required by the </w:t>
      </w:r>
      <w:r w:rsidRPr="00D12C6F">
        <w:rPr>
          <w:i/>
          <w:iCs/>
        </w:rPr>
        <w:t>National Reconstruction Fund Corporation (Investment Mandate) Direction 2026</w:t>
      </w:r>
      <w:r w:rsidRPr="00D12C6F">
        <w:t xml:space="preserve"> and the </w:t>
      </w:r>
      <w:r w:rsidRPr="00D12C6F">
        <w:rPr>
          <w:i/>
          <w:iCs/>
        </w:rPr>
        <w:t>National Reconstruction Fund Corporation (Priority Areas) Declaration 2026.</w:t>
      </w:r>
    </w:p>
    <w:p w14:paraId="47AEB434" w14:textId="77777777" w:rsidR="00FE5F92" w:rsidRPr="00D12C6F" w:rsidRDefault="00FE5F92" w:rsidP="00FE5F92">
      <w:pPr>
        <w:pStyle w:val="Heading3"/>
        <w:rPr>
          <w:rFonts w:eastAsia="Arial"/>
        </w:rPr>
      </w:pPr>
      <w:bookmarkStart w:id="274" w:name="_Toc228987436"/>
      <w:r w:rsidRPr="00D12C6F">
        <w:rPr>
          <w:rFonts w:eastAsia="Arial"/>
        </w:rPr>
        <w:t>Infrastructure, Transport, Regional Development, Communications, Sport and the Arts</w:t>
      </w:r>
      <w:bookmarkEnd w:id="262"/>
      <w:bookmarkEnd w:id="274"/>
    </w:p>
    <w:p w14:paraId="22DAD6FD" w14:textId="77777777" w:rsidR="00FE5F92" w:rsidRPr="00D12C6F" w:rsidRDefault="00FE5F92" w:rsidP="00FE5F92">
      <w:pPr>
        <w:pStyle w:val="Heading4"/>
      </w:pPr>
      <w:bookmarkStart w:id="275" w:name="_Toc184039515"/>
      <w:bookmarkStart w:id="276" w:name="_Toc184039517"/>
      <w:r w:rsidRPr="00D12C6F">
        <w:t>Northern Australia Infrastructure Facility Loans</w:t>
      </w:r>
      <w:bookmarkEnd w:id="275"/>
    </w:p>
    <w:p w14:paraId="14677181" w14:textId="77777777" w:rsidR="00FE5F92" w:rsidRPr="00D12C6F" w:rsidRDefault="00FE5F92" w:rsidP="00FE5F92">
      <w:pPr>
        <w:rPr>
          <w:rFonts w:eastAsia="Calibri"/>
          <w:lang w:eastAsia="en-US"/>
        </w:rPr>
      </w:pPr>
      <w:bookmarkStart w:id="277" w:name="_Toc184039516"/>
      <w:r w:rsidRPr="00D12C6F">
        <w:rPr>
          <w:rFonts w:eastAsia="Calibri"/>
          <w:lang w:eastAsia="en-US"/>
        </w:rPr>
        <w:t xml:space="preserve">The Northern Australia Infrastructure Facility (NAIF) is a financing facility established by the Government under the </w:t>
      </w:r>
      <w:r w:rsidRPr="00D12C6F">
        <w:rPr>
          <w:rFonts w:eastAsia="Calibri"/>
          <w:i/>
          <w:iCs/>
          <w:lang w:eastAsia="en-US"/>
        </w:rPr>
        <w:t>Northern Australia Infrastructure Facility Act 2016</w:t>
      </w:r>
      <w:r w:rsidRPr="00D12C6F">
        <w:rPr>
          <w:rFonts w:eastAsia="Calibri"/>
          <w:lang w:eastAsia="en-US"/>
        </w:rPr>
        <w:t>. The primary purpose of the NAIF is to provide loans or alternative financing mechanisms to infrastructure projects. The infrastructure that NAIF can finance is wide ranging and includes assets that facilitate the establishment or enhancement of business activity or increase economic activity in a region. To be eligible for a loan from the NAIF, project proponents must meet the mandatory criteria outlined in the NAIF Investment Mandate.</w:t>
      </w:r>
    </w:p>
    <w:p w14:paraId="5F7A1F87" w14:textId="2DB6FF41" w:rsidR="00FE5F92" w:rsidRPr="00D12C6F" w:rsidRDefault="00FE5F92" w:rsidP="00FE5F92">
      <w:pPr>
        <w:rPr>
          <w:rFonts w:eastAsia="Calibri"/>
          <w:lang w:eastAsia="en-US"/>
        </w:rPr>
      </w:pPr>
      <w:r w:rsidRPr="00D12C6F">
        <w:rPr>
          <w:rFonts w:eastAsia="Calibri"/>
          <w:lang w:eastAsia="en-US"/>
        </w:rPr>
        <w:t>The Government has agreed to extend the NAIF investment period by a further ten years to 30 June 2036. The extension is intended to provide long</w:t>
      </w:r>
      <w:r w:rsidR="00880FAB">
        <w:rPr>
          <w:rFonts w:eastAsia="Calibri"/>
          <w:lang w:eastAsia="en-US"/>
        </w:rPr>
        <w:noBreakHyphen/>
      </w:r>
      <w:r w:rsidRPr="00D12C6F">
        <w:rPr>
          <w:rFonts w:eastAsia="Calibri"/>
          <w:lang w:eastAsia="en-US"/>
        </w:rPr>
        <w:t xml:space="preserve">term certainty and enable NAIF to </w:t>
      </w:r>
      <w:r w:rsidRPr="00D12C6F">
        <w:rPr>
          <w:rFonts w:eastAsia="Calibri"/>
          <w:lang w:eastAsia="en-US"/>
        </w:rPr>
        <w:lastRenderedPageBreak/>
        <w:t>continue supporting the financing of infrastructure projects that drive economic development across northern Australia. A Bill to implement this extension was introduced to Parliament in March</w:t>
      </w:r>
      <w:r w:rsidR="004341C4">
        <w:rPr>
          <w:rFonts w:eastAsia="Calibri"/>
          <w:lang w:eastAsia="en-US"/>
        </w:rPr>
        <w:t> 2026</w:t>
      </w:r>
      <w:r>
        <w:rPr>
          <w:rFonts w:eastAsia="Calibri"/>
          <w:lang w:eastAsia="en-US"/>
        </w:rPr>
        <w:t xml:space="preserve">. </w:t>
      </w:r>
    </w:p>
    <w:p w14:paraId="34370C0F" w14:textId="77777777" w:rsidR="00FE5F92" w:rsidRPr="00D12C6F" w:rsidRDefault="00FE5F92" w:rsidP="00FE5F92">
      <w:pPr>
        <w:pStyle w:val="Heading4"/>
      </w:pPr>
      <w:r w:rsidRPr="00D12C6F">
        <w:t>WestConnex Stage 2 Concessional Loan</w:t>
      </w:r>
      <w:bookmarkEnd w:id="277"/>
    </w:p>
    <w:p w14:paraId="589BAA1C" w14:textId="77777777" w:rsidR="00FE5F92" w:rsidRPr="00D12C6F" w:rsidRDefault="00FE5F92" w:rsidP="00FE5F92">
      <w:pPr>
        <w:rPr>
          <w:rFonts w:eastAsia="Calibri"/>
          <w:lang w:eastAsia="en-US"/>
        </w:rPr>
      </w:pPr>
      <w:r w:rsidRPr="00D12C6F">
        <w:rPr>
          <w:rFonts w:eastAsia="Calibri"/>
          <w:lang w:eastAsia="en-US"/>
        </w:rPr>
        <w:t xml:space="preserve">The WestConnex concessional loan is a $2 billion loan facility provided to deliver WestConnex Stage 2. The concessional loan enabled Stage 2 to be brought forward, allowing Stages 1 and 2 to proceed in parallel. This resulted in significant time savings compared to the original approach where these stages progressed in sequence. </w:t>
      </w:r>
    </w:p>
    <w:p w14:paraId="66D9E995" w14:textId="5D284E6E" w:rsidR="00FE5F92" w:rsidRPr="00D12C6F" w:rsidRDefault="00FE5F92" w:rsidP="00FE5F92">
      <w:pPr>
        <w:rPr>
          <w:rFonts w:eastAsia="Calibri"/>
          <w:lang w:eastAsia="en-US"/>
        </w:rPr>
      </w:pPr>
      <w:r w:rsidRPr="00D12C6F">
        <w:rPr>
          <w:rFonts w:eastAsia="Calibri"/>
          <w:lang w:eastAsia="en-US"/>
        </w:rPr>
        <w:t>WestConnex Stage 2 includes the King Georges Road Interchange Upgrade (completed in 2016) and construction of new twin tunnels from Kingsgrove to a new St Peters interchange, providing motorway connections to Alexandria and Mascot, the M4</w:t>
      </w:r>
      <w:r w:rsidR="00880FAB">
        <w:rPr>
          <w:rFonts w:eastAsia="Calibri"/>
          <w:lang w:eastAsia="en-US"/>
        </w:rPr>
        <w:noBreakHyphen/>
      </w:r>
      <w:r w:rsidRPr="00D12C6F">
        <w:rPr>
          <w:rFonts w:eastAsia="Calibri"/>
          <w:lang w:eastAsia="en-US"/>
        </w:rPr>
        <w:t xml:space="preserve">M5 Link (completed in January 2023) and the Sydney Gateway. </w:t>
      </w:r>
    </w:p>
    <w:p w14:paraId="50E2EB2B" w14:textId="36A087C7" w:rsidR="00FE5F92" w:rsidRPr="00D12C6F" w:rsidRDefault="00FE5F92" w:rsidP="00FE5F92">
      <w:pPr>
        <w:rPr>
          <w:rFonts w:eastAsia="Calibri"/>
          <w:lang w:eastAsia="en-US"/>
        </w:rPr>
      </w:pPr>
      <w:r w:rsidRPr="00D12C6F">
        <w:rPr>
          <w:rFonts w:eastAsia="Calibri"/>
          <w:lang w:eastAsia="en-US"/>
        </w:rPr>
        <w:t>The concessional loan agreement requires that the loan be repaid between September 2029 and July</w:t>
      </w:r>
      <w:r>
        <w:rPr>
          <w:rFonts w:eastAsia="Calibri"/>
          <w:lang w:eastAsia="en-US"/>
        </w:rPr>
        <w:t> </w:t>
      </w:r>
      <w:r w:rsidRPr="00D12C6F">
        <w:rPr>
          <w:rFonts w:eastAsia="Calibri"/>
          <w:lang w:eastAsia="en-US"/>
        </w:rPr>
        <w:t>2034.</w:t>
      </w:r>
    </w:p>
    <w:p w14:paraId="1D539FA9" w14:textId="77777777" w:rsidR="00FE5F92" w:rsidRPr="00D12C6F" w:rsidRDefault="00FE5F92" w:rsidP="00FE5F92">
      <w:pPr>
        <w:pStyle w:val="Heading3"/>
        <w:rPr>
          <w:rFonts w:eastAsia="Arial"/>
        </w:rPr>
      </w:pPr>
      <w:bookmarkStart w:id="278" w:name="_Toc228987437"/>
      <w:r w:rsidRPr="00D12C6F">
        <w:rPr>
          <w:rFonts w:eastAsia="Arial"/>
        </w:rPr>
        <w:t>Prime Minister and Cabinet</w:t>
      </w:r>
      <w:bookmarkEnd w:id="263"/>
      <w:bookmarkEnd w:id="276"/>
      <w:bookmarkEnd w:id="278"/>
    </w:p>
    <w:p w14:paraId="2C20DE7A" w14:textId="77777777" w:rsidR="00FE5F92" w:rsidRPr="00D12C6F" w:rsidRDefault="00FE5F92" w:rsidP="00FE5F92">
      <w:pPr>
        <w:pStyle w:val="Heading4"/>
        <w:rPr>
          <w:rFonts w:eastAsia="Arial"/>
        </w:rPr>
      </w:pPr>
      <w:bookmarkStart w:id="279" w:name="_Toc184039518"/>
      <w:r w:rsidRPr="00D12C6F">
        <w:rPr>
          <w:rFonts w:eastAsia="Arial"/>
        </w:rPr>
        <w:t>Indigenous home ownership, business development and assistance</w:t>
      </w:r>
      <w:bookmarkEnd w:id="279"/>
      <w:r w:rsidRPr="00D12C6F">
        <w:rPr>
          <w:rFonts w:eastAsia="Arial"/>
        </w:rPr>
        <w:t xml:space="preserve"> </w:t>
      </w:r>
    </w:p>
    <w:p w14:paraId="5489D3CE" w14:textId="7E22CA89" w:rsidR="00FE5F92" w:rsidRPr="00D12C6F" w:rsidRDefault="00FE5F92" w:rsidP="00FE5F92">
      <w:pPr>
        <w:rPr>
          <w:rFonts w:eastAsia="Calibri"/>
          <w:lang w:eastAsia="en-US"/>
        </w:rPr>
      </w:pPr>
      <w:bookmarkStart w:id="280" w:name="_Toc184039524"/>
      <w:r w:rsidRPr="00D12C6F">
        <w:rPr>
          <w:rFonts w:eastAsia="Calibri"/>
          <w:lang w:eastAsia="en-US"/>
        </w:rPr>
        <w:t>Indigenous Business Australia delivers flexible loans with concessional interest rates to improve Indigenous home ownership across Australia, including in remote Indigenous communities. Indigenous Business Australia also provides concessional interest rate business loans and business support to increase Indigenous ownership of small</w:t>
      </w:r>
      <w:r w:rsidR="00880FAB">
        <w:rPr>
          <w:rFonts w:eastAsia="Calibri"/>
          <w:lang w:eastAsia="en-US"/>
        </w:rPr>
        <w:noBreakHyphen/>
      </w:r>
      <w:r w:rsidRPr="00D12C6F">
        <w:rPr>
          <w:rFonts w:eastAsia="Calibri"/>
          <w:lang w:eastAsia="en-US"/>
        </w:rPr>
        <w:t>to</w:t>
      </w:r>
      <w:r w:rsidR="00880FAB">
        <w:rPr>
          <w:rFonts w:eastAsia="Calibri"/>
          <w:lang w:eastAsia="en-US"/>
        </w:rPr>
        <w:noBreakHyphen/>
      </w:r>
      <w:r w:rsidRPr="00D12C6F">
        <w:rPr>
          <w:rFonts w:eastAsia="Calibri"/>
          <w:lang w:eastAsia="en-US"/>
        </w:rPr>
        <w:t>medium</w:t>
      </w:r>
      <w:r w:rsidR="00880FAB">
        <w:rPr>
          <w:rFonts w:eastAsia="Calibri"/>
          <w:lang w:eastAsia="en-US"/>
        </w:rPr>
        <w:noBreakHyphen/>
      </w:r>
      <w:r w:rsidRPr="00D12C6F">
        <w:rPr>
          <w:rFonts w:eastAsia="Calibri"/>
          <w:lang w:eastAsia="en-US"/>
        </w:rPr>
        <w:t>sized enterprises and support their sustainability and growth.</w:t>
      </w:r>
    </w:p>
    <w:p w14:paraId="468F7BC6" w14:textId="730C2AE4" w:rsidR="00FE5F92" w:rsidRPr="00D12C6F" w:rsidRDefault="00FE5F92" w:rsidP="00FE5F92">
      <w:pPr>
        <w:rPr>
          <w:rFonts w:eastAsia="Calibri"/>
          <w:strike/>
          <w:lang w:eastAsia="en-US"/>
        </w:rPr>
      </w:pPr>
      <w:r w:rsidRPr="00D12C6F">
        <w:rPr>
          <w:rFonts w:eastAsia="Calibri"/>
          <w:lang w:eastAsia="en-US"/>
        </w:rPr>
        <w:t xml:space="preserve">The fair value of outstanding loans for Indigenous home ownership and business development and assistance is estimated to total $1.4 billion </w:t>
      </w:r>
      <w:proofErr w:type="gramStart"/>
      <w:r w:rsidRPr="00D12C6F">
        <w:rPr>
          <w:rFonts w:eastAsia="Calibri"/>
          <w:lang w:eastAsia="en-US"/>
        </w:rPr>
        <w:t>at</w:t>
      </w:r>
      <w:proofErr w:type="gramEnd"/>
      <w:r w:rsidRPr="00D12C6F">
        <w:rPr>
          <w:rFonts w:eastAsia="Calibri"/>
          <w:lang w:eastAsia="en-US"/>
        </w:rPr>
        <w:t xml:space="preserve"> 30</w:t>
      </w:r>
      <w:r>
        <w:rPr>
          <w:rFonts w:eastAsia="Calibri"/>
          <w:lang w:eastAsia="en-US"/>
        </w:rPr>
        <w:t> </w:t>
      </w:r>
      <w:r w:rsidRPr="00D12C6F">
        <w:rPr>
          <w:rFonts w:eastAsia="Calibri"/>
          <w:lang w:eastAsia="en-US"/>
        </w:rPr>
        <w:t>June</w:t>
      </w:r>
      <w:r>
        <w:rPr>
          <w:rFonts w:eastAsia="Calibri"/>
          <w:lang w:eastAsia="en-US"/>
        </w:rPr>
        <w:t> </w:t>
      </w:r>
      <w:r w:rsidRPr="00D12C6F">
        <w:rPr>
          <w:rFonts w:eastAsia="Calibri"/>
          <w:lang w:eastAsia="en-US"/>
        </w:rPr>
        <w:t>2026.</w:t>
      </w:r>
    </w:p>
    <w:p w14:paraId="7A4EA075" w14:textId="77777777" w:rsidR="00FE5F92" w:rsidRPr="00D12C6F" w:rsidRDefault="00FE5F92" w:rsidP="00FE5F92">
      <w:pPr>
        <w:pStyle w:val="Heading3"/>
      </w:pPr>
      <w:bookmarkStart w:id="281" w:name="_Toc228987438"/>
      <w:r w:rsidRPr="00D12C6F">
        <w:t>Social Services</w:t>
      </w:r>
      <w:bookmarkEnd w:id="281"/>
    </w:p>
    <w:p w14:paraId="356E9214" w14:textId="77777777" w:rsidR="00FE5F92" w:rsidRPr="00D12C6F" w:rsidRDefault="00FE5F92" w:rsidP="00FE5F92">
      <w:pPr>
        <w:pStyle w:val="Heading4"/>
      </w:pPr>
      <w:bookmarkStart w:id="282" w:name="_Toc184039521"/>
      <w:r w:rsidRPr="00D12C6F">
        <w:t>Home Equity Access Scheme</w:t>
      </w:r>
      <w:bookmarkEnd w:id="282"/>
    </w:p>
    <w:p w14:paraId="1641FC70" w14:textId="5CF6FD22" w:rsidR="00FE5F92" w:rsidRPr="00D12C6F" w:rsidRDefault="00FE5F92" w:rsidP="00FE5F92">
      <w:pPr>
        <w:rPr>
          <w:rFonts w:eastAsia="MS Mincho"/>
          <w:lang w:val="en-US"/>
        </w:rPr>
      </w:pPr>
      <w:bookmarkStart w:id="283" w:name="_Toc184039522"/>
      <w:bookmarkStart w:id="284" w:name="_Toc184039523"/>
      <w:r w:rsidRPr="00D12C6F">
        <w:rPr>
          <w:rFonts w:eastAsia="MS Mincho"/>
          <w:lang w:val="en-US"/>
        </w:rPr>
        <w:t>The Home Equity Access Scheme (HEAS) is a voluntary arrangement which allows eligible older Australians to receive a non</w:t>
      </w:r>
      <w:r w:rsidR="00880FAB">
        <w:rPr>
          <w:rFonts w:eastAsia="MS Mincho"/>
          <w:lang w:val="en-US"/>
        </w:rPr>
        <w:noBreakHyphen/>
      </w:r>
      <w:r w:rsidRPr="00D12C6F">
        <w:rPr>
          <w:rFonts w:eastAsia="MS Mincho"/>
          <w:lang w:val="en-US"/>
        </w:rPr>
        <w:t xml:space="preserve">taxable loan from the Government. The loan can be paid as regular fortnightly instalments or capped lump sum advance payments, or both, for people of Age Pension age who meet certain residency criteria and own suitable real estate in Australia. </w:t>
      </w:r>
    </w:p>
    <w:p w14:paraId="7C7E1D5D" w14:textId="29136E37" w:rsidR="00FE5F92" w:rsidRPr="00D12C6F" w:rsidRDefault="00FE5F92" w:rsidP="00FE5F92">
      <w:pPr>
        <w:rPr>
          <w:rFonts w:eastAsia="MS Mincho"/>
          <w:lang w:val="en-US"/>
        </w:rPr>
      </w:pPr>
      <w:r w:rsidRPr="00D12C6F">
        <w:rPr>
          <w:rFonts w:eastAsia="MS Mincho"/>
          <w:lang w:val="en-US"/>
        </w:rPr>
        <w:t>Any amount received under HEAS, and any interest and costs accrued, is attributed as a debt against real estate assets provided as collateral by the participant. The loan can be paid back at any time or is recovered on the sale of the secured real estate or from the person</w:t>
      </w:r>
      <w:r w:rsidR="00880FAB">
        <w:rPr>
          <w:rFonts w:eastAsia="MS Mincho"/>
          <w:lang w:val="en-US"/>
        </w:rPr>
        <w:t>’</w:t>
      </w:r>
      <w:r w:rsidRPr="00D12C6F">
        <w:rPr>
          <w:rFonts w:eastAsia="MS Mincho"/>
          <w:lang w:val="en-US"/>
        </w:rPr>
        <w:t>s estate. Additionally, since 1 July</w:t>
      </w:r>
      <w:r w:rsidR="001370F4">
        <w:rPr>
          <w:rFonts w:eastAsia="MS Mincho"/>
          <w:lang w:val="en-US"/>
        </w:rPr>
        <w:t> 2022</w:t>
      </w:r>
      <w:r w:rsidRPr="00D12C6F">
        <w:rPr>
          <w:rFonts w:eastAsia="MS Mincho"/>
          <w:lang w:val="en-US"/>
        </w:rPr>
        <w:t>, a No Negative Equity Guarantee applies to HEAS loans, limiting the recoverable debt to the equity in the property used to secure the loan.</w:t>
      </w:r>
    </w:p>
    <w:p w14:paraId="0D398055" w14:textId="1C24AA9E" w:rsidR="00FE5F92" w:rsidRPr="00D12C6F" w:rsidRDefault="00FE5F92" w:rsidP="00FE5F92">
      <w:pPr>
        <w:rPr>
          <w:rFonts w:eastAsia="MS Mincho"/>
          <w:lang w:val="en-US"/>
        </w:rPr>
      </w:pPr>
      <w:r w:rsidRPr="00D12C6F">
        <w:rPr>
          <w:rFonts w:eastAsia="MS Mincho"/>
          <w:lang w:val="en-US"/>
        </w:rPr>
        <w:t>The fair value of HEAS loans outstanding is estimated to be $837.0</w:t>
      </w:r>
      <w:r>
        <w:rPr>
          <w:rFonts w:eastAsia="MS Mincho"/>
          <w:lang w:val="en-US"/>
        </w:rPr>
        <w:t> </w:t>
      </w:r>
      <w:r w:rsidRPr="00D12C6F">
        <w:rPr>
          <w:rFonts w:eastAsia="MS Mincho"/>
          <w:lang w:val="en-US"/>
        </w:rPr>
        <w:t xml:space="preserve">million </w:t>
      </w:r>
      <w:proofErr w:type="gramStart"/>
      <w:r w:rsidRPr="00D12C6F">
        <w:rPr>
          <w:rFonts w:eastAsia="MS Mincho"/>
          <w:lang w:val="en-US"/>
        </w:rPr>
        <w:t>at</w:t>
      </w:r>
      <w:proofErr w:type="gramEnd"/>
      <w:r w:rsidRPr="00D12C6F">
        <w:rPr>
          <w:rFonts w:eastAsia="MS Mincho"/>
          <w:lang w:val="en-US"/>
        </w:rPr>
        <w:t xml:space="preserve"> 30</w:t>
      </w:r>
      <w:r>
        <w:rPr>
          <w:rFonts w:eastAsia="MS Mincho"/>
          <w:lang w:val="en-US"/>
        </w:rPr>
        <w:t> </w:t>
      </w:r>
      <w:r w:rsidRPr="00D12C6F">
        <w:rPr>
          <w:rFonts w:eastAsia="MS Mincho"/>
          <w:lang w:val="en-US"/>
        </w:rPr>
        <w:t>June</w:t>
      </w:r>
      <w:r>
        <w:rPr>
          <w:rFonts w:eastAsia="MS Mincho"/>
          <w:lang w:val="en-US"/>
        </w:rPr>
        <w:t> </w:t>
      </w:r>
      <w:r w:rsidRPr="00D12C6F">
        <w:rPr>
          <w:rFonts w:eastAsia="MS Mincho"/>
          <w:lang w:val="en-US"/>
        </w:rPr>
        <w:t>2026.</w:t>
      </w:r>
    </w:p>
    <w:bookmarkEnd w:id="283"/>
    <w:p w14:paraId="282AA0A2" w14:textId="372336FA" w:rsidR="00FE5F92" w:rsidRPr="00D12C6F" w:rsidRDefault="00FE5F92" w:rsidP="00FE5F92">
      <w:pPr>
        <w:pStyle w:val="Heading4"/>
      </w:pPr>
      <w:r w:rsidRPr="00D12C6F">
        <w:lastRenderedPageBreak/>
        <w:t>Student Start</w:t>
      </w:r>
      <w:r w:rsidR="00880FAB">
        <w:noBreakHyphen/>
      </w:r>
      <w:r w:rsidRPr="00D12C6F">
        <w:t>up Loan</w:t>
      </w:r>
      <w:bookmarkEnd w:id="284"/>
    </w:p>
    <w:p w14:paraId="5DC05FD5" w14:textId="504F3A82" w:rsidR="00FE5F92" w:rsidRPr="00D12C6F" w:rsidRDefault="00FE5F92" w:rsidP="00FE5F92">
      <w:pPr>
        <w:rPr>
          <w:rFonts w:eastAsia="MS Mincho"/>
        </w:rPr>
      </w:pPr>
      <w:r w:rsidRPr="00D12C6F">
        <w:rPr>
          <w:rFonts w:eastAsia="MS Mincho"/>
        </w:rPr>
        <w:t>The Student Start</w:t>
      </w:r>
      <w:r w:rsidR="00880FAB">
        <w:rPr>
          <w:rFonts w:eastAsia="MS Mincho"/>
        </w:rPr>
        <w:noBreakHyphen/>
      </w:r>
      <w:r w:rsidRPr="00D12C6F">
        <w:rPr>
          <w:rFonts w:eastAsia="MS Mincho"/>
        </w:rPr>
        <w:t>up Loan (SSL) is a voluntary income</w:t>
      </w:r>
      <w:r w:rsidR="00880FAB">
        <w:rPr>
          <w:rFonts w:eastAsia="MS Mincho"/>
        </w:rPr>
        <w:noBreakHyphen/>
      </w:r>
      <w:r w:rsidRPr="00D12C6F">
        <w:rPr>
          <w:rFonts w:eastAsia="MS Mincho"/>
        </w:rPr>
        <w:t xml:space="preserve">contingent loan for student payment (Youth Allowance (student), </w:t>
      </w:r>
      <w:proofErr w:type="spellStart"/>
      <w:r w:rsidRPr="00D12C6F">
        <w:rPr>
          <w:rFonts w:eastAsia="MS Mincho"/>
        </w:rPr>
        <w:t>Austudy</w:t>
      </w:r>
      <w:proofErr w:type="spellEnd"/>
      <w:r w:rsidRPr="00D12C6F">
        <w:rPr>
          <w:rFonts w:eastAsia="MS Mincho"/>
        </w:rPr>
        <w:t xml:space="preserve"> and ABSTUDY Living Allowance) recipients undertaking higher education. Introduced on 1 January 2016, the SSL is paid a maximum of twice a year and each SSL payment is valued at $1,349 (in 2026). The SSL is repayable under similar arrangements to Higher Education Loan Program (HELP) debts. Students are required to start repaying their SSL once they earn over $67,000 (for 2025–26), and only after they have repaid any HELP and VET student loan debt. When it commenced, the SSL was initially for new student payment recipients undertaking higher education. From 1 July 2017, with the closure of the Student Start</w:t>
      </w:r>
      <w:r w:rsidR="00880FAB">
        <w:rPr>
          <w:rFonts w:eastAsia="MS Mincho"/>
        </w:rPr>
        <w:noBreakHyphen/>
      </w:r>
      <w:r w:rsidRPr="00D12C6F">
        <w:rPr>
          <w:rFonts w:eastAsia="MS Mincho"/>
        </w:rPr>
        <w:t xml:space="preserve">up Scholarship, the SSL has become available to all eligible student payment recipients undertaking higher education. </w:t>
      </w:r>
    </w:p>
    <w:p w14:paraId="38294C0A" w14:textId="7A71E42E" w:rsidR="00FE5F92" w:rsidRPr="00D12C6F" w:rsidRDefault="00FE5F92" w:rsidP="00FE5F92">
      <w:pPr>
        <w:rPr>
          <w:rFonts w:eastAsia="MS Mincho"/>
        </w:rPr>
      </w:pPr>
      <w:r w:rsidRPr="00D12C6F">
        <w:rPr>
          <w:rFonts w:eastAsia="MS Mincho"/>
        </w:rPr>
        <w:t>The fair value of the SSL is estimated to be $820.9</w:t>
      </w:r>
      <w:r w:rsidR="00AA06F4">
        <w:rPr>
          <w:rFonts w:eastAsia="MS Mincho"/>
        </w:rPr>
        <w:t> million</w:t>
      </w:r>
      <w:r w:rsidRPr="00D12C6F">
        <w:rPr>
          <w:rFonts w:eastAsia="MS Mincho"/>
        </w:rPr>
        <w:t xml:space="preserve"> </w:t>
      </w:r>
      <w:proofErr w:type="gramStart"/>
      <w:r w:rsidRPr="00D12C6F">
        <w:rPr>
          <w:rFonts w:eastAsia="MS Mincho"/>
        </w:rPr>
        <w:t>at</w:t>
      </w:r>
      <w:proofErr w:type="gramEnd"/>
      <w:r w:rsidRPr="00D12C6F">
        <w:rPr>
          <w:rFonts w:eastAsia="MS Mincho"/>
        </w:rPr>
        <w:t xml:space="preserve"> 30</w:t>
      </w:r>
      <w:r>
        <w:rPr>
          <w:rFonts w:eastAsia="MS Mincho"/>
        </w:rPr>
        <w:t> </w:t>
      </w:r>
      <w:r w:rsidRPr="00D12C6F">
        <w:rPr>
          <w:rFonts w:eastAsia="MS Mincho"/>
        </w:rPr>
        <w:t>June</w:t>
      </w:r>
      <w:r>
        <w:rPr>
          <w:rFonts w:eastAsia="MS Mincho"/>
        </w:rPr>
        <w:t> </w:t>
      </w:r>
      <w:r w:rsidRPr="00D12C6F">
        <w:rPr>
          <w:rFonts w:eastAsia="MS Mincho"/>
        </w:rPr>
        <w:t xml:space="preserve">2026 based on the fair value assessment by the Australian Government Actuary. </w:t>
      </w:r>
      <w:r w:rsidRPr="00D12C6F">
        <w:rPr>
          <w:rFonts w:eastAsia="Arial"/>
        </w:rPr>
        <w:t xml:space="preserve">The fair value includes the impacts of the 2024–25 MYEFO measure </w:t>
      </w:r>
      <w:r w:rsidRPr="00D12C6F">
        <w:rPr>
          <w:rFonts w:eastAsia="Arial"/>
          <w:i/>
        </w:rPr>
        <w:t>Building Australia</w:t>
      </w:r>
      <w:r w:rsidR="00880FAB">
        <w:rPr>
          <w:rFonts w:eastAsia="Arial"/>
          <w:i/>
        </w:rPr>
        <w:t>’</w:t>
      </w:r>
      <w:r w:rsidRPr="00D12C6F">
        <w:rPr>
          <w:rFonts w:eastAsia="Arial"/>
          <w:i/>
        </w:rPr>
        <w:t>s Future – A fairer deal for students</w:t>
      </w:r>
      <w:r w:rsidRPr="00D12C6F">
        <w:rPr>
          <w:rFonts w:eastAsia="Arial"/>
          <w:iCs/>
        </w:rPr>
        <w:t>, as the relevant legislation received Royal Assent on 2 August</w:t>
      </w:r>
      <w:r w:rsidR="004341C4">
        <w:rPr>
          <w:rFonts w:eastAsia="Arial"/>
          <w:iCs/>
        </w:rPr>
        <w:t> 2025</w:t>
      </w:r>
      <w:r w:rsidRPr="00D12C6F">
        <w:rPr>
          <w:rFonts w:eastAsia="Arial"/>
          <w:iCs/>
        </w:rPr>
        <w:t>.</w:t>
      </w:r>
    </w:p>
    <w:p w14:paraId="324E8CB8" w14:textId="77777777" w:rsidR="00FE5F92" w:rsidRPr="00D12C6F" w:rsidRDefault="00FE5F92" w:rsidP="00FE5F92">
      <w:pPr>
        <w:pStyle w:val="Heading3"/>
        <w:rPr>
          <w:rFonts w:eastAsia="Arial"/>
        </w:rPr>
      </w:pPr>
      <w:bookmarkStart w:id="285" w:name="_Toc228987439"/>
      <w:r w:rsidRPr="00D12C6F">
        <w:rPr>
          <w:rFonts w:eastAsia="Arial"/>
        </w:rPr>
        <w:t>Treasury</w:t>
      </w:r>
      <w:bookmarkEnd w:id="280"/>
      <w:bookmarkEnd w:id="285"/>
    </w:p>
    <w:p w14:paraId="517335E8" w14:textId="77777777" w:rsidR="00FE5F92" w:rsidRPr="003012B4" w:rsidRDefault="00FE5F92" w:rsidP="003012B4">
      <w:pPr>
        <w:pStyle w:val="Heading4"/>
        <w:rPr>
          <w:rFonts w:eastAsia="Arial"/>
        </w:rPr>
      </w:pPr>
      <w:bookmarkStart w:id="286" w:name="_Toc223077591"/>
      <w:r w:rsidRPr="003012B4">
        <w:rPr>
          <w:rFonts w:eastAsia="Arial"/>
        </w:rPr>
        <w:t>100,000 homes for first home buyers – loans</w:t>
      </w:r>
      <w:bookmarkEnd w:id="286"/>
    </w:p>
    <w:p w14:paraId="0667B1D9" w14:textId="3AFBCF94" w:rsidR="00FE5F92" w:rsidRPr="00D12C6F" w:rsidRDefault="00FE5F92" w:rsidP="00FE5F92">
      <w:pPr>
        <w:rPr>
          <w:rFonts w:eastAsia="MS Mincho"/>
          <w:color w:val="000000"/>
        </w:rPr>
      </w:pPr>
      <w:bookmarkStart w:id="287" w:name="_Toc184039525"/>
      <w:r w:rsidRPr="00D12C6F">
        <w:rPr>
          <w:rFonts w:eastAsia="MS Mincho"/>
          <w:lang w:val="en-US"/>
        </w:rPr>
        <w:t xml:space="preserve">The </w:t>
      </w:r>
      <w:r w:rsidRPr="00D12C6F">
        <w:rPr>
          <w:rFonts w:eastAsia="MS Mincho"/>
        </w:rPr>
        <w:t>Government has committed to offer $8.0</w:t>
      </w:r>
      <w:r w:rsidR="0085553B">
        <w:rPr>
          <w:rFonts w:eastAsia="MS Mincho"/>
        </w:rPr>
        <w:t> billion</w:t>
      </w:r>
      <w:r w:rsidRPr="00D12C6F">
        <w:rPr>
          <w:rFonts w:eastAsia="MS Mincho"/>
        </w:rPr>
        <w:t xml:space="preserve"> in zero</w:t>
      </w:r>
      <w:r w:rsidR="00880FAB">
        <w:rPr>
          <w:rFonts w:eastAsia="MS Mincho"/>
        </w:rPr>
        <w:noBreakHyphen/>
      </w:r>
      <w:r w:rsidRPr="00D12C6F">
        <w:rPr>
          <w:rFonts w:eastAsia="MS Mincho"/>
        </w:rPr>
        <w:t>interest loans, primarily to support state and territory governments to deliver up to 100,000 homes for first home buyers. These homes will be delivered consistent with the Government</w:t>
      </w:r>
      <w:r w:rsidR="00880FAB">
        <w:rPr>
          <w:rFonts w:eastAsia="MS Mincho"/>
        </w:rPr>
        <w:t>’</w:t>
      </w:r>
      <w:r w:rsidRPr="00D12C6F">
        <w:rPr>
          <w:rFonts w:eastAsia="MS Mincho"/>
        </w:rPr>
        <w:t>s announcement on 13 April</w:t>
      </w:r>
      <w:r w:rsidR="004341C4">
        <w:rPr>
          <w:rFonts w:eastAsia="MS Mincho"/>
        </w:rPr>
        <w:t> 2025</w:t>
      </w:r>
      <w:r w:rsidRPr="00D12C6F">
        <w:rPr>
          <w:rFonts w:eastAsia="MS Mincho"/>
        </w:rPr>
        <w:t xml:space="preserve">. Arrangements with the states and territories are being negotiated under the Federal Financial Relations </w:t>
      </w:r>
      <w:r w:rsidRPr="00D12C6F">
        <w:rPr>
          <w:rFonts w:eastAsia="MS Mincho"/>
          <w:color w:val="000000"/>
        </w:rPr>
        <w:t>Framework. The value of outstanding advances to states and territories is estimated to be $57.2</w:t>
      </w:r>
      <w:r w:rsidR="00AA06F4">
        <w:rPr>
          <w:rFonts w:eastAsia="MS Mincho"/>
          <w:color w:val="000000"/>
        </w:rPr>
        <w:t> million</w:t>
      </w:r>
      <w:r w:rsidRPr="00D12C6F">
        <w:rPr>
          <w:rFonts w:eastAsia="MS Mincho"/>
          <w:color w:val="000000"/>
        </w:rPr>
        <w:t xml:space="preserve"> </w:t>
      </w:r>
      <w:proofErr w:type="gramStart"/>
      <w:r w:rsidRPr="00D12C6F">
        <w:rPr>
          <w:rFonts w:eastAsia="MS Mincho"/>
          <w:color w:val="000000"/>
        </w:rPr>
        <w:t>at</w:t>
      </w:r>
      <w:proofErr w:type="gramEnd"/>
      <w:r w:rsidRPr="00D12C6F">
        <w:rPr>
          <w:rFonts w:eastAsia="MS Mincho"/>
          <w:color w:val="000000"/>
        </w:rPr>
        <w:t xml:space="preserve"> 30 June</w:t>
      </w:r>
      <w:r w:rsidR="004341C4">
        <w:rPr>
          <w:rFonts w:eastAsia="MS Mincho"/>
          <w:color w:val="000000"/>
        </w:rPr>
        <w:t> 2026</w:t>
      </w:r>
      <w:r w:rsidRPr="00D12C6F">
        <w:rPr>
          <w:rFonts w:eastAsia="MS Mincho"/>
          <w:color w:val="000000"/>
        </w:rPr>
        <w:t xml:space="preserve">. </w:t>
      </w:r>
    </w:p>
    <w:p w14:paraId="531E94D1" w14:textId="77777777" w:rsidR="00FE5F92" w:rsidRPr="00D12C6F" w:rsidRDefault="00FE5F92" w:rsidP="00FE5F92">
      <w:pPr>
        <w:pStyle w:val="Heading4"/>
      </w:pPr>
      <w:r w:rsidRPr="00D12C6F">
        <w:t>Affordable Housing Bond Aggregator</w:t>
      </w:r>
      <w:bookmarkEnd w:id="287"/>
    </w:p>
    <w:p w14:paraId="573FFE99" w14:textId="7E4A0D45" w:rsidR="00FE5F92" w:rsidRPr="00D12C6F" w:rsidRDefault="00FE5F92" w:rsidP="00FE5F92">
      <w:pPr>
        <w:rPr>
          <w:rFonts w:eastAsia="MS Mincho"/>
        </w:rPr>
      </w:pPr>
      <w:bookmarkStart w:id="288" w:name="_Toc184039526"/>
      <w:r w:rsidRPr="00D12C6F">
        <w:rPr>
          <w:rFonts w:eastAsia="MS Mincho"/>
        </w:rPr>
        <w:t>The Government has made available a $4</w:t>
      </w:r>
      <w:r w:rsidR="0085553B">
        <w:rPr>
          <w:rFonts w:eastAsia="MS Mincho"/>
        </w:rPr>
        <w:t> billion</w:t>
      </w:r>
      <w:r w:rsidRPr="00D12C6F">
        <w:rPr>
          <w:rFonts w:eastAsia="MS Mincho"/>
        </w:rPr>
        <w:t xml:space="preserve"> line of credit for the Housing Australia Affordable Housing Bond Aggregator. The provision of funds will be in accordance with the </w:t>
      </w:r>
      <w:r w:rsidRPr="00D12C6F">
        <w:rPr>
          <w:rFonts w:eastAsia="MS Mincho"/>
          <w:i/>
          <w:iCs/>
        </w:rPr>
        <w:t>Housing Australia Act 2018</w:t>
      </w:r>
      <w:r w:rsidRPr="00D12C6F">
        <w:rPr>
          <w:rFonts w:eastAsia="MS Mincho"/>
        </w:rPr>
        <w:t xml:space="preserve">. The line of credit is ongoing, and funds borrowed will be repaid with interest. The value of outstanding advances issued to Housing Australia from the line of credit is estimated to be $753.7 million </w:t>
      </w:r>
      <w:proofErr w:type="gramStart"/>
      <w:r w:rsidRPr="00D12C6F">
        <w:rPr>
          <w:rFonts w:eastAsia="MS Mincho"/>
        </w:rPr>
        <w:t>at</w:t>
      </w:r>
      <w:proofErr w:type="gramEnd"/>
      <w:r w:rsidRPr="00D12C6F">
        <w:rPr>
          <w:rFonts w:eastAsia="MS Mincho"/>
        </w:rPr>
        <w:t xml:space="preserve"> 30 June 2026.</w:t>
      </w:r>
    </w:p>
    <w:p w14:paraId="4D172A45" w14:textId="3EA462D3" w:rsidR="00FE5F92" w:rsidRPr="00D12C6F" w:rsidRDefault="00FE5F92" w:rsidP="00FE5F92">
      <w:pPr>
        <w:pStyle w:val="Heading4"/>
      </w:pPr>
      <w:r w:rsidRPr="00D12C6F">
        <w:t>Commonwealth</w:t>
      </w:r>
      <w:r w:rsidR="00880FAB">
        <w:noBreakHyphen/>
      </w:r>
      <w:r w:rsidRPr="00D12C6F">
        <w:t>State financing arrangements – housing and specific purpose capital</w:t>
      </w:r>
      <w:bookmarkEnd w:id="288"/>
    </w:p>
    <w:p w14:paraId="0CBD681F" w14:textId="1C82A91A" w:rsidR="00FE5F92" w:rsidRPr="00D12C6F" w:rsidRDefault="00FE5F92" w:rsidP="00FE5F92">
      <w:pPr>
        <w:rPr>
          <w:rFonts w:eastAsia="MS Mincho"/>
        </w:rPr>
      </w:pPr>
      <w:bookmarkStart w:id="289" w:name="_Toc184039527"/>
      <w:r w:rsidRPr="00D12C6F">
        <w:rPr>
          <w:rFonts w:eastAsia="MS Mincho"/>
        </w:rPr>
        <w:t>From 1945 to 1989, the Government made concessional advances to state and Northern Territory governments under Commonwealth–state financing arrangements for housing and for specific purpose capital. The advances were concessional fixed</w:t>
      </w:r>
      <w:r w:rsidR="00880FAB">
        <w:rPr>
          <w:rFonts w:eastAsia="MS Mincho"/>
        </w:rPr>
        <w:noBreakHyphen/>
      </w:r>
      <w:r w:rsidRPr="00D12C6F">
        <w:rPr>
          <w:rFonts w:eastAsia="MS Mincho"/>
        </w:rPr>
        <w:t xml:space="preserve">rate loans to be repaid over 53 years, with the last loans maturing in 2042. Annual payments, comprising both interest and principal repayment, are made to the Commonwealth. The amortised value of the advances is estimated to be $1.0 billion </w:t>
      </w:r>
      <w:proofErr w:type="gramStart"/>
      <w:r w:rsidRPr="00D12C6F">
        <w:rPr>
          <w:rFonts w:eastAsia="MS Mincho"/>
        </w:rPr>
        <w:t>at</w:t>
      </w:r>
      <w:proofErr w:type="gramEnd"/>
      <w:r w:rsidRPr="00D12C6F">
        <w:rPr>
          <w:rFonts w:eastAsia="MS Mincho"/>
        </w:rPr>
        <w:t xml:space="preserve"> 30 June</w:t>
      </w:r>
      <w:r w:rsidR="004341C4">
        <w:rPr>
          <w:rFonts w:eastAsia="MS Mincho"/>
        </w:rPr>
        <w:t> 2026</w:t>
      </w:r>
      <w:r w:rsidRPr="00D12C6F">
        <w:rPr>
          <w:rFonts w:eastAsia="MS Mincho"/>
        </w:rPr>
        <w:t xml:space="preserve"> (principal value of $1.1 billion).</w:t>
      </w:r>
    </w:p>
    <w:p w14:paraId="6FE57CC6" w14:textId="77777777" w:rsidR="00FE5F92" w:rsidRPr="00D12C6F" w:rsidRDefault="00FE5F92" w:rsidP="00FE5F92">
      <w:pPr>
        <w:pStyle w:val="Heading4"/>
      </w:pPr>
      <w:r w:rsidRPr="00D12C6F">
        <w:lastRenderedPageBreak/>
        <w:t>International Monetary Fund – Poverty Reduction and Growth Trust</w:t>
      </w:r>
      <w:bookmarkEnd w:id="289"/>
    </w:p>
    <w:p w14:paraId="51F09CEF" w14:textId="605AAFFD" w:rsidR="00FE5F92" w:rsidRPr="00D12C6F" w:rsidRDefault="00FE5F92" w:rsidP="00FE5F92">
      <w:pPr>
        <w:rPr>
          <w:rFonts w:eastAsia="MS Mincho"/>
        </w:rPr>
      </w:pPr>
      <w:bookmarkStart w:id="290" w:name="_Toc184039528"/>
      <w:r w:rsidRPr="00D12C6F">
        <w:rPr>
          <w:rFonts w:eastAsia="MS Mincho"/>
        </w:rPr>
        <w:t>The Australian Government has entered into two agreements to make an aggregate line of credit worth Special Drawing Rights (SDR) 1</w:t>
      </w:r>
      <w:r w:rsidR="00AA06F4">
        <w:rPr>
          <w:rFonts w:eastAsia="MS Mincho"/>
        </w:rPr>
        <w:t> billion</w:t>
      </w:r>
      <w:r w:rsidRPr="00D12C6F">
        <w:rPr>
          <w:rFonts w:eastAsia="MS Mincho"/>
        </w:rPr>
        <w:t xml:space="preserve"> (expected value of approximately A$2.0</w:t>
      </w:r>
      <w:r w:rsidR="00AA06F4">
        <w:rPr>
          <w:rFonts w:eastAsia="MS Mincho"/>
        </w:rPr>
        <w:t> billion</w:t>
      </w:r>
      <w:r w:rsidRPr="00D12C6F">
        <w:rPr>
          <w:rFonts w:eastAsia="MS Mincho"/>
        </w:rPr>
        <w:t xml:space="preserve"> </w:t>
      </w:r>
      <w:proofErr w:type="gramStart"/>
      <w:r w:rsidRPr="00D12C6F">
        <w:rPr>
          <w:rFonts w:eastAsia="MS Mincho"/>
        </w:rPr>
        <w:t>at</w:t>
      </w:r>
      <w:proofErr w:type="gramEnd"/>
      <w:r w:rsidRPr="00D12C6F">
        <w:rPr>
          <w:rFonts w:eastAsia="MS Mincho"/>
        </w:rPr>
        <w:t xml:space="preserve"> 30 June 2026) available to the International Monetary Fund (IMF) under the Poverty Reduction and Growth Trust (PRGT) through to 31 December 2029.</w:t>
      </w:r>
    </w:p>
    <w:p w14:paraId="16C150F9" w14:textId="77777777" w:rsidR="00FE5F92" w:rsidRPr="00D12C6F" w:rsidRDefault="00FE5F92" w:rsidP="00FE5F92">
      <w:pPr>
        <w:rPr>
          <w:rFonts w:eastAsia="MS Mincho"/>
        </w:rPr>
      </w:pPr>
      <w:r w:rsidRPr="00D12C6F">
        <w:rPr>
          <w:rFonts w:eastAsia="MS Mincho"/>
        </w:rPr>
        <w:t>The PRGT provides concessional financial support to low</w:t>
      </w:r>
      <w:r w:rsidRPr="00D12C6F">
        <w:rPr>
          <w:rFonts w:ascii="Cambria Math" w:eastAsia="MS Mincho" w:hAnsi="Cambria Math" w:cs="Cambria Math"/>
        </w:rPr>
        <w:t>‑</w:t>
      </w:r>
      <w:r w:rsidRPr="00D12C6F">
        <w:rPr>
          <w:rFonts w:eastAsia="MS Mincho"/>
        </w:rPr>
        <w:t>income countries to help them achieve, maintain, or restore a stable and sustainable macroeconomic position. PRGT funds are drawn upon by the IMF as needed and will be repaid in full, with interest.</w:t>
      </w:r>
    </w:p>
    <w:p w14:paraId="114C1343" w14:textId="5AFD0C0C" w:rsidR="00FE5F92" w:rsidRPr="00D12C6F" w:rsidRDefault="00FE5F92" w:rsidP="00FE5F92">
      <w:pPr>
        <w:rPr>
          <w:rFonts w:eastAsia="MS Mincho"/>
        </w:rPr>
      </w:pPr>
      <w:r w:rsidRPr="00D12C6F">
        <w:rPr>
          <w:rFonts w:eastAsia="MS Mincho"/>
        </w:rPr>
        <w:t>The value of loans outstanding to Australia is estimated to be SDR 328.6</w:t>
      </w:r>
      <w:r w:rsidR="00AA06F4">
        <w:rPr>
          <w:rFonts w:eastAsia="MS Mincho"/>
        </w:rPr>
        <w:t> million</w:t>
      </w:r>
      <w:r w:rsidRPr="00D12C6F">
        <w:rPr>
          <w:rFonts w:eastAsia="MS Mincho"/>
        </w:rPr>
        <w:t xml:space="preserve"> (approximately A$670.4 million) </w:t>
      </w:r>
      <w:proofErr w:type="gramStart"/>
      <w:r w:rsidRPr="00D12C6F">
        <w:rPr>
          <w:rFonts w:eastAsia="MS Mincho"/>
        </w:rPr>
        <w:t>at</w:t>
      </w:r>
      <w:proofErr w:type="gramEnd"/>
      <w:r w:rsidRPr="00D12C6F">
        <w:rPr>
          <w:rFonts w:eastAsia="MS Mincho"/>
        </w:rPr>
        <w:t xml:space="preserve"> 30 June</w:t>
      </w:r>
      <w:r w:rsidR="004341C4">
        <w:rPr>
          <w:rFonts w:eastAsia="MS Mincho"/>
        </w:rPr>
        <w:t> 2026</w:t>
      </w:r>
      <w:r w:rsidRPr="00D12C6F">
        <w:rPr>
          <w:rFonts w:eastAsia="MS Mincho"/>
        </w:rPr>
        <w:t>.</w:t>
      </w:r>
    </w:p>
    <w:p w14:paraId="2E8BAAA9" w14:textId="77777777" w:rsidR="00FE5F92" w:rsidRPr="00D12C6F" w:rsidRDefault="00FE5F92" w:rsidP="00FE5F92">
      <w:pPr>
        <w:pStyle w:val="Heading4"/>
      </w:pPr>
      <w:r w:rsidRPr="00D12C6F">
        <w:t>International Monetary Fund – Resilience and Sustainability Trust</w:t>
      </w:r>
      <w:bookmarkEnd w:id="290"/>
    </w:p>
    <w:p w14:paraId="3F1EED83" w14:textId="395035A8" w:rsidR="00FE5F92" w:rsidRPr="00D12C6F" w:rsidRDefault="00FE5F92" w:rsidP="00FE5F92">
      <w:pPr>
        <w:rPr>
          <w:rFonts w:eastAsia="MS Mincho"/>
        </w:rPr>
      </w:pPr>
      <w:r w:rsidRPr="00D12C6F">
        <w:rPr>
          <w:rFonts w:eastAsia="MS Mincho"/>
        </w:rPr>
        <w:t>On 11 October</w:t>
      </w:r>
      <w:r w:rsidR="001370F4">
        <w:rPr>
          <w:rFonts w:eastAsia="MS Mincho"/>
        </w:rPr>
        <w:t> 2022</w:t>
      </w:r>
      <w:r w:rsidRPr="00D12C6F">
        <w:rPr>
          <w:rFonts w:eastAsia="MS Mincho"/>
        </w:rPr>
        <w:t xml:space="preserve">, the Australian Government entered into an agreement to make a Special Drawing Rights (SDR) 760 million (expected value of approximately A$1.6 billion </w:t>
      </w:r>
      <w:proofErr w:type="gramStart"/>
      <w:r w:rsidRPr="00D12C6F">
        <w:rPr>
          <w:rFonts w:eastAsia="MS Mincho"/>
        </w:rPr>
        <w:t>at</w:t>
      </w:r>
      <w:proofErr w:type="gramEnd"/>
      <w:r w:rsidRPr="00D12C6F">
        <w:rPr>
          <w:rFonts w:eastAsia="MS Mincho"/>
        </w:rPr>
        <w:t xml:space="preserve"> 30 June 2026) line of credit available to the International Monetary Fund (IMF) under the Resilience and Sustainability Trust</w:t>
      </w:r>
      <w:r w:rsidR="00880FAB">
        <w:rPr>
          <w:rFonts w:eastAsia="MS Mincho"/>
        </w:rPr>
        <w:t>’</w:t>
      </w:r>
      <w:r w:rsidRPr="00D12C6F">
        <w:rPr>
          <w:rFonts w:eastAsia="MS Mincho"/>
        </w:rPr>
        <w:t>s Loan Account through to 30 November 2030. The Resilience and Sustainability Trust Loan Account provides affordable long</w:t>
      </w:r>
      <w:r w:rsidR="00880FAB">
        <w:rPr>
          <w:rFonts w:eastAsia="MS Mincho"/>
        </w:rPr>
        <w:noBreakHyphen/>
      </w:r>
      <w:r w:rsidRPr="00D12C6F">
        <w:rPr>
          <w:rFonts w:eastAsia="MS Mincho"/>
        </w:rPr>
        <w:t xml:space="preserve">term financing to help vulnerable countries build economic resilience and sustainability to address the risks stemming from climate change and pandemics. Resilience and Sustainability Trust Loan Account funds are drawn upon by the IMF as needed and will be repaid in full, with interest. It is estimated that SDR 159.4 million (approximately A$308.8 million) will be drawn down </w:t>
      </w:r>
      <w:proofErr w:type="gramStart"/>
      <w:r w:rsidRPr="00D12C6F">
        <w:rPr>
          <w:rFonts w:eastAsia="MS Mincho"/>
        </w:rPr>
        <w:t>at</w:t>
      </w:r>
      <w:proofErr w:type="gramEnd"/>
      <w:r w:rsidRPr="00D12C6F">
        <w:rPr>
          <w:rFonts w:eastAsia="MS Mincho"/>
        </w:rPr>
        <w:t xml:space="preserve"> 30 June</w:t>
      </w:r>
      <w:r w:rsidR="004341C4">
        <w:rPr>
          <w:rFonts w:eastAsia="MS Mincho"/>
        </w:rPr>
        <w:t> 2026</w:t>
      </w:r>
      <w:r w:rsidRPr="00D12C6F">
        <w:rPr>
          <w:rFonts w:eastAsia="MS Mincho"/>
        </w:rPr>
        <w:t xml:space="preserve">, leaving SDR 600.6 million (approximately A$1.2 billion) available to the IMF under the Resilience and Sustainability Trust. </w:t>
      </w:r>
    </w:p>
    <w:p w14:paraId="208A8572" w14:textId="5F8CC137" w:rsidR="00FE5F92" w:rsidRPr="00D12C6F" w:rsidRDefault="00FE5F92" w:rsidP="00FE5F92">
      <w:pPr>
        <w:rPr>
          <w:rFonts w:eastAsia="MS Mincho"/>
        </w:rPr>
      </w:pPr>
      <w:r w:rsidRPr="00D12C6F">
        <w:rPr>
          <w:rFonts w:eastAsia="MS Mincho"/>
        </w:rPr>
        <w:t>Additionally, on 11 October</w:t>
      </w:r>
      <w:r w:rsidR="001370F4">
        <w:rPr>
          <w:rFonts w:eastAsia="MS Mincho"/>
        </w:rPr>
        <w:t> 2022</w:t>
      </w:r>
      <w:r w:rsidRPr="00D12C6F">
        <w:rPr>
          <w:rFonts w:eastAsia="MS Mincho"/>
        </w:rPr>
        <w:t>, the Australian Government entered into an agreement to lend SDR 152 million (expected value of approximately A$310.1 million at 30 June 2026) to the Resilience and Sustainability Trust Deposit Account through to 30 November 2050, and SDR 15.2 million (expected value of approximately A$31.0 million at 30 June 2026) to the Resilience and Sustainability Trust Reserve Account through to liquidation of the Trust.</w:t>
      </w:r>
    </w:p>
    <w:p w14:paraId="7D2E2B7F" w14:textId="15EE7349" w:rsidR="00FE5F92" w:rsidRPr="00D12C6F" w:rsidRDefault="00FE5F92" w:rsidP="00FE5F92">
      <w:pPr>
        <w:rPr>
          <w:rFonts w:eastAsia="MS Mincho"/>
        </w:rPr>
      </w:pPr>
      <w:r w:rsidRPr="00D12C6F">
        <w:rPr>
          <w:rFonts w:eastAsia="MS Mincho"/>
        </w:rPr>
        <w:t xml:space="preserve">Resilience and Sustainability Trust Deposit Account funds will be repaid in full, with interest. Resilience and Sustainability Trust Reserve Account funds will be repaid on liquidation of the </w:t>
      </w:r>
      <w:r>
        <w:rPr>
          <w:rFonts w:eastAsia="MS Mincho"/>
        </w:rPr>
        <w:t>t</w:t>
      </w:r>
      <w:r w:rsidRPr="00D12C6F">
        <w:rPr>
          <w:rFonts w:eastAsia="MS Mincho"/>
        </w:rPr>
        <w:t xml:space="preserve">rust and will not accrue interest. </w:t>
      </w:r>
    </w:p>
    <w:p w14:paraId="6F47931B" w14:textId="29A7D10E" w:rsidR="00FE5F92" w:rsidRPr="00D12C6F" w:rsidRDefault="00FE5F92" w:rsidP="00FE5F92">
      <w:pPr>
        <w:rPr>
          <w:rFonts w:eastAsia="MS Mincho"/>
        </w:rPr>
      </w:pPr>
      <w:r w:rsidRPr="00D12C6F">
        <w:rPr>
          <w:rFonts w:eastAsia="MS Mincho"/>
        </w:rPr>
        <w:t>These additional contributions will enable the IMF to build sufficient reserves over time to manage risks associated with Resilience and Sustainability Trust lending such as potential late payments.</w:t>
      </w:r>
    </w:p>
    <w:p w14:paraId="260BD583" w14:textId="77777777" w:rsidR="00081CA0" w:rsidRDefault="00081CA0">
      <w:pPr>
        <w:spacing w:before="0" w:after="160" w:line="259" w:lineRule="auto"/>
        <w:rPr>
          <w:rFonts w:eastAsia="MS Mincho"/>
        </w:rPr>
      </w:pPr>
      <w:r>
        <w:rPr>
          <w:rFonts w:eastAsia="MS Mincho"/>
        </w:rPr>
        <w:br w:type="page"/>
      </w:r>
    </w:p>
    <w:p w14:paraId="27E36946" w14:textId="77777777" w:rsidR="00FE5F92" w:rsidRPr="00D12C6F" w:rsidRDefault="00FE5F92" w:rsidP="00FE5F92">
      <w:pPr>
        <w:pStyle w:val="Heading4"/>
      </w:pPr>
      <w:r w:rsidRPr="00D12C6F">
        <w:lastRenderedPageBreak/>
        <w:t>Loan Agreement between the Australian Government and the Government of Indonesia</w:t>
      </w:r>
    </w:p>
    <w:p w14:paraId="5A4A5CA6" w14:textId="1A52F8F9" w:rsidR="00FE5F92" w:rsidRPr="00D12C6F" w:rsidRDefault="00FE5F92" w:rsidP="00FE5F92">
      <w:pPr>
        <w:rPr>
          <w:rFonts w:eastAsia="MS Mincho"/>
        </w:rPr>
      </w:pPr>
      <w:bookmarkStart w:id="291" w:name="_Hlk223707582"/>
      <w:r w:rsidRPr="00D12C6F">
        <w:rPr>
          <w:rFonts w:eastAsia="MS Mincho"/>
        </w:rPr>
        <w:t>On 12 November 2020, Australia entered into a $1.5 billion loan agreement with Indonesia. This agreement is part of multilateral action to support Indonesia led by the Asian Development Bank and includes the Asian Infrastructure Investment Bank, the Japan International Cooperation Agency and the German state</w:t>
      </w:r>
      <w:r w:rsidR="00880FAB">
        <w:rPr>
          <w:rFonts w:eastAsia="MS Mincho"/>
        </w:rPr>
        <w:noBreakHyphen/>
      </w:r>
      <w:r w:rsidRPr="00D12C6F">
        <w:rPr>
          <w:rFonts w:eastAsia="MS Mincho"/>
        </w:rPr>
        <w:t xml:space="preserve">owned KfW Development Bank. </w:t>
      </w:r>
    </w:p>
    <w:p w14:paraId="71D12B50" w14:textId="0EFB05C3" w:rsidR="00FE5F92" w:rsidRPr="00D12C6F" w:rsidRDefault="00FE5F92" w:rsidP="00FE5F92">
      <w:pPr>
        <w:rPr>
          <w:rFonts w:eastAsia="MS Mincho"/>
        </w:rPr>
      </w:pPr>
      <w:r w:rsidRPr="00D12C6F">
        <w:rPr>
          <w:rFonts w:eastAsia="MS Mincho"/>
        </w:rPr>
        <w:t>The funds are being used to support Indonesia</w:t>
      </w:r>
      <w:r w:rsidR="00880FAB">
        <w:rPr>
          <w:rFonts w:eastAsia="MS Mincho"/>
        </w:rPr>
        <w:t>’</w:t>
      </w:r>
      <w:r w:rsidRPr="00D12C6F">
        <w:rPr>
          <w:rFonts w:eastAsia="MS Mincho"/>
        </w:rPr>
        <w:t>s COVID</w:t>
      </w:r>
      <w:r w:rsidR="00880FAB">
        <w:rPr>
          <w:rFonts w:eastAsia="MS Mincho"/>
        </w:rPr>
        <w:noBreakHyphen/>
      </w:r>
      <w:r w:rsidRPr="00D12C6F">
        <w:rPr>
          <w:rFonts w:eastAsia="MS Mincho"/>
        </w:rPr>
        <w:t>19 response and recovery, including social protection initiatives and health system development</w:t>
      </w:r>
      <w:bookmarkEnd w:id="291"/>
      <w:r w:rsidRPr="00D12C6F">
        <w:rPr>
          <w:rFonts w:eastAsia="MS Mincho"/>
        </w:rPr>
        <w:t xml:space="preserve">. </w:t>
      </w:r>
    </w:p>
    <w:p w14:paraId="00778232" w14:textId="77777777" w:rsidR="00FE5F92" w:rsidRPr="00D12C6F" w:rsidRDefault="00FE5F92" w:rsidP="00FE5F92">
      <w:pPr>
        <w:pStyle w:val="Heading4"/>
        <w:rPr>
          <w:rFonts w:eastAsia="MS Mincho"/>
        </w:rPr>
      </w:pPr>
      <w:r w:rsidRPr="00D12C6F">
        <w:t>Loan Agreements between the Australian Government and the Government of Papua New Guinea</w:t>
      </w:r>
    </w:p>
    <w:p w14:paraId="03CA5B76" w14:textId="77777777" w:rsidR="00FE5F92" w:rsidRPr="00D12C6F" w:rsidRDefault="00FE5F92" w:rsidP="00FE5F92">
      <w:pPr>
        <w:rPr>
          <w:rFonts w:eastAsia="MS Mincho"/>
        </w:rPr>
      </w:pPr>
      <w:r w:rsidRPr="00D12C6F">
        <w:rPr>
          <w:rFonts w:eastAsia="MS Mincho"/>
        </w:rPr>
        <w:t xml:space="preserve">The Australian Government has entered into several loan agreements with the Government of Papua New Guinea (PNG). These loans have been made to support budget sustainability to assist in the delivery of core government services and to support economic reforms </w:t>
      </w:r>
      <w:r w:rsidRPr="00D12C6F">
        <w:rPr>
          <w:rFonts w:eastAsia="MS Mincho"/>
          <w:lang w:val="en-US"/>
        </w:rPr>
        <w:t>under multilateral development programs, including International Monetary Fund programs.</w:t>
      </w:r>
      <w:r w:rsidRPr="00D12C6F">
        <w:rPr>
          <w:rFonts w:eastAsia="MS Mincho"/>
        </w:rPr>
        <w:t xml:space="preserve"> The loans include:</w:t>
      </w:r>
    </w:p>
    <w:p w14:paraId="05236030" w14:textId="6E5E0F45" w:rsidR="00FE5F92" w:rsidRPr="00D12C6F" w:rsidRDefault="00FE5F92" w:rsidP="00FE5F92">
      <w:pPr>
        <w:pStyle w:val="Bullet"/>
        <w:rPr>
          <w:rFonts w:eastAsia="MS Mincho"/>
        </w:rPr>
      </w:pPr>
      <w:r w:rsidRPr="00D12C6F">
        <w:rPr>
          <w:rFonts w:eastAsia="MS Mincho"/>
        </w:rPr>
        <w:t>US$400 million (approximately A$558 million) in 2020–21, which included refinancing of the US$300 million short</w:t>
      </w:r>
      <w:r w:rsidR="00880FAB">
        <w:rPr>
          <w:rFonts w:eastAsia="MS Mincho"/>
        </w:rPr>
        <w:noBreakHyphen/>
      </w:r>
      <w:r w:rsidRPr="00D12C6F">
        <w:rPr>
          <w:rFonts w:eastAsia="MS Mincho"/>
        </w:rPr>
        <w:t>term loan made in 2019</w:t>
      </w:r>
      <w:r w:rsidRPr="00D12C6F">
        <w:rPr>
          <w:rFonts w:eastAsia="MS Mincho" w:cs="Book Antiqua"/>
        </w:rPr>
        <w:t>–</w:t>
      </w:r>
      <w:r w:rsidRPr="00D12C6F">
        <w:rPr>
          <w:rFonts w:eastAsia="MS Mincho"/>
        </w:rPr>
        <w:t>20 and a further A$140 million loan for budget support, including PNG</w:t>
      </w:r>
      <w:r w:rsidR="00880FAB">
        <w:rPr>
          <w:rFonts w:eastAsia="MS Mincho"/>
        </w:rPr>
        <w:t>’</w:t>
      </w:r>
      <w:r w:rsidRPr="00D12C6F">
        <w:rPr>
          <w:rFonts w:eastAsia="MS Mincho"/>
        </w:rPr>
        <w:t>s response to COVID</w:t>
      </w:r>
      <w:r w:rsidR="00880FAB">
        <w:rPr>
          <w:rFonts w:eastAsia="MS Mincho"/>
        </w:rPr>
        <w:noBreakHyphen/>
      </w:r>
      <w:r w:rsidRPr="00D12C6F">
        <w:rPr>
          <w:rFonts w:eastAsia="MS Mincho"/>
        </w:rPr>
        <w:t>19</w:t>
      </w:r>
    </w:p>
    <w:p w14:paraId="392DD7C1" w14:textId="31EFFBAE" w:rsidR="00FE5F92" w:rsidRPr="00D12C6F" w:rsidRDefault="00FE5F92" w:rsidP="00FE5F92">
      <w:pPr>
        <w:pStyle w:val="Bullet"/>
        <w:rPr>
          <w:rFonts w:eastAsia="MS Mincho"/>
        </w:rPr>
      </w:pPr>
      <w:r w:rsidRPr="00D12C6F">
        <w:t>A$650 million in 2021–22, provided in response to a request from the PNG Prime Minister for further support to meet required expenditure in the PNG Government</w:t>
      </w:r>
      <w:r w:rsidR="00880FAB">
        <w:t>’</w:t>
      </w:r>
      <w:r w:rsidRPr="00D12C6F">
        <w:t>s 2021 Budget, including on the health and economic response to the COVID</w:t>
      </w:r>
      <w:r w:rsidR="00880FAB">
        <w:noBreakHyphen/>
      </w:r>
      <w:r w:rsidRPr="00D12C6F">
        <w:t>19</w:t>
      </w:r>
      <w:r>
        <w:t xml:space="preserve"> </w:t>
      </w:r>
      <w:r w:rsidRPr="00D12C6F">
        <w:t>pandemic</w:t>
      </w:r>
    </w:p>
    <w:p w14:paraId="2EBAD82A" w14:textId="77777777" w:rsidR="00FE5F92" w:rsidRPr="00D12C6F" w:rsidRDefault="00FE5F92" w:rsidP="00FE5F92">
      <w:pPr>
        <w:pStyle w:val="Bullet"/>
        <w:rPr>
          <w:rFonts w:eastAsia="MS Mincho"/>
        </w:rPr>
      </w:pPr>
      <w:r w:rsidRPr="00D12C6F">
        <w:rPr>
          <w:rFonts w:eastAsia="MS Mincho"/>
          <w:lang w:val="en-US"/>
        </w:rPr>
        <w:t>A$750 million in 2022–23, provided in response to a request from the PNG Treasurer for financial assistance to enable the PNG Government to meet required expenditure in its 2022 Budget</w:t>
      </w:r>
    </w:p>
    <w:p w14:paraId="51038B7D" w14:textId="77777777" w:rsidR="00FE5F92" w:rsidRPr="00D12C6F" w:rsidRDefault="00FE5F92" w:rsidP="00FE5F92">
      <w:pPr>
        <w:pStyle w:val="Bullet"/>
        <w:rPr>
          <w:rFonts w:eastAsia="MS Mincho"/>
        </w:rPr>
      </w:pPr>
      <w:r w:rsidRPr="00D12C6F">
        <w:rPr>
          <w:rFonts w:eastAsia="Arial"/>
        </w:rPr>
        <w:t>A$600 million in 2023–24, in response to a request from the PNG Prime Minister to support PNG to meet its estimated 2023 budget financing shortfall</w:t>
      </w:r>
    </w:p>
    <w:p w14:paraId="12E3AF21" w14:textId="7AE469F4" w:rsidR="006D4B27" w:rsidRPr="00317F51" w:rsidRDefault="00FE5F92" w:rsidP="00D12C6F">
      <w:pPr>
        <w:pStyle w:val="Bullet"/>
        <w:rPr>
          <w:rFonts w:eastAsia="Book Antiqua"/>
        </w:rPr>
      </w:pPr>
      <w:r w:rsidRPr="00D12C6F">
        <w:rPr>
          <w:rFonts w:eastAsia="Book Antiqua"/>
        </w:rPr>
        <w:t>A$570 million in 2024</w:t>
      </w:r>
      <w:r>
        <w:rPr>
          <w:rFonts w:eastAsia="Book Antiqua"/>
        </w:rPr>
        <w:t>–</w:t>
      </w:r>
      <w:r w:rsidRPr="00D12C6F">
        <w:rPr>
          <w:rFonts w:eastAsia="Book Antiqua"/>
        </w:rPr>
        <w:t>25, in response to a request from the PNG Government to meet its estimated 2024 budget financing shortfall.</w:t>
      </w:r>
    </w:p>
    <w:sectPr w:rsidR="006D4B27" w:rsidRPr="00317F51" w:rsidSect="00247BE3">
      <w:headerReference w:type="even" r:id="rId24"/>
      <w:headerReference w:type="default" r:id="rId25"/>
      <w:footerReference w:type="even" r:id="rId26"/>
      <w:footerReference w:type="default" r:id="rId27"/>
      <w:headerReference w:type="first" r:id="rId28"/>
      <w:footerReference w:type="first" r:id="rId29"/>
      <w:pgSz w:w="11907" w:h="16840" w:code="9"/>
      <w:pgMar w:top="2835" w:right="2098" w:bottom="2466" w:left="2098" w:header="1814"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CFFCE" w14:textId="77777777" w:rsidR="009B7CC9" w:rsidRDefault="009B7CC9" w:rsidP="00E40261">
      <w:pPr>
        <w:spacing w:after="0" w:line="240" w:lineRule="auto"/>
      </w:pPr>
      <w:r>
        <w:separator/>
      </w:r>
    </w:p>
  </w:endnote>
  <w:endnote w:type="continuationSeparator" w:id="0">
    <w:p w14:paraId="11EE8A0C" w14:textId="77777777" w:rsidR="009B7CC9" w:rsidRDefault="009B7CC9" w:rsidP="00E40261">
      <w:pPr>
        <w:spacing w:after="0" w:line="240" w:lineRule="auto"/>
      </w:pPr>
      <w:r>
        <w:continuationSeparator/>
      </w:r>
    </w:p>
  </w:endnote>
  <w:endnote w:type="continuationNotice" w:id="1">
    <w:p w14:paraId="3DF88F16" w14:textId="77777777" w:rsidR="009B7CC9" w:rsidRDefault="009B7CC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wiss 721 BT">
    <w:altName w:val="Swiss 721 BT"/>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937D" w14:textId="52324E9E" w:rsidR="007B5C53" w:rsidRDefault="00AE1DE4" w:rsidP="00E94CF0">
    <w:pPr>
      <w:pStyle w:val="FooterOdd"/>
    </w:pPr>
    <w:fldSimple w:instr=" SUBJECT   \* MERGEFORMAT ">
      <w:r>
        <w:t>Statement 9: Statement of Risks</w:t>
      </w:r>
    </w:fldSimple>
    <w:r w:rsidR="00E94CF0" w:rsidRPr="00081542">
      <w:t> | </w:t>
    </w:r>
    <w:r w:rsidR="00E94CF0" w:rsidRPr="00B3705D">
      <w:rPr>
        <w:b/>
        <w:bCs/>
      </w:rPr>
      <w:t xml:space="preserve">Page </w:t>
    </w:r>
    <w:r w:rsidR="00E94CF0" w:rsidRPr="00B3705D">
      <w:rPr>
        <w:b/>
        <w:bCs/>
      </w:rPr>
      <w:fldChar w:fldCharType="begin"/>
    </w:r>
    <w:r w:rsidR="00E94CF0" w:rsidRPr="00B3705D">
      <w:rPr>
        <w:b/>
        <w:bCs/>
      </w:rPr>
      <w:instrText xml:space="preserve"> PAGE  \* Arabic  \* MERGEFORMAT </w:instrText>
    </w:r>
    <w:r w:rsidR="00E94CF0" w:rsidRPr="00B3705D">
      <w:rPr>
        <w:b/>
        <w:bCs/>
      </w:rPr>
      <w:fldChar w:fldCharType="separate"/>
    </w:r>
    <w:r w:rsidR="00E94CF0">
      <w:rPr>
        <w:b/>
        <w:bCs/>
      </w:rPr>
      <w:t>1</w:t>
    </w:r>
    <w:r w:rsidR="00E94CF0" w:rsidRPr="00B3705D">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AD64A" w14:textId="43E46E89" w:rsidR="00E94CF0" w:rsidRDefault="00AE1DE4" w:rsidP="00E94CF0">
    <w:pPr>
      <w:pStyle w:val="FooterOdd"/>
    </w:pPr>
    <w:fldSimple w:instr=" SUBJECT   \* MERGEFORMAT ">
      <w:r>
        <w:t>Statement 9: Statement of Risks</w:t>
      </w:r>
    </w:fldSimple>
    <w:r w:rsidR="00E94CF0" w:rsidRPr="00081542">
      <w:t> | </w:t>
    </w:r>
    <w:r w:rsidR="00E94CF0" w:rsidRPr="00B3705D">
      <w:rPr>
        <w:b/>
        <w:bCs/>
      </w:rPr>
      <w:t xml:space="preserve">Page </w:t>
    </w:r>
    <w:r w:rsidR="00E94CF0" w:rsidRPr="00B3705D">
      <w:rPr>
        <w:b/>
        <w:bCs/>
      </w:rPr>
      <w:fldChar w:fldCharType="begin"/>
    </w:r>
    <w:r w:rsidR="00E94CF0" w:rsidRPr="00B3705D">
      <w:rPr>
        <w:b/>
        <w:bCs/>
      </w:rPr>
      <w:instrText xml:space="preserve"> PAGE  \* Arabic  \* MERGEFORMAT </w:instrText>
    </w:r>
    <w:r w:rsidR="00E94CF0" w:rsidRPr="00B3705D">
      <w:rPr>
        <w:b/>
        <w:bCs/>
      </w:rPr>
      <w:fldChar w:fldCharType="separate"/>
    </w:r>
    <w:r w:rsidR="00E94CF0">
      <w:rPr>
        <w:b/>
        <w:bCs/>
      </w:rPr>
      <w:t>1</w:t>
    </w:r>
    <w:r w:rsidR="00E94CF0"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71359" w14:textId="72D5AF56" w:rsidR="00D306D1" w:rsidRDefault="00D306D1">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 SUBJECT   \* MERGEFORMAT ">
      <w:r w:rsidR="00AE1DE4">
        <w:t>Statement 9: Statement of Risks</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83E8" w14:textId="489280C3" w:rsidR="00D306D1" w:rsidRDefault="00AE1DE4" w:rsidP="00E94CF0">
    <w:pPr>
      <w:pStyle w:val="FooterOdd"/>
    </w:pPr>
    <w:fldSimple w:instr=" SUBJECT   \* MERGEFORMAT ">
      <w:r>
        <w:t>Statement 9: Statement of Risks</w:t>
      </w:r>
    </w:fldSimple>
    <w:r w:rsidR="00D306D1" w:rsidRPr="00081542">
      <w:t> | </w:t>
    </w:r>
    <w:r w:rsidR="00D306D1" w:rsidRPr="00B3705D">
      <w:rPr>
        <w:b/>
        <w:bCs/>
      </w:rPr>
      <w:t xml:space="preserve">Page </w:t>
    </w:r>
    <w:r w:rsidR="00D306D1" w:rsidRPr="00B3705D">
      <w:rPr>
        <w:b/>
        <w:bCs/>
      </w:rPr>
      <w:fldChar w:fldCharType="begin"/>
    </w:r>
    <w:r w:rsidR="00D306D1" w:rsidRPr="00B3705D">
      <w:rPr>
        <w:b/>
        <w:bCs/>
      </w:rPr>
      <w:instrText xml:space="preserve"> PAGE  \* Arabic  \* MERGEFORMAT </w:instrText>
    </w:r>
    <w:r w:rsidR="00D306D1" w:rsidRPr="00B3705D">
      <w:rPr>
        <w:b/>
        <w:bCs/>
      </w:rPr>
      <w:fldChar w:fldCharType="separate"/>
    </w:r>
    <w:r w:rsidR="00D306D1">
      <w:rPr>
        <w:b/>
        <w:bCs/>
      </w:rPr>
      <w:t>1</w:t>
    </w:r>
    <w:r w:rsidR="00D306D1" w:rsidRPr="00B3705D">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1002" w14:textId="1AD609B1" w:rsidR="007B5C53" w:rsidRPr="00A240DA" w:rsidRDefault="00C80015" w:rsidP="00BF7665">
    <w:pPr>
      <w:pStyle w:val="GhostLine"/>
    </w:pPr>
    <w:r w:rsidRPr="005E792C">
      <w:rPr>
        <w:noProof/>
      </w:rPr>
      <mc:AlternateContent>
        <mc:Choice Requires="wps">
          <w:drawing>
            <wp:anchor distT="0" distB="0" distL="114300" distR="114300" simplePos="0" relativeHeight="251658243" behindDoc="0" locked="0" layoutInCell="1" allowOverlap="1" wp14:anchorId="4BA31110" wp14:editId="49D26EC0">
              <wp:simplePos x="0" y="0"/>
              <wp:positionH relativeFrom="column">
                <wp:posOffset>-540385</wp:posOffset>
              </wp:positionH>
              <wp:positionV relativeFrom="margin">
                <wp:align>center</wp:align>
              </wp:positionV>
              <wp:extent cx="399600" cy="4942800"/>
              <wp:effectExtent l="0" t="0" r="635" b="0"/>
              <wp:wrapNone/>
              <wp:docPr id="127856713"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942800"/>
                      </a:xfrm>
                      <a:prstGeom prst="rect">
                        <a:avLst/>
                      </a:prstGeom>
                      <a:solidFill>
                        <a:srgbClr val="FFFFFF"/>
                      </a:solidFill>
                      <a:ln w="9525">
                        <a:noFill/>
                        <a:miter lim="800000"/>
                        <a:headEnd/>
                        <a:tailEnd/>
                      </a:ln>
                    </wps:spPr>
                    <wps:txbx>
                      <w:txbxContent>
                        <w:p w14:paraId="3C82DA35" w14:textId="27E09454" w:rsidR="00C80015" w:rsidRDefault="00C80015" w:rsidP="00EA6261">
                          <w:pPr>
                            <w:pStyle w:val="FooterEven"/>
                            <w:ind w:left="28"/>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2</w:t>
                          </w:r>
                          <w:r w:rsidRPr="00B3705D">
                            <w:rPr>
                              <w:b/>
                              <w:bCs/>
                            </w:rPr>
                            <w:fldChar w:fldCharType="end"/>
                          </w:r>
                          <w:r w:rsidRPr="006B1B1F">
                            <w:t> </w:t>
                          </w:r>
                          <w:r>
                            <w:t>|</w:t>
                          </w:r>
                          <w:r w:rsidRPr="006B1B1F">
                            <w:t> </w:t>
                          </w:r>
                          <w:fldSimple w:instr=" SUBJECT   \* MERGEFORMAT ">
                            <w:r w:rsidR="00AE1DE4">
                              <w:t>Statement 9: Statement of Risks</w:t>
                            </w:r>
                          </w:fldSimple>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A31110" id="_x0000_t202" coordsize="21600,21600" o:spt="202" path="m,l,21600r21600,l21600,xe">
              <v:stroke joinstyle="miter"/>
              <v:path gradientshapeok="t" o:connecttype="rect"/>
            </v:shapetype>
            <v:shape id="Text Box 7" o:spid="_x0000_s1028" type="#_x0000_t202" alt="Landscape Page Number" style="position:absolute;left:0;text-align:left;margin-left:-42.55pt;margin-top:0;width:31.45pt;height:389.2pt;z-index:251658243;visibility:visible;mso-wrap-style:square;mso-width-percent:0;mso-height-percent:0;mso-wrap-distance-left:9pt;mso-wrap-distance-top:0;mso-wrap-distance-right:9pt;mso-wrap-distance-bottom:0;mso-position-horizontal:absolute;mso-position-horizontal-relative:text;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" stroked="f">
              <v:textbox style="layout-flow:vertical" inset="0,0,0,0">
                <w:txbxContent>
                  <w:p w14:paraId="3C82DA35" w14:textId="27E09454" w:rsidR="00C80015" w:rsidRDefault="00C80015" w:rsidP="00EA6261">
                    <w:pPr>
                      <w:pStyle w:val="FooterEven"/>
                      <w:ind w:left="28"/>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2</w:t>
                    </w:r>
                    <w:r w:rsidRPr="00B3705D">
                      <w:rPr>
                        <w:b/>
                        <w:bCs/>
                      </w:rPr>
                      <w:fldChar w:fldCharType="end"/>
                    </w:r>
                    <w:r w:rsidRPr="006B1B1F">
                      <w:t> </w:t>
                    </w:r>
                    <w:r>
                      <w:t>|</w:t>
                    </w:r>
                    <w:r w:rsidRPr="006B1B1F">
                      <w:t> </w:t>
                    </w:r>
                    <w:fldSimple w:instr=" SUBJECT   \* MERGEFORMAT ">
                      <w:r w:rsidR="00AE1DE4">
                        <w:t>Statement 9: Statement of Risks</w:t>
                      </w:r>
                    </w:fldSimple>
                  </w:p>
                </w:txbxContent>
              </v:textbox>
              <w10:wrap anchory="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70665" w14:textId="77A1F236" w:rsidR="007B5C53" w:rsidRPr="00A240DA" w:rsidRDefault="00E94CF0" w:rsidP="00BF7665">
    <w:pPr>
      <w:pStyle w:val="GhostLine"/>
    </w:pPr>
    <w:r w:rsidRPr="005E792C">
      <w:rPr>
        <w:noProof/>
      </w:rPr>
      <mc:AlternateContent>
        <mc:Choice Requires="wps">
          <w:drawing>
            <wp:anchor distT="0" distB="0" distL="114300" distR="114300" simplePos="0" relativeHeight="251658241" behindDoc="0" locked="1" layoutInCell="1" allowOverlap="1" wp14:anchorId="0A9AB852" wp14:editId="1932CFDF">
              <wp:simplePos x="0" y="0"/>
              <wp:positionH relativeFrom="column">
                <wp:posOffset>-540385</wp:posOffset>
              </wp:positionH>
              <wp:positionV relativeFrom="margin">
                <wp:align>center</wp:align>
              </wp:positionV>
              <wp:extent cx="399600" cy="4942800"/>
              <wp:effectExtent l="0" t="0" r="635" b="0"/>
              <wp:wrapNone/>
              <wp:docPr id="329301080"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942800"/>
                      </a:xfrm>
                      <a:prstGeom prst="rect">
                        <a:avLst/>
                      </a:prstGeom>
                      <a:solidFill>
                        <a:srgbClr val="FFFFFF"/>
                      </a:solidFill>
                      <a:ln w="9525">
                        <a:noFill/>
                        <a:miter lim="800000"/>
                        <a:headEnd/>
                        <a:tailEnd/>
                      </a:ln>
                    </wps:spPr>
                    <wps:txbx>
                      <w:txbxContent>
                        <w:p w14:paraId="6DBF62CD" w14:textId="3E436A43" w:rsidR="00E94CF0" w:rsidRDefault="00AE1DE4" w:rsidP="00C91EC5">
                          <w:pPr>
                            <w:pStyle w:val="FooterOdd"/>
                            <w:ind w:right="28"/>
                          </w:pPr>
                          <w:fldSimple w:instr=" SUBJECT   \* MERGEFORMAT ">
                            <w:r>
                              <w:t>Statement 9: Statement of Risks</w:t>
                            </w:r>
                          </w:fldSimple>
                          <w:r w:rsidR="00E94CF0" w:rsidRPr="006B1B1F">
                            <w:t> </w:t>
                          </w:r>
                          <w:r w:rsidR="00E94CF0">
                            <w:t>|</w:t>
                          </w:r>
                          <w:r w:rsidR="00E94CF0" w:rsidRPr="006B1B1F">
                            <w:t> </w:t>
                          </w:r>
                          <w:r w:rsidR="00E94CF0" w:rsidRPr="00B3705D">
                            <w:rPr>
                              <w:b/>
                              <w:bCs/>
                            </w:rPr>
                            <w:t xml:space="preserve">Page </w:t>
                          </w:r>
                          <w:r w:rsidR="00E94CF0" w:rsidRPr="00B3705D">
                            <w:rPr>
                              <w:b/>
                              <w:bCs/>
                            </w:rPr>
                            <w:fldChar w:fldCharType="begin"/>
                          </w:r>
                          <w:r w:rsidR="00E94CF0" w:rsidRPr="00B3705D">
                            <w:rPr>
                              <w:b/>
                              <w:bCs/>
                            </w:rPr>
                            <w:instrText xml:space="preserve"> PAGE  \* Arabic  \* MERGEFORMAT </w:instrText>
                          </w:r>
                          <w:r w:rsidR="00E94CF0" w:rsidRPr="00B3705D">
                            <w:rPr>
                              <w:b/>
                              <w:bCs/>
                            </w:rPr>
                            <w:fldChar w:fldCharType="separate"/>
                          </w:r>
                          <w:r w:rsidR="00E94CF0">
                            <w:rPr>
                              <w:b/>
                              <w:bCs/>
                            </w:rPr>
                            <w:t>3</w:t>
                          </w:r>
                          <w:r w:rsidR="00E94CF0" w:rsidRPr="00B3705D">
                            <w:rPr>
                              <w:b/>
                              <w:bCs/>
                            </w:rPr>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9AB852" id="_x0000_t202" coordsize="21600,21600" o:spt="202" path="m,l,21600r21600,l21600,xe">
              <v:stroke joinstyle="miter"/>
              <v:path gradientshapeok="t" o:connecttype="rect"/>
            </v:shapetype>
            <v:shape id="_x0000_s1029" type="#_x0000_t202" alt="Landscape Page Number" style="position:absolute;left:0;text-align:left;margin-left:-42.55pt;margin-top:0;width:31.45pt;height:389.2pt;z-index:251658241;visibility:visible;mso-wrap-style:square;mso-width-percent:0;mso-height-percent:0;mso-wrap-distance-left:9pt;mso-wrap-distance-top:0;mso-wrap-distance-right:9pt;mso-wrap-distance-bottom:0;mso-position-horizontal:absolute;mso-position-horizontal-relative:text;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" stroked="f">
              <v:textbox style="layout-flow:vertical" inset="0,0,0,0">
                <w:txbxContent>
                  <w:p w14:paraId="6DBF62CD" w14:textId="3E436A43" w:rsidR="00E94CF0" w:rsidRDefault="00AE1DE4" w:rsidP="00C91EC5">
                    <w:pPr>
                      <w:pStyle w:val="FooterOdd"/>
                      <w:ind w:right="28"/>
                    </w:pPr>
                    <w:fldSimple w:instr=" SUBJECT   \* MERGEFORMAT ">
                      <w:r>
                        <w:t>Statement 9: Statement of Risks</w:t>
                      </w:r>
                    </w:fldSimple>
                    <w:r w:rsidR="00E94CF0" w:rsidRPr="006B1B1F">
                      <w:t> </w:t>
                    </w:r>
                    <w:r w:rsidR="00E94CF0">
                      <w:t>|</w:t>
                    </w:r>
                    <w:r w:rsidR="00E94CF0" w:rsidRPr="006B1B1F">
                      <w:t> </w:t>
                    </w:r>
                    <w:r w:rsidR="00E94CF0" w:rsidRPr="00B3705D">
                      <w:rPr>
                        <w:b/>
                        <w:bCs/>
                      </w:rPr>
                      <w:t xml:space="preserve">Page </w:t>
                    </w:r>
                    <w:r w:rsidR="00E94CF0" w:rsidRPr="00B3705D">
                      <w:rPr>
                        <w:b/>
                        <w:bCs/>
                      </w:rPr>
                      <w:fldChar w:fldCharType="begin"/>
                    </w:r>
                    <w:r w:rsidR="00E94CF0" w:rsidRPr="00B3705D">
                      <w:rPr>
                        <w:b/>
                        <w:bCs/>
                      </w:rPr>
                      <w:instrText xml:space="preserve"> PAGE  \* Arabic  \* MERGEFORMAT </w:instrText>
                    </w:r>
                    <w:r w:rsidR="00E94CF0" w:rsidRPr="00B3705D">
                      <w:rPr>
                        <w:b/>
                        <w:bCs/>
                      </w:rPr>
                      <w:fldChar w:fldCharType="separate"/>
                    </w:r>
                    <w:r w:rsidR="00E94CF0">
                      <w:rPr>
                        <w:b/>
                        <w:bCs/>
                      </w:rPr>
                      <w:t>3</w:t>
                    </w:r>
                    <w:r w:rsidR="00E94CF0" w:rsidRPr="00B3705D">
                      <w:rPr>
                        <w:b/>
                        <w:bCs/>
                      </w:rPr>
                      <w:fldChar w:fldCharType="end"/>
                    </w:r>
                  </w:p>
                </w:txbxContent>
              </v:textbox>
              <w10:wrap anchory="margin"/>
              <w10:anchorlock/>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5D3C" w14:textId="638B5633" w:rsidR="007B5C53" w:rsidRPr="00A240DA" w:rsidRDefault="007B5C5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4E9C" w14:textId="6CDACD7D" w:rsidR="00996641" w:rsidRPr="00522D74" w:rsidRDefault="00996641" w:rsidP="000C54AB">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 SUBJECT   \* MERGEFORMAT ">
      <w:r w:rsidR="00AE1DE4">
        <w:t>Statement 9: Statement of Risks</w:t>
      </w:r>
    </w:fldSimple>
    <w:r>
      <w:rPr>
        <w:noProof/>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C988" w14:textId="1E15CDDB" w:rsidR="00996641" w:rsidRDefault="00AE1DE4" w:rsidP="009F3CAB">
    <w:pPr>
      <w:pStyle w:val="FooterOdd"/>
    </w:pPr>
    <w:fldSimple w:instr=" SUBJECT   \* MERGEFORMAT ">
      <w:r>
        <w:t>Statement 9: Statement of Risks</w:t>
      </w:r>
    </w:fldSimple>
    <w:r w:rsidR="00996641" w:rsidRPr="00081542">
      <w:t> | </w:t>
    </w:r>
    <w:r w:rsidR="00996641" w:rsidRPr="00B3705D">
      <w:rPr>
        <w:b/>
        <w:bCs/>
      </w:rPr>
      <w:t xml:space="preserve">Page </w:t>
    </w:r>
    <w:r w:rsidR="00996641" w:rsidRPr="00B3705D">
      <w:rPr>
        <w:b/>
        <w:bCs/>
      </w:rPr>
      <w:fldChar w:fldCharType="begin"/>
    </w:r>
    <w:r w:rsidR="00996641" w:rsidRPr="00B3705D">
      <w:rPr>
        <w:b/>
        <w:bCs/>
      </w:rPr>
      <w:instrText xml:space="preserve"> PAGE  \* Arabic  \* MERGEFORMAT </w:instrText>
    </w:r>
    <w:r w:rsidR="00996641" w:rsidRPr="00B3705D">
      <w:rPr>
        <w:b/>
        <w:bCs/>
      </w:rPr>
      <w:fldChar w:fldCharType="separate"/>
    </w:r>
    <w:r w:rsidR="00996641">
      <w:rPr>
        <w:b/>
        <w:bCs/>
      </w:rPr>
      <w:t>1</w:t>
    </w:r>
    <w:r w:rsidR="00996641" w:rsidRPr="00B3705D">
      <w:rPr>
        <w:b/>
        <w:bCs/>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D489" w14:textId="68CEF9CA" w:rsidR="00996641" w:rsidRDefault="00AE1DE4" w:rsidP="00360947">
    <w:pPr>
      <w:pStyle w:val="FooterOdd"/>
    </w:pPr>
    <w:fldSimple w:instr=" SUBJECT   \* MERGEFORMAT ">
      <w:r>
        <w:t>Statement 9: Statement of Risks</w:t>
      </w:r>
    </w:fldSimple>
    <w:r w:rsidR="00996641" w:rsidRPr="00081542">
      <w:t> | </w:t>
    </w:r>
    <w:r w:rsidR="00996641" w:rsidRPr="00B3705D">
      <w:rPr>
        <w:b/>
        <w:bCs/>
      </w:rPr>
      <w:t xml:space="preserve">Page </w:t>
    </w:r>
    <w:r w:rsidR="00996641" w:rsidRPr="00B3705D">
      <w:rPr>
        <w:b/>
        <w:bCs/>
      </w:rPr>
      <w:fldChar w:fldCharType="begin"/>
    </w:r>
    <w:r w:rsidR="00996641" w:rsidRPr="00B3705D">
      <w:rPr>
        <w:b/>
        <w:bCs/>
      </w:rPr>
      <w:instrText xml:space="preserve"> PAGE  \* Arabic  \* MERGEFORMAT </w:instrText>
    </w:r>
    <w:r w:rsidR="00996641" w:rsidRPr="00B3705D">
      <w:rPr>
        <w:b/>
        <w:bCs/>
      </w:rPr>
      <w:fldChar w:fldCharType="separate"/>
    </w:r>
    <w:r w:rsidR="00996641">
      <w:rPr>
        <w:b/>
        <w:bCs/>
      </w:rPr>
      <w:t>1</w:t>
    </w:r>
    <w:r w:rsidR="00996641"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34248" w14:textId="77777777" w:rsidR="009B7CC9" w:rsidRPr="003C1CA4" w:rsidRDefault="009B7CC9"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6E779D64" w14:textId="77777777" w:rsidR="009B7CC9" w:rsidRDefault="009B7CC9" w:rsidP="00E40261">
      <w:pPr>
        <w:spacing w:after="0" w:line="240" w:lineRule="auto"/>
      </w:pPr>
      <w:r>
        <w:continuationSeparator/>
      </w:r>
    </w:p>
  </w:footnote>
  <w:footnote w:type="continuationNotice" w:id="1">
    <w:p w14:paraId="4975C4EE" w14:textId="77777777" w:rsidR="009B7CC9" w:rsidRDefault="009B7CC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8ED14" w14:textId="3FB8B41D" w:rsidR="007B5C53" w:rsidRPr="00E94CF0" w:rsidRDefault="00F4397B" w:rsidP="00E94CF0">
    <w:pPr>
      <w:pStyle w:val="GhostLine"/>
    </w:pPr>
    <w:r>
      <w:rPr>
        <w:noProof/>
      </w:rPr>
      <w:drawing>
        <wp:anchor distT="0" distB="0" distL="114300" distR="114300" simplePos="0" relativeHeight="251658250" behindDoc="1" locked="0" layoutInCell="1" allowOverlap="1" wp14:anchorId="2BE28F7B" wp14:editId="5F3213FD">
          <wp:simplePos x="0" y="0"/>
          <wp:positionH relativeFrom="page">
            <wp:align>center</wp:align>
          </wp:positionH>
          <wp:positionV relativeFrom="page">
            <wp:align>center</wp:align>
          </wp:positionV>
          <wp:extent cx="7560000" cy="10692000"/>
          <wp:effectExtent l="0" t="0" r="3175" b="0"/>
          <wp:wrapNone/>
          <wp:docPr id="453875389"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06841"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E94CF0" w:rsidRPr="00880FAB" w14:paraId="55434187" w14:textId="77777777" w:rsidTr="001051B9">
      <w:trPr>
        <w:trHeight w:hRule="exact" w:val="340"/>
      </w:trPr>
      <w:tc>
        <w:tcPr>
          <w:tcW w:w="7797" w:type="dxa"/>
          <w:tcMar>
            <w:left w:w="108" w:type="dxa"/>
            <w:right w:w="108" w:type="dxa"/>
          </w:tcMar>
        </w:tcPr>
        <w:p w14:paraId="25695735" w14:textId="5B7E0196" w:rsidR="00E94CF0" w:rsidRPr="00880FAB" w:rsidRDefault="00AE1DE4" w:rsidP="00D13BF9">
          <w:pPr>
            <w:pStyle w:val="HeaderOdd"/>
          </w:pPr>
          <w:fldSimple w:instr=" TITLE   \* MERGEFORMAT ">
            <w:r>
              <w:t>Budget Paper No. 1</w:t>
            </w:r>
          </w:fldSimple>
          <w:r w:rsidR="00E94CF0" w:rsidRPr="00880FAB">
            <w:t> | </w:t>
          </w:r>
          <w:r w:rsidR="00E94CF0" w:rsidRPr="00880FAB">
            <w:rPr>
              <w:noProof/>
              <w:position w:val="-8"/>
              <w:vertAlign w:val="subscript"/>
            </w:rPr>
            <w:drawing>
              <wp:inline distT="0" distB="0" distL="0" distR="0" wp14:anchorId="1035B781" wp14:editId="0DFDB50F">
                <wp:extent cx="859038" cy="198000"/>
                <wp:effectExtent l="0" t="0" r="0" b="0"/>
                <wp:docPr id="44582932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1150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6B992014" w14:textId="4115C75D" w:rsidR="007B5C53" w:rsidRPr="00E94CF0" w:rsidRDefault="007B5C53" w:rsidP="00E94CF0">
    <w:pPr>
      <w:pStyle w:val="GhostLi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DEF9" w14:textId="78C17E75" w:rsidR="00F1260C" w:rsidRDefault="00F4397B" w:rsidP="00F1260C">
    <w:pPr>
      <w:pStyle w:val="GhostLine"/>
    </w:pPr>
    <w:r>
      <w:rPr>
        <w:noProof/>
      </w:rPr>
      <w:drawing>
        <wp:anchor distT="0" distB="0" distL="114300" distR="114300" simplePos="0" relativeHeight="251660306" behindDoc="1" locked="0" layoutInCell="1" allowOverlap="1" wp14:anchorId="321D5933" wp14:editId="17A642E3">
          <wp:simplePos x="0" y="0"/>
          <wp:positionH relativeFrom="page">
            <wp:align>center</wp:align>
          </wp:positionH>
          <wp:positionV relativeFrom="page">
            <wp:align>center</wp:align>
          </wp:positionV>
          <wp:extent cx="7560000" cy="10692000"/>
          <wp:effectExtent l="0" t="0" r="3175" b="0"/>
          <wp:wrapNone/>
          <wp:docPr id="369097895"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09818"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80BB" w14:textId="2905BDFD" w:rsidR="00D306D1" w:rsidRPr="00E94CF0" w:rsidRDefault="00F4397B" w:rsidP="00E94CF0">
    <w:pPr>
      <w:pStyle w:val="GhostLine"/>
    </w:pPr>
    <w:r>
      <w:rPr>
        <w:noProof/>
      </w:rPr>
      <w:drawing>
        <wp:anchor distT="0" distB="0" distL="114300" distR="114300" simplePos="0" relativeHeight="251658252" behindDoc="1" locked="0" layoutInCell="1" allowOverlap="1" wp14:anchorId="5C56596B" wp14:editId="3B71D2C6">
          <wp:simplePos x="0" y="0"/>
          <wp:positionH relativeFrom="page">
            <wp:align>center</wp:align>
          </wp:positionH>
          <wp:positionV relativeFrom="page">
            <wp:align>center</wp:align>
          </wp:positionV>
          <wp:extent cx="7560000" cy="10692000"/>
          <wp:effectExtent l="0" t="0" r="3175" b="0"/>
          <wp:wrapNone/>
          <wp:docPr id="119994058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50142" name="Picture 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E164" w14:textId="147C4486" w:rsidR="00D306D1" w:rsidRDefault="00F4397B" w:rsidP="00F1260C">
    <w:pPr>
      <w:pStyle w:val="GhostLine"/>
    </w:pPr>
    <w:r>
      <w:rPr>
        <w:noProof/>
      </w:rPr>
      <w:drawing>
        <wp:anchor distT="0" distB="0" distL="114300" distR="114300" simplePos="0" relativeHeight="251658251" behindDoc="1" locked="0" layoutInCell="1" allowOverlap="1" wp14:anchorId="7E5D7BDA" wp14:editId="31C7075A">
          <wp:simplePos x="0" y="0"/>
          <wp:positionH relativeFrom="page">
            <wp:align>center</wp:align>
          </wp:positionH>
          <wp:positionV relativeFrom="page">
            <wp:align>center</wp:align>
          </wp:positionV>
          <wp:extent cx="7560000" cy="10692000"/>
          <wp:effectExtent l="0" t="0" r="3175" b="0"/>
          <wp:wrapNone/>
          <wp:docPr id="1090463348"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99099"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AC1E0E" w:rsidRPr="00880FAB" w14:paraId="2338D15A" w14:textId="77777777" w:rsidTr="00BF7665">
      <w:trPr>
        <w:trHeight w:hRule="exact" w:val="340"/>
      </w:trPr>
      <w:tc>
        <w:tcPr>
          <w:tcW w:w="7797" w:type="dxa"/>
        </w:tcPr>
        <w:p w14:paraId="3E96333F" w14:textId="5E9BAC9C" w:rsidR="00AC1E0E" w:rsidRPr="00880FAB" w:rsidRDefault="00AC1E0E" w:rsidP="00F60EA1">
          <w:pPr>
            <w:pStyle w:val="HeaderEven"/>
          </w:pPr>
          <w:r w:rsidRPr="00880FAB">
            <w:rPr>
              <w:noProof/>
              <w:position w:val="-8"/>
            </w:rPr>
            <w:drawing>
              <wp:inline distT="0" distB="0" distL="0" distR="0" wp14:anchorId="64AD7875" wp14:editId="4AE5754B">
                <wp:extent cx="859038" cy="198000"/>
                <wp:effectExtent l="0" t="0" r="0" b="0"/>
                <wp:docPr id="288826975"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880FAB">
            <w:t> | </w:t>
          </w:r>
          <w:fldSimple w:instr=" TITLE   \* MERGEFORMAT ">
            <w:r w:rsidR="00AE1DE4">
              <w:t>Budget Paper No. 1</w:t>
            </w:r>
          </w:fldSimple>
        </w:p>
      </w:tc>
    </w:tr>
  </w:tbl>
  <w:p w14:paraId="55C43EE3" w14:textId="5711CA46" w:rsidR="00AC1E0E" w:rsidRPr="00E94CF0" w:rsidRDefault="00F4397B" w:rsidP="00E94CF0">
    <w:pPr>
      <w:pStyle w:val="GhostLine"/>
    </w:pPr>
    <w:r>
      <w:rPr>
        <w:noProof/>
      </w:rPr>
      <w:drawing>
        <wp:anchor distT="0" distB="0" distL="114300" distR="114300" simplePos="0" relativeHeight="251658253" behindDoc="1" locked="0" layoutInCell="1" allowOverlap="1" wp14:anchorId="6089BF30" wp14:editId="44932644">
          <wp:simplePos x="0" y="0"/>
          <wp:positionH relativeFrom="page">
            <wp:align>center</wp:align>
          </wp:positionH>
          <wp:positionV relativeFrom="page">
            <wp:align>center</wp:align>
          </wp:positionV>
          <wp:extent cx="7560000" cy="10692000"/>
          <wp:effectExtent l="0" t="0" r="3175" b="0"/>
          <wp:wrapNone/>
          <wp:docPr id="2018865633"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5030" name="Picture 6">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AC1E0E" w:rsidRPr="00880FAB" w14:paraId="6C7DA70C" w14:textId="77777777" w:rsidTr="001051B9">
      <w:trPr>
        <w:trHeight w:hRule="exact" w:val="340"/>
      </w:trPr>
      <w:tc>
        <w:tcPr>
          <w:tcW w:w="7797" w:type="dxa"/>
          <w:tcMar>
            <w:left w:w="108" w:type="dxa"/>
            <w:right w:w="108" w:type="dxa"/>
          </w:tcMar>
        </w:tcPr>
        <w:p w14:paraId="4B53E4CF" w14:textId="651B0EBB" w:rsidR="00AC1E0E" w:rsidRPr="00880FAB" w:rsidRDefault="00AE1DE4" w:rsidP="00D13BF9">
          <w:pPr>
            <w:pStyle w:val="HeaderOdd"/>
          </w:pPr>
          <w:fldSimple w:instr=" TITLE   \* MERGEFORMAT ">
            <w:r>
              <w:t>Budget Paper No. 1</w:t>
            </w:r>
          </w:fldSimple>
          <w:r w:rsidR="00AC1E0E" w:rsidRPr="00880FAB">
            <w:t> | </w:t>
          </w:r>
          <w:r w:rsidR="00AC1E0E" w:rsidRPr="00880FAB">
            <w:rPr>
              <w:noProof/>
              <w:position w:val="-8"/>
              <w:vertAlign w:val="subscript"/>
            </w:rPr>
            <w:drawing>
              <wp:inline distT="0" distB="0" distL="0" distR="0" wp14:anchorId="2C28535F" wp14:editId="22973716">
                <wp:extent cx="860400" cy="198000"/>
                <wp:effectExtent l="0" t="0" r="0" b="0"/>
                <wp:docPr id="196475684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4157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60400" cy="198000"/>
                        </a:xfrm>
                        <a:prstGeom prst="rect">
                          <a:avLst/>
                        </a:prstGeom>
                      </pic:spPr>
                    </pic:pic>
                  </a:graphicData>
                </a:graphic>
              </wp:inline>
            </w:drawing>
          </w:r>
        </w:p>
      </w:tc>
    </w:tr>
  </w:tbl>
  <w:p w14:paraId="2B7E6D00" w14:textId="25CDEC27" w:rsidR="00AC1E0E" w:rsidRPr="00E94CF0" w:rsidRDefault="00F4397B" w:rsidP="00E94CF0">
    <w:pPr>
      <w:pStyle w:val="GhostLine"/>
    </w:pPr>
    <w:r>
      <w:rPr>
        <w:noProof/>
      </w:rPr>
      <w:drawing>
        <wp:anchor distT="0" distB="0" distL="114300" distR="114300" simplePos="0" relativeHeight="251657215" behindDoc="1" locked="0" layoutInCell="1" allowOverlap="1" wp14:anchorId="67E94D30" wp14:editId="3E26F442">
          <wp:simplePos x="0" y="0"/>
          <wp:positionH relativeFrom="page">
            <wp:align>center</wp:align>
          </wp:positionH>
          <wp:positionV relativeFrom="page">
            <wp:align>center</wp:align>
          </wp:positionV>
          <wp:extent cx="7560000" cy="10692000"/>
          <wp:effectExtent l="0" t="0" r="3175" b="0"/>
          <wp:wrapNone/>
          <wp:docPr id="1170956047"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9663" name="Picture 4">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EFD63" w14:textId="37708A95" w:rsidR="007B5C53" w:rsidRPr="00E94CF0" w:rsidRDefault="00BA7FC9" w:rsidP="00C80015">
    <w:pPr>
      <w:pStyle w:val="GhostLine"/>
    </w:pPr>
    <w:r>
      <w:rPr>
        <w:noProof/>
      </w:rPr>
      <w:drawing>
        <wp:anchor distT="0" distB="0" distL="114300" distR="114300" simplePos="0" relativeHeight="251658255" behindDoc="1" locked="0" layoutInCell="1" allowOverlap="1" wp14:anchorId="73814B9F" wp14:editId="41A41F15">
          <wp:simplePos x="0" y="0"/>
          <wp:positionH relativeFrom="page">
            <wp:align>center</wp:align>
          </wp:positionH>
          <wp:positionV relativeFrom="page">
            <wp:align>center</wp:align>
          </wp:positionV>
          <wp:extent cx="7560000" cy="10692000"/>
          <wp:effectExtent l="0" t="3810" r="0" b="0"/>
          <wp:wrapNone/>
          <wp:docPr id="162161539"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01693" name="Picture 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rot="16200000" flipV="1">
                    <a:off x="0" y="0"/>
                    <a:ext cx="7560000" cy="10692000"/>
                  </a:xfrm>
                  <a:prstGeom prst="rect">
                    <a:avLst/>
                  </a:prstGeom>
                </pic:spPr>
              </pic:pic>
            </a:graphicData>
          </a:graphic>
          <wp14:sizeRelH relativeFrom="page">
            <wp14:pctWidth>0</wp14:pctWidth>
          </wp14:sizeRelH>
          <wp14:sizeRelV relativeFrom="page">
            <wp14:pctHeight>0</wp14:pctHeight>
          </wp14:sizeRelV>
        </wp:anchor>
      </w:drawing>
    </w:r>
    <w:r w:rsidR="00E94CF0" w:rsidRPr="00D114DB">
      <w:rPr>
        <w:noProof/>
      </w:rPr>
      <mc:AlternateContent>
        <mc:Choice Requires="wps">
          <w:drawing>
            <wp:anchor distT="0" distB="0" distL="114300" distR="114300" simplePos="0" relativeHeight="251658242" behindDoc="0" locked="0" layoutInCell="1" allowOverlap="1" wp14:anchorId="3CC962F6" wp14:editId="7F7DE9B1">
              <wp:simplePos x="0" y="0"/>
              <wp:positionH relativeFrom="column">
                <wp:posOffset>7571740</wp:posOffset>
              </wp:positionH>
              <wp:positionV relativeFrom="margin">
                <wp:align>top</wp:align>
              </wp:positionV>
              <wp:extent cx="399600" cy="4896000"/>
              <wp:effectExtent l="0" t="0" r="635" b="0"/>
              <wp:wrapNone/>
              <wp:docPr id="1971249410"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557DE1" w14:textId="440E4E12" w:rsidR="00E94CF0" w:rsidRPr="00137C7E" w:rsidRDefault="00E94CF0" w:rsidP="00CC6004">
                          <w:pPr>
                            <w:pStyle w:val="HeaderEven"/>
                          </w:pPr>
                          <w:r w:rsidRPr="008C56E1">
                            <w:rPr>
                              <w:noProof/>
                              <w:position w:val="-8"/>
                            </w:rPr>
                            <w:drawing>
                              <wp:inline distT="0" distB="0" distL="0" distR="0" wp14:anchorId="74CAD81B" wp14:editId="2BDF7305">
                                <wp:extent cx="859038" cy="197999"/>
                                <wp:effectExtent l="6667" t="0" r="0" b="5397"/>
                                <wp:docPr id="1944463208"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84264" name="Picture 2">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rot="5400000">
                                          <a:off x="0" y="0"/>
                                          <a:ext cx="859038" cy="197999"/>
                                        </a:xfrm>
                                        <a:prstGeom prst="rect">
                                          <a:avLst/>
                                        </a:prstGeom>
                                      </pic:spPr>
                                    </pic:pic>
                                  </a:graphicData>
                                </a:graphic>
                              </wp:inline>
                            </w:drawing>
                          </w:r>
                          <w:r w:rsidRPr="002F142A">
                            <w:rPr>
                              <w:position w:val="0"/>
                            </w:rPr>
                            <w:t> | </w:t>
                          </w:r>
                          <w:r w:rsidRPr="002F142A">
                            <w:rPr>
                              <w:position w:val="0"/>
                            </w:rPr>
                            <w:fldChar w:fldCharType="begin"/>
                          </w:r>
                          <w:r w:rsidRPr="002F142A">
                            <w:rPr>
                              <w:position w:val="0"/>
                            </w:rPr>
                            <w:instrText xml:space="preserve"> TITLE   \* MERGEFORMAT </w:instrText>
                          </w:r>
                          <w:r w:rsidRPr="002F142A">
                            <w:rPr>
                              <w:position w:val="0"/>
                            </w:rPr>
                            <w:fldChar w:fldCharType="separate"/>
                          </w:r>
                          <w:r w:rsidR="00AE1DE4">
                            <w:rPr>
                              <w:position w:val="0"/>
                            </w:rPr>
                            <w:t>Budget Paper No. 1</w:t>
                          </w:r>
                          <w:r w:rsidRPr="002F142A">
                            <w:rPr>
                              <w:position w:val="0"/>
                            </w:rPr>
                            <w:fldChar w:fldCharType="end"/>
                          </w:r>
                        </w:p>
                      </w:txbxContent>
                    </wps:txbx>
                    <wps:bodyPr rot="0" vert="vert"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3CC962F6" id="_x0000_t202" coordsize="21600,21600" o:spt="202" path="m,l,21600r21600,l21600,xe">
              <v:stroke joinstyle="miter"/>
              <v:path gradientshapeok="t" o:connecttype="rect"/>
            </v:shapetype>
            <v:shape id="Text Box 6" o:spid="_x0000_s1026" type="#_x0000_t202" alt="Landscape Odd Header" style="position:absolute;left:0;text-align:left;margin-left:596.2pt;margin-top:0;width:31.45pt;height:385.5pt;z-index:251658242;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" stroked="f">
              <v:textbox style="layout-flow:vertical" inset="0,0,0,0">
                <w:txbxContent>
                  <w:p w14:paraId="12557DE1" w14:textId="440E4E12" w:rsidR="00E94CF0" w:rsidRPr="00137C7E" w:rsidRDefault="00E94CF0" w:rsidP="00CC6004">
                    <w:pPr>
                      <w:pStyle w:val="HeaderEven"/>
                    </w:pPr>
                    <w:r w:rsidRPr="008C56E1">
                      <w:rPr>
                        <w:noProof/>
                        <w:position w:val="-8"/>
                      </w:rPr>
                      <w:drawing>
                        <wp:inline distT="0" distB="0" distL="0" distR="0" wp14:anchorId="74CAD81B" wp14:editId="2BDF7305">
                          <wp:extent cx="859038" cy="197999"/>
                          <wp:effectExtent l="6667" t="0" r="0" b="5397"/>
                          <wp:docPr id="1944463208"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84264" name="Picture 2">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rot="5400000">
                                    <a:off x="0" y="0"/>
                                    <a:ext cx="859038" cy="197999"/>
                                  </a:xfrm>
                                  <a:prstGeom prst="rect">
                                    <a:avLst/>
                                  </a:prstGeom>
                                </pic:spPr>
                              </pic:pic>
                            </a:graphicData>
                          </a:graphic>
                        </wp:inline>
                      </w:drawing>
                    </w:r>
                    <w:r w:rsidRPr="002F142A">
                      <w:rPr>
                        <w:position w:val="0"/>
                      </w:rPr>
                      <w:t> | </w:t>
                    </w:r>
                    <w:r w:rsidRPr="002F142A">
                      <w:rPr>
                        <w:position w:val="0"/>
                      </w:rPr>
                      <w:fldChar w:fldCharType="begin"/>
                    </w:r>
                    <w:r w:rsidRPr="002F142A">
                      <w:rPr>
                        <w:position w:val="0"/>
                      </w:rPr>
                      <w:instrText xml:space="preserve"> TITLE   \* MERGEFORMAT </w:instrText>
                    </w:r>
                    <w:r w:rsidRPr="002F142A">
                      <w:rPr>
                        <w:position w:val="0"/>
                      </w:rPr>
                      <w:fldChar w:fldCharType="separate"/>
                    </w:r>
                    <w:r w:rsidR="00AE1DE4">
                      <w:rPr>
                        <w:position w:val="0"/>
                      </w:rPr>
                      <w:t>Budget Paper No. 1</w:t>
                    </w:r>
                    <w:r w:rsidRPr="002F142A">
                      <w:rPr>
                        <w:position w:val="0"/>
                      </w:rPr>
                      <w:fldChar w:fldCharType="end"/>
                    </w:r>
                  </w:p>
                </w:txbxContent>
              </v:textbox>
              <w10:wrap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50A97" w14:textId="177621EE" w:rsidR="007B5C53" w:rsidRPr="00E94CF0" w:rsidRDefault="008B7AED" w:rsidP="00C80015">
    <w:pPr>
      <w:pStyle w:val="GhostLine"/>
    </w:pPr>
    <w:r>
      <w:rPr>
        <w:noProof/>
      </w:rPr>
      <w:drawing>
        <wp:anchor distT="0" distB="0" distL="114300" distR="114300" simplePos="0" relativeHeight="251658256" behindDoc="1" locked="0" layoutInCell="1" allowOverlap="1" wp14:anchorId="2A00547F" wp14:editId="5B67DDB8">
          <wp:simplePos x="0" y="0"/>
          <wp:positionH relativeFrom="page">
            <wp:align>center</wp:align>
          </wp:positionH>
          <wp:positionV relativeFrom="page">
            <wp:align>center</wp:align>
          </wp:positionV>
          <wp:extent cx="7560000" cy="10692000"/>
          <wp:effectExtent l="0" t="3810" r="0" b="0"/>
          <wp:wrapNone/>
          <wp:docPr id="363607275"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01693" name="Picture 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rot="5400000">
                    <a:off x="0" y="0"/>
                    <a:ext cx="7560000" cy="10692000"/>
                  </a:xfrm>
                  <a:prstGeom prst="rect">
                    <a:avLst/>
                  </a:prstGeom>
                </pic:spPr>
              </pic:pic>
            </a:graphicData>
          </a:graphic>
          <wp14:sizeRelH relativeFrom="page">
            <wp14:pctWidth>0</wp14:pctWidth>
          </wp14:sizeRelH>
          <wp14:sizeRelV relativeFrom="page">
            <wp14:pctHeight>0</wp14:pctHeight>
          </wp14:sizeRelV>
        </wp:anchor>
      </w:drawing>
    </w:r>
    <w:r w:rsidR="00E94CF0" w:rsidRPr="00D114DB">
      <w:rPr>
        <w:noProof/>
      </w:rPr>
      <mc:AlternateContent>
        <mc:Choice Requires="wps">
          <w:drawing>
            <wp:anchor distT="0" distB="0" distL="114300" distR="114300" simplePos="0" relativeHeight="251658240" behindDoc="0" locked="1" layoutInCell="1" allowOverlap="1" wp14:anchorId="3EED15AD" wp14:editId="76EDAF97">
              <wp:simplePos x="0" y="0"/>
              <wp:positionH relativeFrom="column">
                <wp:posOffset>7571740</wp:posOffset>
              </wp:positionH>
              <wp:positionV relativeFrom="margin">
                <wp:align>top</wp:align>
              </wp:positionV>
              <wp:extent cx="399600" cy="4896000"/>
              <wp:effectExtent l="0" t="0" r="635" b="0"/>
              <wp:wrapNone/>
              <wp:docPr id="831600920"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00F728" w14:textId="70828796" w:rsidR="00E94CF0" w:rsidRPr="00137C7E" w:rsidRDefault="00E94CF0" w:rsidP="007A3C7F">
                          <w:pPr>
                            <w:pStyle w:val="HeaderOdd"/>
                            <w:spacing w:before="100" w:beforeAutospacing="1"/>
                          </w:pPr>
                          <w:r w:rsidRPr="002F142A">
                            <w:rPr>
                              <w:position w:val="0"/>
                            </w:rPr>
                            <w:fldChar w:fldCharType="begin"/>
                          </w:r>
                          <w:r w:rsidRPr="002F142A">
                            <w:rPr>
                              <w:position w:val="0"/>
                            </w:rPr>
                            <w:instrText xml:space="preserve"> TITLE   \* MERGEFORMAT </w:instrText>
                          </w:r>
                          <w:r w:rsidRPr="002F142A">
                            <w:rPr>
                              <w:position w:val="0"/>
                            </w:rPr>
                            <w:fldChar w:fldCharType="separate"/>
                          </w:r>
                          <w:r w:rsidR="00AE1DE4">
                            <w:rPr>
                              <w:position w:val="0"/>
                            </w:rPr>
                            <w:t>Budget Paper No. 1</w:t>
                          </w:r>
                          <w:r w:rsidRPr="002F142A">
                            <w:rPr>
                              <w:position w:val="0"/>
                            </w:rPr>
                            <w:fldChar w:fldCharType="end"/>
                          </w:r>
                          <w:r w:rsidRPr="002F142A">
                            <w:rPr>
                              <w:position w:val="0"/>
                            </w:rPr>
                            <w:t> </w:t>
                          </w:r>
                          <w:r w:rsidRPr="002F142A">
                            <w:rPr>
                              <w:position w:val="0"/>
                            </w:rPr>
                            <w:t>|</w:t>
                          </w:r>
                          <w:r w:rsidRPr="002F142A">
                            <w:rPr>
                              <w:position w:val="0"/>
                            </w:rPr>
                            <w:t> </w:t>
                          </w:r>
                          <w:r w:rsidRPr="005476BD">
                            <w:rPr>
                              <w:noProof/>
                              <w:position w:val="-8"/>
                            </w:rPr>
                            <w:drawing>
                              <wp:inline distT="0" distB="0" distL="0" distR="0" wp14:anchorId="1E16AA13" wp14:editId="364C4CA7">
                                <wp:extent cx="859038" cy="198000"/>
                                <wp:effectExtent l="6667" t="0" r="0" b="5397"/>
                                <wp:docPr id="720064823"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3119" name="Picture 18">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rot="5400000">
                                          <a:off x="0" y="0"/>
                                          <a:ext cx="859038" cy="198000"/>
                                        </a:xfrm>
                                        <a:prstGeom prst="rect">
                                          <a:avLst/>
                                        </a:prstGeom>
                                      </pic:spPr>
                                    </pic:pic>
                                  </a:graphicData>
                                </a:graphic>
                              </wp:inline>
                            </w:drawing>
                          </w:r>
                        </w:p>
                      </w:txbxContent>
                    </wps:txbx>
                    <wps:bodyPr rot="0" vert="vert" wrap="square" lIns="0" tIns="0" rIns="0" bIns="72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ED15AD" id="_x0000_t202" coordsize="21600,21600" o:spt="202" path="m,l,21600r21600,l21600,xe">
              <v:stroke joinstyle="miter"/>
              <v:path gradientshapeok="t" o:connecttype="rect"/>
            </v:shapetype>
            <v:shape id="_x0000_s1027" type="#_x0000_t202" alt="Landscape Odd Header" style="position:absolute;left:0;text-align:left;margin-left:596.2pt;margin-top:0;width:31.45pt;height:385.5pt;z-index:251658240;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" stroked="f">
              <v:textbox style="layout-flow:vertical" inset="0,0,0,.2mm">
                <w:txbxContent>
                  <w:p w14:paraId="7600F728" w14:textId="70828796" w:rsidR="00E94CF0" w:rsidRPr="00137C7E" w:rsidRDefault="00E94CF0" w:rsidP="007A3C7F">
                    <w:pPr>
                      <w:pStyle w:val="HeaderOdd"/>
                      <w:spacing w:before="100" w:beforeAutospacing="1"/>
                    </w:pPr>
                    <w:r w:rsidRPr="002F142A">
                      <w:rPr>
                        <w:position w:val="0"/>
                      </w:rPr>
                      <w:fldChar w:fldCharType="begin"/>
                    </w:r>
                    <w:r w:rsidRPr="002F142A">
                      <w:rPr>
                        <w:position w:val="0"/>
                      </w:rPr>
                      <w:instrText xml:space="preserve"> TITLE   \* MERGEFORMAT </w:instrText>
                    </w:r>
                    <w:r w:rsidRPr="002F142A">
                      <w:rPr>
                        <w:position w:val="0"/>
                      </w:rPr>
                      <w:fldChar w:fldCharType="separate"/>
                    </w:r>
                    <w:r w:rsidR="00AE1DE4">
                      <w:rPr>
                        <w:position w:val="0"/>
                      </w:rPr>
                      <w:t>Budget Paper No. 1</w:t>
                    </w:r>
                    <w:r w:rsidRPr="002F142A">
                      <w:rPr>
                        <w:position w:val="0"/>
                      </w:rPr>
                      <w:fldChar w:fldCharType="end"/>
                    </w:r>
                    <w:r w:rsidRPr="002F142A">
                      <w:rPr>
                        <w:position w:val="0"/>
                      </w:rPr>
                      <w:t> </w:t>
                    </w:r>
                    <w:r w:rsidRPr="002F142A">
                      <w:rPr>
                        <w:position w:val="0"/>
                      </w:rPr>
                      <w:t>|</w:t>
                    </w:r>
                    <w:r w:rsidRPr="002F142A">
                      <w:rPr>
                        <w:position w:val="0"/>
                      </w:rPr>
                      <w:t> </w:t>
                    </w:r>
                    <w:r w:rsidRPr="005476BD">
                      <w:rPr>
                        <w:noProof/>
                        <w:position w:val="-8"/>
                      </w:rPr>
                      <w:drawing>
                        <wp:inline distT="0" distB="0" distL="0" distR="0" wp14:anchorId="1E16AA13" wp14:editId="364C4CA7">
                          <wp:extent cx="859038" cy="198000"/>
                          <wp:effectExtent l="6667" t="0" r="0" b="5397"/>
                          <wp:docPr id="720064823"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3119" name="Picture 18">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rot="5400000">
                                    <a:off x="0" y="0"/>
                                    <a:ext cx="859038" cy="198000"/>
                                  </a:xfrm>
                                  <a:prstGeom prst="rect">
                                    <a:avLst/>
                                  </a:prstGeom>
                                </pic:spPr>
                              </pic:pic>
                            </a:graphicData>
                          </a:graphic>
                        </wp:inline>
                      </w:drawing>
                    </w:r>
                  </w:p>
                </w:txbxContent>
              </v:textbox>
              <w10:wrap anchory="margin"/>
              <w10:anchorlock/>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6CCD" w14:textId="20D478F1" w:rsidR="007B5C53" w:rsidRPr="00B963B1" w:rsidRDefault="007B5C5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96641" w:rsidRPr="00880FAB" w14:paraId="5BB2204A" w14:textId="77777777" w:rsidTr="00BF7665">
      <w:trPr>
        <w:trHeight w:hRule="exact" w:val="340"/>
      </w:trPr>
      <w:tc>
        <w:tcPr>
          <w:tcW w:w="7797" w:type="dxa"/>
        </w:tcPr>
        <w:p w14:paraId="03227368" w14:textId="5974CA4C" w:rsidR="00996641" w:rsidRPr="00880FAB" w:rsidRDefault="00996641" w:rsidP="00AA2450">
          <w:pPr>
            <w:pStyle w:val="HeaderEven"/>
          </w:pPr>
          <w:r w:rsidRPr="00880FAB">
            <w:rPr>
              <w:noProof/>
              <w:position w:val="-8"/>
            </w:rPr>
            <w:drawing>
              <wp:inline distT="0" distB="0" distL="0" distR="0" wp14:anchorId="78FD4B7A" wp14:editId="6C90C52E">
                <wp:extent cx="859038" cy="198000"/>
                <wp:effectExtent l="0" t="0" r="0" b="0"/>
                <wp:docPr id="1070682105"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880FAB">
            <w:t> | </w:t>
          </w:r>
          <w:fldSimple w:instr=" TITLE   \* MERGEFORMAT ">
            <w:r w:rsidR="00AE1DE4">
              <w:t>Budget Paper No. 1</w:t>
            </w:r>
          </w:fldSimple>
        </w:p>
      </w:tc>
    </w:tr>
  </w:tbl>
  <w:p w14:paraId="5B8DA9F9" w14:textId="321702CB" w:rsidR="00996641" w:rsidRPr="00973A95" w:rsidRDefault="00996641" w:rsidP="00AA2450">
    <w:pPr>
      <w:pStyle w:val="GhostLine"/>
    </w:pPr>
  </w:p>
  <w:p w14:paraId="64BEA64C" w14:textId="77777777" w:rsidR="00996641" w:rsidRPr="00AA2450" w:rsidRDefault="00996641" w:rsidP="00AA2450">
    <w:pPr>
      <w:pStyle w:val="GhostLine"/>
    </w:pPr>
  </w:p>
  <w:p w14:paraId="00FEA095" w14:textId="40768AF9" w:rsidR="00996641" w:rsidRPr="00AA2450" w:rsidRDefault="008E59F0" w:rsidP="00AA2450">
    <w:pPr>
      <w:pStyle w:val="GhostLine"/>
    </w:pPr>
    <w:r>
      <w:rPr>
        <w:noProof/>
      </w:rPr>
      <w:drawing>
        <wp:anchor distT="0" distB="0" distL="114300" distR="114300" simplePos="0" relativeHeight="251658257" behindDoc="1" locked="0" layoutInCell="1" allowOverlap="1" wp14:anchorId="1EBE3AC4" wp14:editId="433BA62D">
          <wp:simplePos x="0" y="0"/>
          <wp:positionH relativeFrom="page">
            <wp:align>center</wp:align>
          </wp:positionH>
          <wp:positionV relativeFrom="page">
            <wp:align>center</wp:align>
          </wp:positionV>
          <wp:extent cx="7560000" cy="10692000"/>
          <wp:effectExtent l="0" t="0" r="3175" b="0"/>
          <wp:wrapNone/>
          <wp:docPr id="203016649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34771"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96641" w:rsidRPr="00880FAB" w14:paraId="2DF1317E" w14:textId="77777777" w:rsidTr="00BF7665">
      <w:trPr>
        <w:trHeight w:hRule="exact" w:val="340"/>
      </w:trPr>
      <w:tc>
        <w:tcPr>
          <w:tcW w:w="7797" w:type="dxa"/>
          <w:tcMar>
            <w:left w:w="108" w:type="dxa"/>
            <w:right w:w="108" w:type="dxa"/>
          </w:tcMar>
        </w:tcPr>
        <w:p w14:paraId="4E019656" w14:textId="3883E84D" w:rsidR="00996641" w:rsidRPr="00880FAB" w:rsidRDefault="00AE1DE4" w:rsidP="00AA2450">
          <w:pPr>
            <w:pStyle w:val="HeaderOdd"/>
          </w:pPr>
          <w:fldSimple w:instr=" TITLE   \* MERGEFORMAT ">
            <w:r>
              <w:t>Budget Paper No. 1</w:t>
            </w:r>
          </w:fldSimple>
          <w:r w:rsidR="00996641" w:rsidRPr="00880FAB">
            <w:t> | </w:t>
          </w:r>
          <w:r w:rsidR="00996641" w:rsidRPr="00880FAB">
            <w:rPr>
              <w:noProof/>
              <w:position w:val="-8"/>
              <w:vertAlign w:val="subscript"/>
            </w:rPr>
            <w:drawing>
              <wp:inline distT="0" distB="0" distL="0" distR="0" wp14:anchorId="7418D440" wp14:editId="3D1007F9">
                <wp:extent cx="859038" cy="198000"/>
                <wp:effectExtent l="0" t="0" r="0" b="0"/>
                <wp:docPr id="163570095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5308"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190476DB" w14:textId="185FE669" w:rsidR="00996641" w:rsidRPr="00AA2450" w:rsidRDefault="00996641" w:rsidP="00AA2450">
    <w:pPr>
      <w:pStyle w:val="GhostLine"/>
    </w:pPr>
  </w:p>
  <w:p w14:paraId="5B507F5B" w14:textId="7DDDB454" w:rsidR="00996641" w:rsidRPr="00AA2450" w:rsidRDefault="008D263F" w:rsidP="00AA2450">
    <w:pPr>
      <w:pStyle w:val="GhostLine"/>
    </w:pPr>
    <w:r>
      <w:rPr>
        <w:noProof/>
      </w:rPr>
      <w:drawing>
        <wp:anchor distT="0" distB="0" distL="114300" distR="114300" simplePos="0" relativeHeight="251658258" behindDoc="1" locked="0" layoutInCell="1" allowOverlap="1" wp14:anchorId="3D5BF6D2" wp14:editId="688800CA">
          <wp:simplePos x="0" y="0"/>
          <wp:positionH relativeFrom="page">
            <wp:align>center</wp:align>
          </wp:positionH>
          <wp:positionV relativeFrom="page">
            <wp:align>center</wp:align>
          </wp:positionV>
          <wp:extent cx="7560000" cy="10692000"/>
          <wp:effectExtent l="0" t="0" r="3175" b="0"/>
          <wp:wrapNone/>
          <wp:docPr id="1072139871"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1487" name="Picture 3">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BE82" w14:textId="166466EE" w:rsidR="00996641" w:rsidRPr="008066AF" w:rsidRDefault="00996641" w:rsidP="00BF3A1E">
    <w:pPr>
      <w:pStyle w:val="GhostLi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A4A8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E4E7D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6BC0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074B4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F821A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60DD3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4F2C7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F4A2E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16B0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7C752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12" w15:restartNumberingAfterBreak="0">
    <w:nsid w:val="1647577F"/>
    <w:multiLevelType w:val="multilevel"/>
    <w:tmpl w:val="794240C4"/>
    <w:lvl w:ilvl="0">
      <w:start w:val="1"/>
      <w:numFmt w:val="lowerLetter"/>
      <w:pStyle w:val="ChartandTableFootnoteAlpha"/>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3" w15:restartNumberingAfterBreak="0">
    <w:nsid w:val="18302288"/>
    <w:multiLevelType w:val="hybridMultilevel"/>
    <w:tmpl w:val="E12CDC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9C960FD"/>
    <w:multiLevelType w:val="multilevel"/>
    <w:tmpl w:val="F9EA08CE"/>
    <w:name w:val="OneLevelNumberedParagraphList"/>
    <w:lvl w:ilvl="0">
      <w:start w:val="1"/>
      <w:numFmt w:val="decimal"/>
      <w:lvlRestart w:val="0"/>
      <w:lvlText w:val="%1"/>
      <w:lvlJc w:val="left"/>
      <w:pPr>
        <w:tabs>
          <w:tab w:val="num" w:pos="567"/>
        </w:tabs>
        <w:ind w:left="567" w:hanging="567"/>
      </w:pPr>
      <w:rPr>
        <w:rFonts w:ascii="Times New Roman" w:hAnsi="Times New Roman" w:cs="Times New Roman"/>
        <w:b w:val="0"/>
        <w:i w:val="0"/>
        <w:color w:val="000000"/>
      </w:rPr>
    </w:lvl>
    <w:lvl w:ilvl="1">
      <w:start w:val="1"/>
      <w:numFmt w:val="decimal"/>
      <w:lvlText w:val="%2"/>
      <w:lvlJc w:val="left"/>
      <w:pPr>
        <w:tabs>
          <w:tab w:val="num" w:pos="1134"/>
        </w:tabs>
        <w:ind w:left="1134" w:hanging="567"/>
      </w:pPr>
      <w:rPr>
        <w:rFonts w:ascii="Times New Roman" w:hAnsi="Times New Roman" w:cs="Times New Roman"/>
        <w:b w:val="0"/>
        <w:i w:val="0"/>
        <w:color w:val="000000"/>
      </w:rPr>
    </w:lvl>
    <w:lvl w:ilvl="2">
      <w:start w:val="1"/>
      <w:numFmt w:val="decimal"/>
      <w:lvlText w:val="%3"/>
      <w:lvlJc w:val="left"/>
      <w:pPr>
        <w:tabs>
          <w:tab w:val="num" w:pos="1701"/>
        </w:tabs>
        <w:ind w:left="1701" w:hanging="567"/>
      </w:pPr>
      <w:rPr>
        <w:rFonts w:ascii="Times New Roman" w:hAnsi="Times New Roman" w:cs="Times New Roman"/>
        <w:b w:val="0"/>
        <w:i w:val="0"/>
        <w:color w:val="000000"/>
      </w:rPr>
    </w:lvl>
    <w:lvl w:ilvl="3">
      <w:start w:val="1"/>
      <w:numFmt w:val="decimal"/>
      <w:lvlText w:val="%4"/>
      <w:lvlJc w:val="left"/>
      <w:pPr>
        <w:tabs>
          <w:tab w:val="num" w:pos="2268"/>
        </w:tabs>
        <w:ind w:left="2268" w:hanging="567"/>
      </w:pPr>
      <w:rPr>
        <w:rFonts w:ascii="Times New Roman" w:hAnsi="Times New Roman" w:cs="Times New Roman"/>
        <w:b w:val="0"/>
        <w:i w:val="0"/>
        <w:color w:val="000000"/>
      </w:rPr>
    </w:lvl>
    <w:lvl w:ilvl="4">
      <w:start w:val="1"/>
      <w:numFmt w:val="decimal"/>
      <w:lvlText w:val="%5"/>
      <w:lvlJc w:val="left"/>
      <w:pPr>
        <w:tabs>
          <w:tab w:val="num" w:pos="2835"/>
        </w:tabs>
        <w:ind w:left="2835" w:hanging="567"/>
      </w:pPr>
      <w:rPr>
        <w:rFonts w:ascii="Times New Roman" w:hAnsi="Times New Roman" w:cs="Times New Roman"/>
        <w:b w:val="0"/>
        <w:i w:val="0"/>
        <w:color w:val="000000"/>
      </w:rPr>
    </w:lvl>
    <w:lvl w:ilvl="5">
      <w:start w:val="1"/>
      <w:numFmt w:val="decimal"/>
      <w:lvlText w:val="%6"/>
      <w:lvlJc w:val="left"/>
      <w:pPr>
        <w:tabs>
          <w:tab w:val="num" w:pos="3402"/>
        </w:tabs>
        <w:ind w:left="3402" w:hanging="567"/>
      </w:pPr>
      <w:rPr>
        <w:rFonts w:ascii="Times New Roman" w:hAnsi="Times New Roman" w:cs="Times New Roman"/>
        <w:b w:val="0"/>
        <w:i w:val="0"/>
        <w:color w:val="000000"/>
      </w:rPr>
    </w:lvl>
    <w:lvl w:ilvl="6">
      <w:start w:val="1"/>
      <w:numFmt w:val="decimal"/>
      <w:lvlText w:val="%7"/>
      <w:lvlJc w:val="left"/>
      <w:pPr>
        <w:tabs>
          <w:tab w:val="num" w:pos="3969"/>
        </w:tabs>
        <w:ind w:left="3969" w:hanging="567"/>
      </w:pPr>
      <w:rPr>
        <w:rFonts w:ascii="Times New Roman" w:hAnsi="Times New Roman" w:cs="Times New Roman"/>
        <w:b w:val="0"/>
        <w:i w:val="0"/>
        <w:color w:val="000000"/>
      </w:rPr>
    </w:lvl>
    <w:lvl w:ilvl="7">
      <w:start w:val="1"/>
      <w:numFmt w:val="decimal"/>
      <w:lvlText w:val="%8"/>
      <w:lvlJc w:val="left"/>
      <w:pPr>
        <w:tabs>
          <w:tab w:val="num" w:pos="4536"/>
        </w:tabs>
        <w:ind w:left="4536" w:hanging="567"/>
      </w:pPr>
      <w:rPr>
        <w:rFonts w:ascii="Times New Roman" w:hAnsi="Times New Roman" w:cs="Times New Roman"/>
        <w:b w:val="0"/>
        <w:i w:val="0"/>
        <w:color w:val="000000"/>
      </w:rPr>
    </w:lvl>
    <w:lvl w:ilvl="8">
      <w:start w:val="1"/>
      <w:numFmt w:val="decimal"/>
      <w:lvlText w:val="%9"/>
      <w:lvlJc w:val="left"/>
      <w:pPr>
        <w:tabs>
          <w:tab w:val="num" w:pos="5103"/>
        </w:tabs>
        <w:ind w:left="5103" w:hanging="567"/>
      </w:pPr>
      <w:rPr>
        <w:rFonts w:ascii="Times New Roman" w:hAnsi="Times New Roman" w:cs="Times New Roman"/>
        <w:b w:val="0"/>
        <w:i w:val="0"/>
        <w:color w:val="000000"/>
      </w:rPr>
    </w:lvl>
  </w:abstractNum>
  <w:abstractNum w:abstractNumId="15"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16" w15:restartNumberingAfterBreak="0">
    <w:nsid w:val="59D45ABD"/>
    <w:multiLevelType w:val="hybridMultilevel"/>
    <w:tmpl w:val="A2004B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FAA4416"/>
    <w:multiLevelType w:val="multilevel"/>
    <w:tmpl w:val="D2300CFC"/>
    <w:lvl w:ilvl="0">
      <w:start w:val="1"/>
      <w:numFmt w:val="decimal"/>
      <w:pStyle w:val="OutlineNumbered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3905E03"/>
    <w:multiLevelType w:val="hybridMultilevel"/>
    <w:tmpl w:val="A41AFB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20" w15:restartNumberingAfterBreak="0">
    <w:nsid w:val="6FD20A93"/>
    <w:multiLevelType w:val="singleLevel"/>
    <w:tmpl w:val="3B6E6640"/>
    <w:name w:val="AlphaChartTableFootnoteSmallList"/>
    <w:lvl w:ilvl="0">
      <w:start w:val="1"/>
      <w:numFmt w:val="lowerLetter"/>
      <w:lvlRestart w:val="0"/>
      <w:lvlText w:val="(%1)"/>
      <w:lvlJc w:val="left"/>
      <w:pPr>
        <w:tabs>
          <w:tab w:val="num" w:pos="283"/>
        </w:tabs>
        <w:ind w:left="283" w:hanging="283"/>
      </w:pPr>
      <w:rPr>
        <w:rFonts w:ascii="Arial" w:hAnsi="Arial" w:cs="Arial"/>
        <w:b w:val="0"/>
        <w:i w:val="0"/>
        <w:sz w:val="15"/>
      </w:rPr>
    </w:lvl>
  </w:abstractNum>
  <w:abstractNum w:abstractNumId="21" w15:restartNumberingAfterBreak="0">
    <w:nsid w:val="74553C6C"/>
    <w:multiLevelType w:val="multilevel"/>
    <w:tmpl w:val="EF5ADE80"/>
    <w:name w:val="StandardNumberedList"/>
    <w:lvl w:ilvl="0">
      <w:start w:val="1"/>
      <w:numFmt w:val="decimal"/>
      <w:lvlText w:val="%1."/>
      <w:lvlJc w:val="left"/>
      <w:pPr>
        <w:tabs>
          <w:tab w:val="num" w:pos="449"/>
        </w:tabs>
        <w:ind w:left="449" w:hanging="449"/>
      </w:pPr>
    </w:lvl>
    <w:lvl w:ilvl="1">
      <w:start w:val="1"/>
      <w:numFmt w:val="decimal"/>
      <w:pStyle w:val="OutlineNumbered2"/>
      <w:lvlText w:val="%1.%2."/>
      <w:lvlJc w:val="left"/>
      <w:pPr>
        <w:tabs>
          <w:tab w:val="num" w:pos="898"/>
        </w:tabs>
        <w:ind w:left="898" w:hanging="449"/>
      </w:pPr>
    </w:lvl>
    <w:lvl w:ilvl="2">
      <w:start w:val="1"/>
      <w:numFmt w:val="decimal"/>
      <w:pStyle w:val="OutlineNumbered3"/>
      <w:lvlText w:val="%1.%2.%3."/>
      <w:lvlJc w:val="left"/>
      <w:pPr>
        <w:tabs>
          <w:tab w:val="num" w:pos="1347"/>
        </w:tabs>
        <w:ind w:left="1347" w:hanging="449"/>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03410866">
    <w:abstractNumId w:val="15"/>
  </w:num>
  <w:num w:numId="2" w16cid:durableId="70975900">
    <w:abstractNumId w:val="11"/>
  </w:num>
  <w:num w:numId="3" w16cid:durableId="541596858">
    <w:abstractNumId w:val="10"/>
  </w:num>
  <w:num w:numId="4" w16cid:durableId="5211629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44135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57239319">
    <w:abstractNumId w:val="21"/>
  </w:num>
  <w:num w:numId="7" w16cid:durableId="1518692781">
    <w:abstractNumId w:val="17"/>
  </w:num>
  <w:num w:numId="8" w16cid:durableId="20083636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982531">
    <w:abstractNumId w:val="1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86096012">
    <w:abstractNumId w:val="13"/>
  </w:num>
  <w:num w:numId="11" w16cid:durableId="1747651409">
    <w:abstractNumId w:val="18"/>
  </w:num>
  <w:num w:numId="12" w16cid:durableId="1057893296">
    <w:abstractNumId w:val="16"/>
  </w:num>
  <w:num w:numId="13" w16cid:durableId="778522229">
    <w:abstractNumId w:val="12"/>
  </w:num>
  <w:num w:numId="14" w16cid:durableId="308556280">
    <w:abstractNumId w:val="19"/>
  </w:num>
  <w:num w:numId="15" w16cid:durableId="322590933">
    <w:abstractNumId w:val="9"/>
  </w:num>
  <w:num w:numId="16" w16cid:durableId="1723669811">
    <w:abstractNumId w:val="7"/>
  </w:num>
  <w:num w:numId="17" w16cid:durableId="235865475">
    <w:abstractNumId w:val="6"/>
  </w:num>
  <w:num w:numId="18" w16cid:durableId="1066297075">
    <w:abstractNumId w:val="5"/>
  </w:num>
  <w:num w:numId="19" w16cid:durableId="10422456">
    <w:abstractNumId w:val="4"/>
  </w:num>
  <w:num w:numId="20" w16cid:durableId="4594083">
    <w:abstractNumId w:val="8"/>
  </w:num>
  <w:num w:numId="21" w16cid:durableId="961616114">
    <w:abstractNumId w:val="3"/>
  </w:num>
  <w:num w:numId="22" w16cid:durableId="760225057">
    <w:abstractNumId w:val="2"/>
  </w:num>
  <w:num w:numId="23" w16cid:durableId="1531915683">
    <w:abstractNumId w:val="1"/>
  </w:num>
  <w:num w:numId="24" w16cid:durableId="28890010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7B5C53"/>
    <w:rsid w:val="0000005F"/>
    <w:rsid w:val="000004EA"/>
    <w:rsid w:val="00001123"/>
    <w:rsid w:val="000011C0"/>
    <w:rsid w:val="00002316"/>
    <w:rsid w:val="0000260C"/>
    <w:rsid w:val="00005747"/>
    <w:rsid w:val="0000704F"/>
    <w:rsid w:val="00011DBB"/>
    <w:rsid w:val="00013EA8"/>
    <w:rsid w:val="0001552D"/>
    <w:rsid w:val="00017AE6"/>
    <w:rsid w:val="000203EF"/>
    <w:rsid w:val="00021DF3"/>
    <w:rsid w:val="000230FB"/>
    <w:rsid w:val="00023AD0"/>
    <w:rsid w:val="00024BA4"/>
    <w:rsid w:val="000253AC"/>
    <w:rsid w:val="00025618"/>
    <w:rsid w:val="00027ADC"/>
    <w:rsid w:val="00030536"/>
    <w:rsid w:val="00030E05"/>
    <w:rsid w:val="00032065"/>
    <w:rsid w:val="000332DA"/>
    <w:rsid w:val="00034689"/>
    <w:rsid w:val="000356D5"/>
    <w:rsid w:val="00035C6C"/>
    <w:rsid w:val="00035D8D"/>
    <w:rsid w:val="00037089"/>
    <w:rsid w:val="000402AE"/>
    <w:rsid w:val="00040622"/>
    <w:rsid w:val="00040D69"/>
    <w:rsid w:val="000416E6"/>
    <w:rsid w:val="000422A1"/>
    <w:rsid w:val="00042AFE"/>
    <w:rsid w:val="000445ED"/>
    <w:rsid w:val="0004570F"/>
    <w:rsid w:val="0005261C"/>
    <w:rsid w:val="00053139"/>
    <w:rsid w:val="00053878"/>
    <w:rsid w:val="00053E4E"/>
    <w:rsid w:val="0005463A"/>
    <w:rsid w:val="000546EB"/>
    <w:rsid w:val="00054996"/>
    <w:rsid w:val="00055B64"/>
    <w:rsid w:val="000563FD"/>
    <w:rsid w:val="00056932"/>
    <w:rsid w:val="000575BB"/>
    <w:rsid w:val="00060483"/>
    <w:rsid w:val="00060E47"/>
    <w:rsid w:val="00062060"/>
    <w:rsid w:val="000622DA"/>
    <w:rsid w:val="00062553"/>
    <w:rsid w:val="000635BE"/>
    <w:rsid w:val="000643FA"/>
    <w:rsid w:val="00065215"/>
    <w:rsid w:val="00067384"/>
    <w:rsid w:val="000703DD"/>
    <w:rsid w:val="00070431"/>
    <w:rsid w:val="000710CA"/>
    <w:rsid w:val="00073324"/>
    <w:rsid w:val="000739D5"/>
    <w:rsid w:val="00074415"/>
    <w:rsid w:val="00074444"/>
    <w:rsid w:val="00074B5B"/>
    <w:rsid w:val="0007571E"/>
    <w:rsid w:val="00076298"/>
    <w:rsid w:val="0007651F"/>
    <w:rsid w:val="0007663C"/>
    <w:rsid w:val="000777C7"/>
    <w:rsid w:val="00077D63"/>
    <w:rsid w:val="000814FD"/>
    <w:rsid w:val="00081542"/>
    <w:rsid w:val="00081CA0"/>
    <w:rsid w:val="00081F8F"/>
    <w:rsid w:val="00082981"/>
    <w:rsid w:val="00082FB4"/>
    <w:rsid w:val="000834F4"/>
    <w:rsid w:val="0008399A"/>
    <w:rsid w:val="00083BE4"/>
    <w:rsid w:val="000847F1"/>
    <w:rsid w:val="00085976"/>
    <w:rsid w:val="0008597F"/>
    <w:rsid w:val="00086345"/>
    <w:rsid w:val="00087493"/>
    <w:rsid w:val="000879E1"/>
    <w:rsid w:val="0009006F"/>
    <w:rsid w:val="00090721"/>
    <w:rsid w:val="000908F2"/>
    <w:rsid w:val="000916F6"/>
    <w:rsid w:val="00093C01"/>
    <w:rsid w:val="00094256"/>
    <w:rsid w:val="00094D02"/>
    <w:rsid w:val="0009572D"/>
    <w:rsid w:val="00097420"/>
    <w:rsid w:val="00097ADC"/>
    <w:rsid w:val="000A0E97"/>
    <w:rsid w:val="000A159B"/>
    <w:rsid w:val="000A29D4"/>
    <w:rsid w:val="000A29FC"/>
    <w:rsid w:val="000A43B9"/>
    <w:rsid w:val="000A4760"/>
    <w:rsid w:val="000A57C2"/>
    <w:rsid w:val="000A7656"/>
    <w:rsid w:val="000A797C"/>
    <w:rsid w:val="000B0969"/>
    <w:rsid w:val="000B1069"/>
    <w:rsid w:val="000B114E"/>
    <w:rsid w:val="000B1357"/>
    <w:rsid w:val="000B1B2D"/>
    <w:rsid w:val="000B2EB0"/>
    <w:rsid w:val="000B38A8"/>
    <w:rsid w:val="000B67B5"/>
    <w:rsid w:val="000B683C"/>
    <w:rsid w:val="000B7B20"/>
    <w:rsid w:val="000B7E18"/>
    <w:rsid w:val="000B7F81"/>
    <w:rsid w:val="000C0CA7"/>
    <w:rsid w:val="000C1C7C"/>
    <w:rsid w:val="000C25CF"/>
    <w:rsid w:val="000C3629"/>
    <w:rsid w:val="000C4290"/>
    <w:rsid w:val="000C4E3D"/>
    <w:rsid w:val="000C54AB"/>
    <w:rsid w:val="000C5A03"/>
    <w:rsid w:val="000C6204"/>
    <w:rsid w:val="000C6A23"/>
    <w:rsid w:val="000C6C1C"/>
    <w:rsid w:val="000C6F28"/>
    <w:rsid w:val="000C7158"/>
    <w:rsid w:val="000D042E"/>
    <w:rsid w:val="000D0881"/>
    <w:rsid w:val="000D0EAB"/>
    <w:rsid w:val="000D0EF6"/>
    <w:rsid w:val="000D1923"/>
    <w:rsid w:val="000D31AF"/>
    <w:rsid w:val="000D4FD2"/>
    <w:rsid w:val="000D61C3"/>
    <w:rsid w:val="000D78F4"/>
    <w:rsid w:val="000E105B"/>
    <w:rsid w:val="000E149B"/>
    <w:rsid w:val="000E1ED2"/>
    <w:rsid w:val="000E3F5F"/>
    <w:rsid w:val="000E5513"/>
    <w:rsid w:val="000E73F5"/>
    <w:rsid w:val="000F0AE3"/>
    <w:rsid w:val="000F0D12"/>
    <w:rsid w:val="000F0E83"/>
    <w:rsid w:val="000F36B7"/>
    <w:rsid w:val="000F3920"/>
    <w:rsid w:val="000F431F"/>
    <w:rsid w:val="000F7B0C"/>
    <w:rsid w:val="001009FB"/>
    <w:rsid w:val="001011BA"/>
    <w:rsid w:val="00103F65"/>
    <w:rsid w:val="001049D3"/>
    <w:rsid w:val="001051B9"/>
    <w:rsid w:val="00105DE3"/>
    <w:rsid w:val="001072AE"/>
    <w:rsid w:val="00107459"/>
    <w:rsid w:val="00110CE3"/>
    <w:rsid w:val="0011175D"/>
    <w:rsid w:val="00112BFB"/>
    <w:rsid w:val="0011309F"/>
    <w:rsid w:val="00113205"/>
    <w:rsid w:val="00113BC7"/>
    <w:rsid w:val="00116976"/>
    <w:rsid w:val="00117B5F"/>
    <w:rsid w:val="001206E8"/>
    <w:rsid w:val="00123ACE"/>
    <w:rsid w:val="0012472A"/>
    <w:rsid w:val="001251A5"/>
    <w:rsid w:val="00125D9F"/>
    <w:rsid w:val="001266B8"/>
    <w:rsid w:val="00126E01"/>
    <w:rsid w:val="00127079"/>
    <w:rsid w:val="00127827"/>
    <w:rsid w:val="00127923"/>
    <w:rsid w:val="001279B3"/>
    <w:rsid w:val="0013221B"/>
    <w:rsid w:val="00134D6F"/>
    <w:rsid w:val="001352A1"/>
    <w:rsid w:val="001370F4"/>
    <w:rsid w:val="0013717B"/>
    <w:rsid w:val="00137CF4"/>
    <w:rsid w:val="0014208A"/>
    <w:rsid w:val="001437FE"/>
    <w:rsid w:val="0014440B"/>
    <w:rsid w:val="001444AA"/>
    <w:rsid w:val="001472CA"/>
    <w:rsid w:val="00150172"/>
    <w:rsid w:val="00150A5E"/>
    <w:rsid w:val="00150E52"/>
    <w:rsid w:val="001530E1"/>
    <w:rsid w:val="00153A26"/>
    <w:rsid w:val="00154131"/>
    <w:rsid w:val="00154AB2"/>
    <w:rsid w:val="001563AB"/>
    <w:rsid w:val="001578C4"/>
    <w:rsid w:val="00160928"/>
    <w:rsid w:val="00160B59"/>
    <w:rsid w:val="00160C4D"/>
    <w:rsid w:val="00160D5F"/>
    <w:rsid w:val="00162A58"/>
    <w:rsid w:val="00162F5B"/>
    <w:rsid w:val="00163A23"/>
    <w:rsid w:val="0016404D"/>
    <w:rsid w:val="0016472B"/>
    <w:rsid w:val="00165349"/>
    <w:rsid w:val="00165FAA"/>
    <w:rsid w:val="001671E5"/>
    <w:rsid w:val="00170A4E"/>
    <w:rsid w:val="00172892"/>
    <w:rsid w:val="00172CFE"/>
    <w:rsid w:val="00175454"/>
    <w:rsid w:val="00180795"/>
    <w:rsid w:val="00183F25"/>
    <w:rsid w:val="00185808"/>
    <w:rsid w:val="00186739"/>
    <w:rsid w:val="00186FB5"/>
    <w:rsid w:val="0018727A"/>
    <w:rsid w:val="00187A51"/>
    <w:rsid w:val="00190CB2"/>
    <w:rsid w:val="0019115B"/>
    <w:rsid w:val="00192BF8"/>
    <w:rsid w:val="001950AB"/>
    <w:rsid w:val="0019516F"/>
    <w:rsid w:val="0019518C"/>
    <w:rsid w:val="00195906"/>
    <w:rsid w:val="00195EAC"/>
    <w:rsid w:val="00196B37"/>
    <w:rsid w:val="001970E6"/>
    <w:rsid w:val="001A036D"/>
    <w:rsid w:val="001A048F"/>
    <w:rsid w:val="001A17A6"/>
    <w:rsid w:val="001A1DBD"/>
    <w:rsid w:val="001A1F86"/>
    <w:rsid w:val="001A2BD0"/>
    <w:rsid w:val="001A312D"/>
    <w:rsid w:val="001A5A92"/>
    <w:rsid w:val="001A5C5C"/>
    <w:rsid w:val="001A6980"/>
    <w:rsid w:val="001A7712"/>
    <w:rsid w:val="001B3722"/>
    <w:rsid w:val="001B4495"/>
    <w:rsid w:val="001B467D"/>
    <w:rsid w:val="001B5007"/>
    <w:rsid w:val="001B7144"/>
    <w:rsid w:val="001B7231"/>
    <w:rsid w:val="001B7232"/>
    <w:rsid w:val="001B7363"/>
    <w:rsid w:val="001C1DEB"/>
    <w:rsid w:val="001C2209"/>
    <w:rsid w:val="001C29BA"/>
    <w:rsid w:val="001C3B4C"/>
    <w:rsid w:val="001C4CEE"/>
    <w:rsid w:val="001C4F53"/>
    <w:rsid w:val="001C5235"/>
    <w:rsid w:val="001C5E21"/>
    <w:rsid w:val="001C7839"/>
    <w:rsid w:val="001C7B3F"/>
    <w:rsid w:val="001D091E"/>
    <w:rsid w:val="001D33D6"/>
    <w:rsid w:val="001D49C1"/>
    <w:rsid w:val="001D7764"/>
    <w:rsid w:val="001E08F2"/>
    <w:rsid w:val="001E2ACF"/>
    <w:rsid w:val="001E3EB5"/>
    <w:rsid w:val="001E430E"/>
    <w:rsid w:val="001E4525"/>
    <w:rsid w:val="001E48CB"/>
    <w:rsid w:val="001E6E62"/>
    <w:rsid w:val="001E6FD3"/>
    <w:rsid w:val="001E7CD6"/>
    <w:rsid w:val="001F00FF"/>
    <w:rsid w:val="001F08E1"/>
    <w:rsid w:val="001F0EE1"/>
    <w:rsid w:val="001F0F3C"/>
    <w:rsid w:val="001F2821"/>
    <w:rsid w:val="001F495D"/>
    <w:rsid w:val="001F5DEF"/>
    <w:rsid w:val="001F60BF"/>
    <w:rsid w:val="001F7219"/>
    <w:rsid w:val="00201244"/>
    <w:rsid w:val="00202198"/>
    <w:rsid w:val="00204C06"/>
    <w:rsid w:val="00205B34"/>
    <w:rsid w:val="002064B4"/>
    <w:rsid w:val="00206A05"/>
    <w:rsid w:val="0020736B"/>
    <w:rsid w:val="00210370"/>
    <w:rsid w:val="00211155"/>
    <w:rsid w:val="00211253"/>
    <w:rsid w:val="002119F4"/>
    <w:rsid w:val="00211AD6"/>
    <w:rsid w:val="00211B70"/>
    <w:rsid w:val="0021231E"/>
    <w:rsid w:val="0021449B"/>
    <w:rsid w:val="002176DA"/>
    <w:rsid w:val="002215BA"/>
    <w:rsid w:val="002224E4"/>
    <w:rsid w:val="002268CD"/>
    <w:rsid w:val="00233C45"/>
    <w:rsid w:val="0023738F"/>
    <w:rsid w:val="00237F04"/>
    <w:rsid w:val="00242462"/>
    <w:rsid w:val="00242479"/>
    <w:rsid w:val="00242DEB"/>
    <w:rsid w:val="00243CB6"/>
    <w:rsid w:val="00244451"/>
    <w:rsid w:val="002448AF"/>
    <w:rsid w:val="00245052"/>
    <w:rsid w:val="0024521A"/>
    <w:rsid w:val="002476F5"/>
    <w:rsid w:val="00247BE3"/>
    <w:rsid w:val="00250208"/>
    <w:rsid w:val="002525C3"/>
    <w:rsid w:val="002550B7"/>
    <w:rsid w:val="00256045"/>
    <w:rsid w:val="00256BC5"/>
    <w:rsid w:val="0025768E"/>
    <w:rsid w:val="00257D9A"/>
    <w:rsid w:val="002614A3"/>
    <w:rsid w:val="00262A0F"/>
    <w:rsid w:val="00264899"/>
    <w:rsid w:val="00265984"/>
    <w:rsid w:val="002661BF"/>
    <w:rsid w:val="0026672C"/>
    <w:rsid w:val="00267200"/>
    <w:rsid w:val="00270341"/>
    <w:rsid w:val="002709D2"/>
    <w:rsid w:val="00270A00"/>
    <w:rsid w:val="002721A3"/>
    <w:rsid w:val="002724F9"/>
    <w:rsid w:val="00273730"/>
    <w:rsid w:val="002739CE"/>
    <w:rsid w:val="0027575B"/>
    <w:rsid w:val="0027617F"/>
    <w:rsid w:val="00277F45"/>
    <w:rsid w:val="00281716"/>
    <w:rsid w:val="002817F6"/>
    <w:rsid w:val="00285A56"/>
    <w:rsid w:val="00285DC3"/>
    <w:rsid w:val="00286006"/>
    <w:rsid w:val="002874B1"/>
    <w:rsid w:val="00290F6F"/>
    <w:rsid w:val="0029189F"/>
    <w:rsid w:val="002923EC"/>
    <w:rsid w:val="00292868"/>
    <w:rsid w:val="0029336F"/>
    <w:rsid w:val="00294DC1"/>
    <w:rsid w:val="00296383"/>
    <w:rsid w:val="00296557"/>
    <w:rsid w:val="002966E9"/>
    <w:rsid w:val="0029761E"/>
    <w:rsid w:val="00297A1C"/>
    <w:rsid w:val="00297F84"/>
    <w:rsid w:val="00297FD8"/>
    <w:rsid w:val="002A27BA"/>
    <w:rsid w:val="002A2872"/>
    <w:rsid w:val="002A3D21"/>
    <w:rsid w:val="002A552C"/>
    <w:rsid w:val="002A6A16"/>
    <w:rsid w:val="002A7F23"/>
    <w:rsid w:val="002B1E4F"/>
    <w:rsid w:val="002B3094"/>
    <w:rsid w:val="002B3690"/>
    <w:rsid w:val="002B3E6C"/>
    <w:rsid w:val="002B4C64"/>
    <w:rsid w:val="002B6106"/>
    <w:rsid w:val="002B6411"/>
    <w:rsid w:val="002C1503"/>
    <w:rsid w:val="002C193D"/>
    <w:rsid w:val="002C1F24"/>
    <w:rsid w:val="002C2097"/>
    <w:rsid w:val="002C3251"/>
    <w:rsid w:val="002C3DEB"/>
    <w:rsid w:val="002C596C"/>
    <w:rsid w:val="002C59C4"/>
    <w:rsid w:val="002C65E7"/>
    <w:rsid w:val="002C68B6"/>
    <w:rsid w:val="002D0D58"/>
    <w:rsid w:val="002D0F9F"/>
    <w:rsid w:val="002D1B20"/>
    <w:rsid w:val="002D3096"/>
    <w:rsid w:val="002D3A86"/>
    <w:rsid w:val="002D3D8C"/>
    <w:rsid w:val="002D4A3A"/>
    <w:rsid w:val="002D50AF"/>
    <w:rsid w:val="002D574D"/>
    <w:rsid w:val="002D5818"/>
    <w:rsid w:val="002D789E"/>
    <w:rsid w:val="002E0D83"/>
    <w:rsid w:val="002E10D6"/>
    <w:rsid w:val="002E1E6F"/>
    <w:rsid w:val="002E2AD8"/>
    <w:rsid w:val="002E2DC5"/>
    <w:rsid w:val="002E33DD"/>
    <w:rsid w:val="002E43AF"/>
    <w:rsid w:val="002E603A"/>
    <w:rsid w:val="002E638A"/>
    <w:rsid w:val="002E7B71"/>
    <w:rsid w:val="002F0671"/>
    <w:rsid w:val="002F142A"/>
    <w:rsid w:val="002F2290"/>
    <w:rsid w:val="002F27A1"/>
    <w:rsid w:val="002F2E9F"/>
    <w:rsid w:val="002F2FEB"/>
    <w:rsid w:val="002F32A0"/>
    <w:rsid w:val="002F3A5E"/>
    <w:rsid w:val="002F40F3"/>
    <w:rsid w:val="002F4133"/>
    <w:rsid w:val="002F42E2"/>
    <w:rsid w:val="002F6E7F"/>
    <w:rsid w:val="002F7E90"/>
    <w:rsid w:val="003012B4"/>
    <w:rsid w:val="003024D1"/>
    <w:rsid w:val="0030400E"/>
    <w:rsid w:val="00304565"/>
    <w:rsid w:val="00304A1B"/>
    <w:rsid w:val="00305105"/>
    <w:rsid w:val="0030724C"/>
    <w:rsid w:val="00307F07"/>
    <w:rsid w:val="003102C4"/>
    <w:rsid w:val="00310B95"/>
    <w:rsid w:val="00310FAD"/>
    <w:rsid w:val="00311937"/>
    <w:rsid w:val="00311C1A"/>
    <w:rsid w:val="00314179"/>
    <w:rsid w:val="003156F5"/>
    <w:rsid w:val="00317F51"/>
    <w:rsid w:val="00323DE5"/>
    <w:rsid w:val="0032417D"/>
    <w:rsid w:val="00324651"/>
    <w:rsid w:val="003259BD"/>
    <w:rsid w:val="00326CB6"/>
    <w:rsid w:val="003276A1"/>
    <w:rsid w:val="003303B0"/>
    <w:rsid w:val="00332826"/>
    <w:rsid w:val="003343CB"/>
    <w:rsid w:val="003353DC"/>
    <w:rsid w:val="003362D1"/>
    <w:rsid w:val="00337AC7"/>
    <w:rsid w:val="003421CD"/>
    <w:rsid w:val="0034295A"/>
    <w:rsid w:val="00343845"/>
    <w:rsid w:val="00343A16"/>
    <w:rsid w:val="00344092"/>
    <w:rsid w:val="00344353"/>
    <w:rsid w:val="003451F5"/>
    <w:rsid w:val="00346409"/>
    <w:rsid w:val="003470D3"/>
    <w:rsid w:val="003477CC"/>
    <w:rsid w:val="003478ED"/>
    <w:rsid w:val="003506C0"/>
    <w:rsid w:val="003509F7"/>
    <w:rsid w:val="00351619"/>
    <w:rsid w:val="003519AD"/>
    <w:rsid w:val="00354E7B"/>
    <w:rsid w:val="00356005"/>
    <w:rsid w:val="00356021"/>
    <w:rsid w:val="00356608"/>
    <w:rsid w:val="003566BA"/>
    <w:rsid w:val="00357F89"/>
    <w:rsid w:val="00360498"/>
    <w:rsid w:val="003606AB"/>
    <w:rsid w:val="00360947"/>
    <w:rsid w:val="00362DBB"/>
    <w:rsid w:val="00364A28"/>
    <w:rsid w:val="00365B7F"/>
    <w:rsid w:val="0037068D"/>
    <w:rsid w:val="0037076C"/>
    <w:rsid w:val="003714AA"/>
    <w:rsid w:val="003716B7"/>
    <w:rsid w:val="00372CF5"/>
    <w:rsid w:val="003746BC"/>
    <w:rsid w:val="00374F03"/>
    <w:rsid w:val="00374F1F"/>
    <w:rsid w:val="0037623F"/>
    <w:rsid w:val="00376330"/>
    <w:rsid w:val="0037678F"/>
    <w:rsid w:val="00377927"/>
    <w:rsid w:val="003800B3"/>
    <w:rsid w:val="0038049D"/>
    <w:rsid w:val="00380C29"/>
    <w:rsid w:val="00381BFA"/>
    <w:rsid w:val="00381D29"/>
    <w:rsid w:val="003827BD"/>
    <w:rsid w:val="00382CC4"/>
    <w:rsid w:val="00382E3D"/>
    <w:rsid w:val="003851AA"/>
    <w:rsid w:val="0038613C"/>
    <w:rsid w:val="00387044"/>
    <w:rsid w:val="00390D6A"/>
    <w:rsid w:val="00391243"/>
    <w:rsid w:val="0039169F"/>
    <w:rsid w:val="0039310D"/>
    <w:rsid w:val="003950E4"/>
    <w:rsid w:val="00396AC4"/>
    <w:rsid w:val="00397ECF"/>
    <w:rsid w:val="003A0B66"/>
    <w:rsid w:val="003A0ED6"/>
    <w:rsid w:val="003A1A64"/>
    <w:rsid w:val="003A37F2"/>
    <w:rsid w:val="003A3AC2"/>
    <w:rsid w:val="003A57C9"/>
    <w:rsid w:val="003A7E58"/>
    <w:rsid w:val="003B172B"/>
    <w:rsid w:val="003B3670"/>
    <w:rsid w:val="003B5C8A"/>
    <w:rsid w:val="003C1580"/>
    <w:rsid w:val="003C1CA4"/>
    <w:rsid w:val="003C2833"/>
    <w:rsid w:val="003C3492"/>
    <w:rsid w:val="003C3BB5"/>
    <w:rsid w:val="003C70D4"/>
    <w:rsid w:val="003D1D37"/>
    <w:rsid w:val="003D2F51"/>
    <w:rsid w:val="003D5021"/>
    <w:rsid w:val="003D751B"/>
    <w:rsid w:val="003E1534"/>
    <w:rsid w:val="003E1D25"/>
    <w:rsid w:val="003E2F03"/>
    <w:rsid w:val="003E3C1E"/>
    <w:rsid w:val="003E4583"/>
    <w:rsid w:val="003E632B"/>
    <w:rsid w:val="003E6476"/>
    <w:rsid w:val="003F0645"/>
    <w:rsid w:val="003F3155"/>
    <w:rsid w:val="003F42F4"/>
    <w:rsid w:val="003F4C71"/>
    <w:rsid w:val="003F50ED"/>
    <w:rsid w:val="003F6574"/>
    <w:rsid w:val="003F6A8C"/>
    <w:rsid w:val="003F6A95"/>
    <w:rsid w:val="004015B7"/>
    <w:rsid w:val="004019EE"/>
    <w:rsid w:val="004024DD"/>
    <w:rsid w:val="004031B6"/>
    <w:rsid w:val="00405EF7"/>
    <w:rsid w:val="004067F9"/>
    <w:rsid w:val="00407786"/>
    <w:rsid w:val="00410AC2"/>
    <w:rsid w:val="0041190A"/>
    <w:rsid w:val="0041410A"/>
    <w:rsid w:val="00414ADC"/>
    <w:rsid w:val="00414D61"/>
    <w:rsid w:val="004169E8"/>
    <w:rsid w:val="0042035C"/>
    <w:rsid w:val="0042048B"/>
    <w:rsid w:val="00422EAE"/>
    <w:rsid w:val="004233DE"/>
    <w:rsid w:val="00424BD2"/>
    <w:rsid w:val="00427301"/>
    <w:rsid w:val="00427B82"/>
    <w:rsid w:val="00430716"/>
    <w:rsid w:val="00430D04"/>
    <w:rsid w:val="004316B4"/>
    <w:rsid w:val="00431BB1"/>
    <w:rsid w:val="004335CA"/>
    <w:rsid w:val="00433774"/>
    <w:rsid w:val="00433F61"/>
    <w:rsid w:val="004341C4"/>
    <w:rsid w:val="004344DF"/>
    <w:rsid w:val="00434701"/>
    <w:rsid w:val="00434CC9"/>
    <w:rsid w:val="00437167"/>
    <w:rsid w:val="00437241"/>
    <w:rsid w:val="00437786"/>
    <w:rsid w:val="00437FAA"/>
    <w:rsid w:val="00440B82"/>
    <w:rsid w:val="00441E10"/>
    <w:rsid w:val="004423EC"/>
    <w:rsid w:val="004447D4"/>
    <w:rsid w:val="00446093"/>
    <w:rsid w:val="00447458"/>
    <w:rsid w:val="004479B6"/>
    <w:rsid w:val="00447E2C"/>
    <w:rsid w:val="004501FA"/>
    <w:rsid w:val="00450C4C"/>
    <w:rsid w:val="00451534"/>
    <w:rsid w:val="004516E8"/>
    <w:rsid w:val="00453A90"/>
    <w:rsid w:val="004545F9"/>
    <w:rsid w:val="00456244"/>
    <w:rsid w:val="00457DE1"/>
    <w:rsid w:val="00462D33"/>
    <w:rsid w:val="00462E83"/>
    <w:rsid w:val="0046391C"/>
    <w:rsid w:val="004650F2"/>
    <w:rsid w:val="0046645C"/>
    <w:rsid w:val="0046669B"/>
    <w:rsid w:val="00466CA5"/>
    <w:rsid w:val="0047039A"/>
    <w:rsid w:val="0047234E"/>
    <w:rsid w:val="004723F3"/>
    <w:rsid w:val="0047258F"/>
    <w:rsid w:val="00472784"/>
    <w:rsid w:val="00473900"/>
    <w:rsid w:val="004743D1"/>
    <w:rsid w:val="004835A2"/>
    <w:rsid w:val="00483847"/>
    <w:rsid w:val="00483984"/>
    <w:rsid w:val="00484069"/>
    <w:rsid w:val="00484EB7"/>
    <w:rsid w:val="004854DE"/>
    <w:rsid w:val="0048563A"/>
    <w:rsid w:val="00485C90"/>
    <w:rsid w:val="00486846"/>
    <w:rsid w:val="00486B39"/>
    <w:rsid w:val="00486BDF"/>
    <w:rsid w:val="00491118"/>
    <w:rsid w:val="004925B9"/>
    <w:rsid w:val="004927DB"/>
    <w:rsid w:val="004927F3"/>
    <w:rsid w:val="004969F8"/>
    <w:rsid w:val="0049773D"/>
    <w:rsid w:val="004A2B13"/>
    <w:rsid w:val="004A4278"/>
    <w:rsid w:val="004A5885"/>
    <w:rsid w:val="004A58BE"/>
    <w:rsid w:val="004A59AD"/>
    <w:rsid w:val="004A5FDD"/>
    <w:rsid w:val="004A6498"/>
    <w:rsid w:val="004A7714"/>
    <w:rsid w:val="004B02F3"/>
    <w:rsid w:val="004B116A"/>
    <w:rsid w:val="004B156D"/>
    <w:rsid w:val="004B245D"/>
    <w:rsid w:val="004B4162"/>
    <w:rsid w:val="004B439B"/>
    <w:rsid w:val="004B4D8D"/>
    <w:rsid w:val="004B548E"/>
    <w:rsid w:val="004B5DB4"/>
    <w:rsid w:val="004B7507"/>
    <w:rsid w:val="004B782C"/>
    <w:rsid w:val="004C0879"/>
    <w:rsid w:val="004C38A7"/>
    <w:rsid w:val="004C3F27"/>
    <w:rsid w:val="004C40C8"/>
    <w:rsid w:val="004C438D"/>
    <w:rsid w:val="004C63C8"/>
    <w:rsid w:val="004C6814"/>
    <w:rsid w:val="004D22BB"/>
    <w:rsid w:val="004D2399"/>
    <w:rsid w:val="004D474D"/>
    <w:rsid w:val="004D4905"/>
    <w:rsid w:val="004D4988"/>
    <w:rsid w:val="004D62C2"/>
    <w:rsid w:val="004D7169"/>
    <w:rsid w:val="004E2C27"/>
    <w:rsid w:val="004E3839"/>
    <w:rsid w:val="004E3C67"/>
    <w:rsid w:val="004E4C98"/>
    <w:rsid w:val="004E585D"/>
    <w:rsid w:val="004F17E8"/>
    <w:rsid w:val="004F2638"/>
    <w:rsid w:val="004F27B9"/>
    <w:rsid w:val="004F3F41"/>
    <w:rsid w:val="004F3FD9"/>
    <w:rsid w:val="004F5A5A"/>
    <w:rsid w:val="004F60DD"/>
    <w:rsid w:val="00502360"/>
    <w:rsid w:val="0050628C"/>
    <w:rsid w:val="00506A1B"/>
    <w:rsid w:val="0051144C"/>
    <w:rsid w:val="00513325"/>
    <w:rsid w:val="00513FCE"/>
    <w:rsid w:val="0051499B"/>
    <w:rsid w:val="005151D9"/>
    <w:rsid w:val="00516AEB"/>
    <w:rsid w:val="00517449"/>
    <w:rsid w:val="005178C3"/>
    <w:rsid w:val="00521D02"/>
    <w:rsid w:val="0052220C"/>
    <w:rsid w:val="00522A1B"/>
    <w:rsid w:val="00522AFD"/>
    <w:rsid w:val="00522D74"/>
    <w:rsid w:val="00523C65"/>
    <w:rsid w:val="0052483C"/>
    <w:rsid w:val="00524CAB"/>
    <w:rsid w:val="00525278"/>
    <w:rsid w:val="005265FA"/>
    <w:rsid w:val="00532259"/>
    <w:rsid w:val="005325E8"/>
    <w:rsid w:val="005326BF"/>
    <w:rsid w:val="0053289F"/>
    <w:rsid w:val="00533FC0"/>
    <w:rsid w:val="005363E8"/>
    <w:rsid w:val="00537A38"/>
    <w:rsid w:val="00543264"/>
    <w:rsid w:val="00543947"/>
    <w:rsid w:val="00543AA9"/>
    <w:rsid w:val="0054425E"/>
    <w:rsid w:val="00545D7E"/>
    <w:rsid w:val="005461AB"/>
    <w:rsid w:val="00546879"/>
    <w:rsid w:val="005476BD"/>
    <w:rsid w:val="005479A7"/>
    <w:rsid w:val="00547C95"/>
    <w:rsid w:val="00551E91"/>
    <w:rsid w:val="00553A20"/>
    <w:rsid w:val="005543C0"/>
    <w:rsid w:val="00556EDF"/>
    <w:rsid w:val="00557806"/>
    <w:rsid w:val="005601DF"/>
    <w:rsid w:val="005615C7"/>
    <w:rsid w:val="00562E1C"/>
    <w:rsid w:val="00562EDC"/>
    <w:rsid w:val="005631E0"/>
    <w:rsid w:val="005642C7"/>
    <w:rsid w:val="00565F25"/>
    <w:rsid w:val="00566095"/>
    <w:rsid w:val="00566A71"/>
    <w:rsid w:val="005701A5"/>
    <w:rsid w:val="00570D56"/>
    <w:rsid w:val="005726D6"/>
    <w:rsid w:val="00572747"/>
    <w:rsid w:val="00573A71"/>
    <w:rsid w:val="00573E2D"/>
    <w:rsid w:val="005757E7"/>
    <w:rsid w:val="00577693"/>
    <w:rsid w:val="00580067"/>
    <w:rsid w:val="005819D8"/>
    <w:rsid w:val="00581D17"/>
    <w:rsid w:val="005840B1"/>
    <w:rsid w:val="00584287"/>
    <w:rsid w:val="00584B68"/>
    <w:rsid w:val="0058570F"/>
    <w:rsid w:val="0058653A"/>
    <w:rsid w:val="00586D98"/>
    <w:rsid w:val="0058776C"/>
    <w:rsid w:val="00587DBC"/>
    <w:rsid w:val="00590008"/>
    <w:rsid w:val="005911A5"/>
    <w:rsid w:val="00593948"/>
    <w:rsid w:val="00595D73"/>
    <w:rsid w:val="005964B8"/>
    <w:rsid w:val="005A1595"/>
    <w:rsid w:val="005A1748"/>
    <w:rsid w:val="005A43A4"/>
    <w:rsid w:val="005A6C0A"/>
    <w:rsid w:val="005A6F5F"/>
    <w:rsid w:val="005A752A"/>
    <w:rsid w:val="005B009C"/>
    <w:rsid w:val="005B0E8F"/>
    <w:rsid w:val="005B10C1"/>
    <w:rsid w:val="005B11FF"/>
    <w:rsid w:val="005B2F30"/>
    <w:rsid w:val="005B3010"/>
    <w:rsid w:val="005B304F"/>
    <w:rsid w:val="005B332C"/>
    <w:rsid w:val="005B3C22"/>
    <w:rsid w:val="005B4977"/>
    <w:rsid w:val="005B50FB"/>
    <w:rsid w:val="005C0F6E"/>
    <w:rsid w:val="005C2159"/>
    <w:rsid w:val="005C2E0E"/>
    <w:rsid w:val="005C3354"/>
    <w:rsid w:val="005C3E0A"/>
    <w:rsid w:val="005C5246"/>
    <w:rsid w:val="005C6EDB"/>
    <w:rsid w:val="005C75DA"/>
    <w:rsid w:val="005C7CA5"/>
    <w:rsid w:val="005D133B"/>
    <w:rsid w:val="005D23CB"/>
    <w:rsid w:val="005D2579"/>
    <w:rsid w:val="005D2752"/>
    <w:rsid w:val="005D57AF"/>
    <w:rsid w:val="005D6ADA"/>
    <w:rsid w:val="005E0D02"/>
    <w:rsid w:val="005E0F9F"/>
    <w:rsid w:val="005E1229"/>
    <w:rsid w:val="005E2D80"/>
    <w:rsid w:val="005E4F85"/>
    <w:rsid w:val="005E7702"/>
    <w:rsid w:val="005E792C"/>
    <w:rsid w:val="005F012F"/>
    <w:rsid w:val="005F0777"/>
    <w:rsid w:val="005F087D"/>
    <w:rsid w:val="005F16D1"/>
    <w:rsid w:val="005F2EA4"/>
    <w:rsid w:val="005F38B9"/>
    <w:rsid w:val="005F38E7"/>
    <w:rsid w:val="005F5B2C"/>
    <w:rsid w:val="005F6D32"/>
    <w:rsid w:val="00600E08"/>
    <w:rsid w:val="00601203"/>
    <w:rsid w:val="006016BA"/>
    <w:rsid w:val="00601F28"/>
    <w:rsid w:val="00602466"/>
    <w:rsid w:val="0060305C"/>
    <w:rsid w:val="006057A4"/>
    <w:rsid w:val="006061E0"/>
    <w:rsid w:val="0060698C"/>
    <w:rsid w:val="006071A8"/>
    <w:rsid w:val="00610206"/>
    <w:rsid w:val="0061147F"/>
    <w:rsid w:val="006127FA"/>
    <w:rsid w:val="00614554"/>
    <w:rsid w:val="006149FC"/>
    <w:rsid w:val="00614FC4"/>
    <w:rsid w:val="00617255"/>
    <w:rsid w:val="00621669"/>
    <w:rsid w:val="00622CDB"/>
    <w:rsid w:val="006234BB"/>
    <w:rsid w:val="00623AAE"/>
    <w:rsid w:val="0062488A"/>
    <w:rsid w:val="006256F1"/>
    <w:rsid w:val="00626835"/>
    <w:rsid w:val="00626A43"/>
    <w:rsid w:val="00631F58"/>
    <w:rsid w:val="0063324E"/>
    <w:rsid w:val="00634CDB"/>
    <w:rsid w:val="00636EB9"/>
    <w:rsid w:val="00640D32"/>
    <w:rsid w:val="006426AE"/>
    <w:rsid w:val="0064332F"/>
    <w:rsid w:val="00644420"/>
    <w:rsid w:val="0064452D"/>
    <w:rsid w:val="00645682"/>
    <w:rsid w:val="00646A27"/>
    <w:rsid w:val="006470D8"/>
    <w:rsid w:val="00647713"/>
    <w:rsid w:val="00651CD4"/>
    <w:rsid w:val="00652172"/>
    <w:rsid w:val="006539CF"/>
    <w:rsid w:val="00653D2B"/>
    <w:rsid w:val="00653FBE"/>
    <w:rsid w:val="00654507"/>
    <w:rsid w:val="00654B16"/>
    <w:rsid w:val="00655B91"/>
    <w:rsid w:val="00656274"/>
    <w:rsid w:val="006568AA"/>
    <w:rsid w:val="006568BB"/>
    <w:rsid w:val="00661646"/>
    <w:rsid w:val="00661812"/>
    <w:rsid w:val="00661A2D"/>
    <w:rsid w:val="00664A73"/>
    <w:rsid w:val="00664F1B"/>
    <w:rsid w:val="00665A43"/>
    <w:rsid w:val="0066604B"/>
    <w:rsid w:val="00666830"/>
    <w:rsid w:val="00666D0F"/>
    <w:rsid w:val="00667136"/>
    <w:rsid w:val="0066778F"/>
    <w:rsid w:val="006708E3"/>
    <w:rsid w:val="00671894"/>
    <w:rsid w:val="006722EB"/>
    <w:rsid w:val="006727EF"/>
    <w:rsid w:val="006728B0"/>
    <w:rsid w:val="006730DD"/>
    <w:rsid w:val="00673CE6"/>
    <w:rsid w:val="00673DCA"/>
    <w:rsid w:val="00673DF7"/>
    <w:rsid w:val="006743F4"/>
    <w:rsid w:val="006753C3"/>
    <w:rsid w:val="00675604"/>
    <w:rsid w:val="006778B2"/>
    <w:rsid w:val="00677EBB"/>
    <w:rsid w:val="00680768"/>
    <w:rsid w:val="00682D05"/>
    <w:rsid w:val="00684321"/>
    <w:rsid w:val="0068570F"/>
    <w:rsid w:val="00687C1A"/>
    <w:rsid w:val="00687F84"/>
    <w:rsid w:val="0069135E"/>
    <w:rsid w:val="00691396"/>
    <w:rsid w:val="00691643"/>
    <w:rsid w:val="00692105"/>
    <w:rsid w:val="006927FB"/>
    <w:rsid w:val="00692854"/>
    <w:rsid w:val="00692BED"/>
    <w:rsid w:val="00694EE7"/>
    <w:rsid w:val="0069547A"/>
    <w:rsid w:val="0069575A"/>
    <w:rsid w:val="0069730D"/>
    <w:rsid w:val="0069742D"/>
    <w:rsid w:val="006A0AAB"/>
    <w:rsid w:val="006A0B22"/>
    <w:rsid w:val="006A1AE8"/>
    <w:rsid w:val="006A6DF9"/>
    <w:rsid w:val="006A7022"/>
    <w:rsid w:val="006B03C9"/>
    <w:rsid w:val="006B0A06"/>
    <w:rsid w:val="006B1957"/>
    <w:rsid w:val="006B1DF2"/>
    <w:rsid w:val="006B335F"/>
    <w:rsid w:val="006B378A"/>
    <w:rsid w:val="006B5328"/>
    <w:rsid w:val="006B5ACC"/>
    <w:rsid w:val="006B6D1A"/>
    <w:rsid w:val="006B71D0"/>
    <w:rsid w:val="006B7539"/>
    <w:rsid w:val="006C1494"/>
    <w:rsid w:val="006C2274"/>
    <w:rsid w:val="006C22D6"/>
    <w:rsid w:val="006C2372"/>
    <w:rsid w:val="006C2971"/>
    <w:rsid w:val="006C2A45"/>
    <w:rsid w:val="006C3E1F"/>
    <w:rsid w:val="006C47FF"/>
    <w:rsid w:val="006C4809"/>
    <w:rsid w:val="006C4A90"/>
    <w:rsid w:val="006C6B94"/>
    <w:rsid w:val="006C6CF6"/>
    <w:rsid w:val="006D3F3D"/>
    <w:rsid w:val="006D4010"/>
    <w:rsid w:val="006D4A4D"/>
    <w:rsid w:val="006D4B27"/>
    <w:rsid w:val="006D659E"/>
    <w:rsid w:val="006D6865"/>
    <w:rsid w:val="006D725B"/>
    <w:rsid w:val="006D7854"/>
    <w:rsid w:val="006D7D4C"/>
    <w:rsid w:val="006E20B4"/>
    <w:rsid w:val="006E2E06"/>
    <w:rsid w:val="006E4DD9"/>
    <w:rsid w:val="006E521F"/>
    <w:rsid w:val="006E7F46"/>
    <w:rsid w:val="006F169E"/>
    <w:rsid w:val="006F212D"/>
    <w:rsid w:val="006F257A"/>
    <w:rsid w:val="006F3D31"/>
    <w:rsid w:val="006F46B6"/>
    <w:rsid w:val="006F6A14"/>
    <w:rsid w:val="00700654"/>
    <w:rsid w:val="00701A0F"/>
    <w:rsid w:val="00702304"/>
    <w:rsid w:val="00702A59"/>
    <w:rsid w:val="007038CC"/>
    <w:rsid w:val="00704063"/>
    <w:rsid w:val="00704299"/>
    <w:rsid w:val="007044A8"/>
    <w:rsid w:val="00704DC6"/>
    <w:rsid w:val="00705ED7"/>
    <w:rsid w:val="007062F3"/>
    <w:rsid w:val="007071AA"/>
    <w:rsid w:val="00707490"/>
    <w:rsid w:val="007102C8"/>
    <w:rsid w:val="0071395A"/>
    <w:rsid w:val="007162EC"/>
    <w:rsid w:val="00722831"/>
    <w:rsid w:val="007236FE"/>
    <w:rsid w:val="0072449F"/>
    <w:rsid w:val="00725A49"/>
    <w:rsid w:val="00727871"/>
    <w:rsid w:val="0073100D"/>
    <w:rsid w:val="00731EEE"/>
    <w:rsid w:val="00733420"/>
    <w:rsid w:val="00734115"/>
    <w:rsid w:val="0073481C"/>
    <w:rsid w:val="00734ED8"/>
    <w:rsid w:val="007358B1"/>
    <w:rsid w:val="00737B11"/>
    <w:rsid w:val="0074036C"/>
    <w:rsid w:val="00742D71"/>
    <w:rsid w:val="007431B9"/>
    <w:rsid w:val="0074527D"/>
    <w:rsid w:val="00745D43"/>
    <w:rsid w:val="0074601B"/>
    <w:rsid w:val="0074629C"/>
    <w:rsid w:val="0074786F"/>
    <w:rsid w:val="00751FB2"/>
    <w:rsid w:val="007531D0"/>
    <w:rsid w:val="007549F6"/>
    <w:rsid w:val="00754CF2"/>
    <w:rsid w:val="007559DF"/>
    <w:rsid w:val="00755DDF"/>
    <w:rsid w:val="00755F34"/>
    <w:rsid w:val="00757219"/>
    <w:rsid w:val="00757458"/>
    <w:rsid w:val="007577B1"/>
    <w:rsid w:val="007577EE"/>
    <w:rsid w:val="00757A41"/>
    <w:rsid w:val="00757B6A"/>
    <w:rsid w:val="00760C64"/>
    <w:rsid w:val="00760D3E"/>
    <w:rsid w:val="007617F9"/>
    <w:rsid w:val="00761A2E"/>
    <w:rsid w:val="00761ABF"/>
    <w:rsid w:val="00761ADE"/>
    <w:rsid w:val="00762A0D"/>
    <w:rsid w:val="00762DFF"/>
    <w:rsid w:val="00763F0C"/>
    <w:rsid w:val="00764A20"/>
    <w:rsid w:val="007654BD"/>
    <w:rsid w:val="007664B3"/>
    <w:rsid w:val="007703C7"/>
    <w:rsid w:val="00770A6A"/>
    <w:rsid w:val="00770B95"/>
    <w:rsid w:val="00770CFC"/>
    <w:rsid w:val="00771B07"/>
    <w:rsid w:val="00772D26"/>
    <w:rsid w:val="0078076F"/>
    <w:rsid w:val="007808C6"/>
    <w:rsid w:val="0078099E"/>
    <w:rsid w:val="00781783"/>
    <w:rsid w:val="00782489"/>
    <w:rsid w:val="007834F8"/>
    <w:rsid w:val="007837B9"/>
    <w:rsid w:val="00783A47"/>
    <w:rsid w:val="007840A4"/>
    <w:rsid w:val="00784B9D"/>
    <w:rsid w:val="00786823"/>
    <w:rsid w:val="00787DEE"/>
    <w:rsid w:val="00790165"/>
    <w:rsid w:val="00790CE0"/>
    <w:rsid w:val="00791275"/>
    <w:rsid w:val="007913DD"/>
    <w:rsid w:val="00792DE9"/>
    <w:rsid w:val="00792F0C"/>
    <w:rsid w:val="00793186"/>
    <w:rsid w:val="007A0A83"/>
    <w:rsid w:val="007A2427"/>
    <w:rsid w:val="007A34B8"/>
    <w:rsid w:val="007A3C7F"/>
    <w:rsid w:val="007A4B7B"/>
    <w:rsid w:val="007B139C"/>
    <w:rsid w:val="007B1901"/>
    <w:rsid w:val="007B2918"/>
    <w:rsid w:val="007B2C0B"/>
    <w:rsid w:val="007B3214"/>
    <w:rsid w:val="007B3692"/>
    <w:rsid w:val="007B4538"/>
    <w:rsid w:val="007B4CCC"/>
    <w:rsid w:val="007B5C53"/>
    <w:rsid w:val="007B5F53"/>
    <w:rsid w:val="007B677F"/>
    <w:rsid w:val="007B67E4"/>
    <w:rsid w:val="007C0372"/>
    <w:rsid w:val="007C1A1C"/>
    <w:rsid w:val="007C1B5E"/>
    <w:rsid w:val="007C34E6"/>
    <w:rsid w:val="007C4AD1"/>
    <w:rsid w:val="007C4FCE"/>
    <w:rsid w:val="007C601F"/>
    <w:rsid w:val="007C72D0"/>
    <w:rsid w:val="007C73EF"/>
    <w:rsid w:val="007D042F"/>
    <w:rsid w:val="007D3B57"/>
    <w:rsid w:val="007D3D72"/>
    <w:rsid w:val="007D4A3E"/>
    <w:rsid w:val="007D5AEF"/>
    <w:rsid w:val="007D6389"/>
    <w:rsid w:val="007D69B7"/>
    <w:rsid w:val="007D7D24"/>
    <w:rsid w:val="007E2A31"/>
    <w:rsid w:val="007E3039"/>
    <w:rsid w:val="007E45EA"/>
    <w:rsid w:val="007E6E72"/>
    <w:rsid w:val="007F119B"/>
    <w:rsid w:val="007F2581"/>
    <w:rsid w:val="007F368C"/>
    <w:rsid w:val="007F6E55"/>
    <w:rsid w:val="008001E7"/>
    <w:rsid w:val="008029F9"/>
    <w:rsid w:val="00803C7F"/>
    <w:rsid w:val="00803FFE"/>
    <w:rsid w:val="008046E0"/>
    <w:rsid w:val="00804E08"/>
    <w:rsid w:val="008057F5"/>
    <w:rsid w:val="00805B7C"/>
    <w:rsid w:val="008066AF"/>
    <w:rsid w:val="00807BD8"/>
    <w:rsid w:val="00814307"/>
    <w:rsid w:val="008160E9"/>
    <w:rsid w:val="00816533"/>
    <w:rsid w:val="008166B0"/>
    <w:rsid w:val="00816EE7"/>
    <w:rsid w:val="00817BAA"/>
    <w:rsid w:val="00817FC0"/>
    <w:rsid w:val="0082102C"/>
    <w:rsid w:val="0082185D"/>
    <w:rsid w:val="008223E4"/>
    <w:rsid w:val="008240F1"/>
    <w:rsid w:val="00824E07"/>
    <w:rsid w:val="008253C5"/>
    <w:rsid w:val="008253FB"/>
    <w:rsid w:val="0082611D"/>
    <w:rsid w:val="008315B4"/>
    <w:rsid w:val="00831B90"/>
    <w:rsid w:val="008336E1"/>
    <w:rsid w:val="00833A25"/>
    <w:rsid w:val="008350C2"/>
    <w:rsid w:val="00836D6F"/>
    <w:rsid w:val="00842049"/>
    <w:rsid w:val="00842726"/>
    <w:rsid w:val="00843A26"/>
    <w:rsid w:val="0084692E"/>
    <w:rsid w:val="00852CC5"/>
    <w:rsid w:val="008553AD"/>
    <w:rsid w:val="00855522"/>
    <w:rsid w:val="0085553B"/>
    <w:rsid w:val="00855680"/>
    <w:rsid w:val="00856C62"/>
    <w:rsid w:val="00857643"/>
    <w:rsid w:val="00857AB3"/>
    <w:rsid w:val="00862B02"/>
    <w:rsid w:val="0086391E"/>
    <w:rsid w:val="008646F4"/>
    <w:rsid w:val="008654F3"/>
    <w:rsid w:val="008670C1"/>
    <w:rsid w:val="008709E0"/>
    <w:rsid w:val="0087230F"/>
    <w:rsid w:val="00872C98"/>
    <w:rsid w:val="008731BD"/>
    <w:rsid w:val="00873CEC"/>
    <w:rsid w:val="008744B3"/>
    <w:rsid w:val="008769C2"/>
    <w:rsid w:val="00877290"/>
    <w:rsid w:val="008773D0"/>
    <w:rsid w:val="0088088D"/>
    <w:rsid w:val="00880F43"/>
    <w:rsid w:val="00880FAB"/>
    <w:rsid w:val="00881984"/>
    <w:rsid w:val="00881D28"/>
    <w:rsid w:val="00881D59"/>
    <w:rsid w:val="00882B79"/>
    <w:rsid w:val="00883A6E"/>
    <w:rsid w:val="00884316"/>
    <w:rsid w:val="00885620"/>
    <w:rsid w:val="0088617B"/>
    <w:rsid w:val="008905BB"/>
    <w:rsid w:val="00891042"/>
    <w:rsid w:val="008923B7"/>
    <w:rsid w:val="0089244F"/>
    <w:rsid w:val="00892914"/>
    <w:rsid w:val="00893321"/>
    <w:rsid w:val="00893A57"/>
    <w:rsid w:val="0089470B"/>
    <w:rsid w:val="00894734"/>
    <w:rsid w:val="0089606B"/>
    <w:rsid w:val="008A149A"/>
    <w:rsid w:val="008A164C"/>
    <w:rsid w:val="008A2D4B"/>
    <w:rsid w:val="008A3CD7"/>
    <w:rsid w:val="008A4305"/>
    <w:rsid w:val="008A5EAA"/>
    <w:rsid w:val="008A5F4A"/>
    <w:rsid w:val="008A6395"/>
    <w:rsid w:val="008A74E2"/>
    <w:rsid w:val="008A7A3E"/>
    <w:rsid w:val="008A7A99"/>
    <w:rsid w:val="008B0ACC"/>
    <w:rsid w:val="008B4809"/>
    <w:rsid w:val="008B4F1F"/>
    <w:rsid w:val="008B5658"/>
    <w:rsid w:val="008B5794"/>
    <w:rsid w:val="008B64E1"/>
    <w:rsid w:val="008B7731"/>
    <w:rsid w:val="008B7AED"/>
    <w:rsid w:val="008B7ED2"/>
    <w:rsid w:val="008C09A4"/>
    <w:rsid w:val="008C14BD"/>
    <w:rsid w:val="008C29B5"/>
    <w:rsid w:val="008C2AAD"/>
    <w:rsid w:val="008C56E1"/>
    <w:rsid w:val="008C6607"/>
    <w:rsid w:val="008C6871"/>
    <w:rsid w:val="008C6B3B"/>
    <w:rsid w:val="008C7688"/>
    <w:rsid w:val="008C7D9D"/>
    <w:rsid w:val="008D11DF"/>
    <w:rsid w:val="008D263F"/>
    <w:rsid w:val="008D2DB3"/>
    <w:rsid w:val="008D3058"/>
    <w:rsid w:val="008D3CA1"/>
    <w:rsid w:val="008D3EF8"/>
    <w:rsid w:val="008D3F35"/>
    <w:rsid w:val="008D3F8A"/>
    <w:rsid w:val="008D437C"/>
    <w:rsid w:val="008D45DE"/>
    <w:rsid w:val="008D71E5"/>
    <w:rsid w:val="008D7339"/>
    <w:rsid w:val="008D7F76"/>
    <w:rsid w:val="008E0BD5"/>
    <w:rsid w:val="008E12A8"/>
    <w:rsid w:val="008E19CE"/>
    <w:rsid w:val="008E1C0B"/>
    <w:rsid w:val="008E1FE2"/>
    <w:rsid w:val="008E4967"/>
    <w:rsid w:val="008E59F0"/>
    <w:rsid w:val="008E69F2"/>
    <w:rsid w:val="008E6E27"/>
    <w:rsid w:val="008E721C"/>
    <w:rsid w:val="008E7225"/>
    <w:rsid w:val="008E7D24"/>
    <w:rsid w:val="008F0D75"/>
    <w:rsid w:val="008F3DE7"/>
    <w:rsid w:val="008F4B8B"/>
    <w:rsid w:val="008F52F7"/>
    <w:rsid w:val="008F552F"/>
    <w:rsid w:val="008F55F8"/>
    <w:rsid w:val="008F6F7C"/>
    <w:rsid w:val="008F7B16"/>
    <w:rsid w:val="00901B24"/>
    <w:rsid w:val="009020F1"/>
    <w:rsid w:val="00903FDA"/>
    <w:rsid w:val="009042E0"/>
    <w:rsid w:val="00904A7D"/>
    <w:rsid w:val="00904F32"/>
    <w:rsid w:val="00906593"/>
    <w:rsid w:val="00906B27"/>
    <w:rsid w:val="00912F7F"/>
    <w:rsid w:val="00914AB5"/>
    <w:rsid w:val="00915660"/>
    <w:rsid w:val="00915983"/>
    <w:rsid w:val="00915A5C"/>
    <w:rsid w:val="009167E6"/>
    <w:rsid w:val="00917F35"/>
    <w:rsid w:val="00920F6F"/>
    <w:rsid w:val="009219AC"/>
    <w:rsid w:val="00921EA2"/>
    <w:rsid w:val="009236DA"/>
    <w:rsid w:val="00926CB9"/>
    <w:rsid w:val="0093363A"/>
    <w:rsid w:val="009345C5"/>
    <w:rsid w:val="00934868"/>
    <w:rsid w:val="00934C4B"/>
    <w:rsid w:val="00934C6A"/>
    <w:rsid w:val="009353D9"/>
    <w:rsid w:val="00935A04"/>
    <w:rsid w:val="00935A5D"/>
    <w:rsid w:val="00937836"/>
    <w:rsid w:val="009401CC"/>
    <w:rsid w:val="00941708"/>
    <w:rsid w:val="00942177"/>
    <w:rsid w:val="0094345F"/>
    <w:rsid w:val="00943C8B"/>
    <w:rsid w:val="0094534F"/>
    <w:rsid w:val="00945C29"/>
    <w:rsid w:val="00945DB1"/>
    <w:rsid w:val="00945F24"/>
    <w:rsid w:val="00947BA8"/>
    <w:rsid w:val="0095071F"/>
    <w:rsid w:val="009510C9"/>
    <w:rsid w:val="00951A8B"/>
    <w:rsid w:val="00951A98"/>
    <w:rsid w:val="0095269D"/>
    <w:rsid w:val="009526DA"/>
    <w:rsid w:val="0095536A"/>
    <w:rsid w:val="00955C51"/>
    <w:rsid w:val="0095744E"/>
    <w:rsid w:val="009600C8"/>
    <w:rsid w:val="0096059F"/>
    <w:rsid w:val="0096212D"/>
    <w:rsid w:val="00962486"/>
    <w:rsid w:val="009635A7"/>
    <w:rsid w:val="00963600"/>
    <w:rsid w:val="009676E0"/>
    <w:rsid w:val="00970EF6"/>
    <w:rsid w:val="009719F0"/>
    <w:rsid w:val="00973A95"/>
    <w:rsid w:val="00973AEA"/>
    <w:rsid w:val="00980215"/>
    <w:rsid w:val="009804F5"/>
    <w:rsid w:val="0098172D"/>
    <w:rsid w:val="00981E05"/>
    <w:rsid w:val="00982ECC"/>
    <w:rsid w:val="00984CC5"/>
    <w:rsid w:val="00984F08"/>
    <w:rsid w:val="009861C0"/>
    <w:rsid w:val="0098629D"/>
    <w:rsid w:val="009866FD"/>
    <w:rsid w:val="00987017"/>
    <w:rsid w:val="00987339"/>
    <w:rsid w:val="00987ACE"/>
    <w:rsid w:val="0099002C"/>
    <w:rsid w:val="009906FF"/>
    <w:rsid w:val="00991A66"/>
    <w:rsid w:val="009942A3"/>
    <w:rsid w:val="00994C60"/>
    <w:rsid w:val="009965A5"/>
    <w:rsid w:val="00996641"/>
    <w:rsid w:val="00997029"/>
    <w:rsid w:val="009A43F4"/>
    <w:rsid w:val="009A553C"/>
    <w:rsid w:val="009A7DCC"/>
    <w:rsid w:val="009B00D9"/>
    <w:rsid w:val="009B058D"/>
    <w:rsid w:val="009B0F9A"/>
    <w:rsid w:val="009B1C8D"/>
    <w:rsid w:val="009B24C4"/>
    <w:rsid w:val="009B286F"/>
    <w:rsid w:val="009B2CFA"/>
    <w:rsid w:val="009B2FF5"/>
    <w:rsid w:val="009B4C71"/>
    <w:rsid w:val="009B7CC9"/>
    <w:rsid w:val="009C0001"/>
    <w:rsid w:val="009C0D08"/>
    <w:rsid w:val="009C1231"/>
    <w:rsid w:val="009C37E9"/>
    <w:rsid w:val="009C39DA"/>
    <w:rsid w:val="009C3A40"/>
    <w:rsid w:val="009C40FC"/>
    <w:rsid w:val="009C423B"/>
    <w:rsid w:val="009C4905"/>
    <w:rsid w:val="009C505E"/>
    <w:rsid w:val="009C56D3"/>
    <w:rsid w:val="009C6892"/>
    <w:rsid w:val="009C6A8F"/>
    <w:rsid w:val="009C71AE"/>
    <w:rsid w:val="009D162C"/>
    <w:rsid w:val="009D32FA"/>
    <w:rsid w:val="009D33F3"/>
    <w:rsid w:val="009D40BB"/>
    <w:rsid w:val="009D44CF"/>
    <w:rsid w:val="009D4ACD"/>
    <w:rsid w:val="009D5AC9"/>
    <w:rsid w:val="009D6702"/>
    <w:rsid w:val="009D7662"/>
    <w:rsid w:val="009D7C92"/>
    <w:rsid w:val="009D7FF6"/>
    <w:rsid w:val="009E02A2"/>
    <w:rsid w:val="009E1B6B"/>
    <w:rsid w:val="009E3E2D"/>
    <w:rsid w:val="009E407A"/>
    <w:rsid w:val="009E56F7"/>
    <w:rsid w:val="009E766A"/>
    <w:rsid w:val="009F04C2"/>
    <w:rsid w:val="009F3CAB"/>
    <w:rsid w:val="009F4D67"/>
    <w:rsid w:val="009F58BD"/>
    <w:rsid w:val="009F62ED"/>
    <w:rsid w:val="009F64E3"/>
    <w:rsid w:val="00A02777"/>
    <w:rsid w:val="00A035BA"/>
    <w:rsid w:val="00A04475"/>
    <w:rsid w:val="00A0541A"/>
    <w:rsid w:val="00A066BF"/>
    <w:rsid w:val="00A06F8E"/>
    <w:rsid w:val="00A105D3"/>
    <w:rsid w:val="00A11F5D"/>
    <w:rsid w:val="00A13D00"/>
    <w:rsid w:val="00A13DA0"/>
    <w:rsid w:val="00A1428C"/>
    <w:rsid w:val="00A15C4D"/>
    <w:rsid w:val="00A16BE2"/>
    <w:rsid w:val="00A17851"/>
    <w:rsid w:val="00A17B2A"/>
    <w:rsid w:val="00A202B0"/>
    <w:rsid w:val="00A2060A"/>
    <w:rsid w:val="00A20941"/>
    <w:rsid w:val="00A22947"/>
    <w:rsid w:val="00A25419"/>
    <w:rsid w:val="00A26245"/>
    <w:rsid w:val="00A267BA"/>
    <w:rsid w:val="00A268AC"/>
    <w:rsid w:val="00A27919"/>
    <w:rsid w:val="00A30050"/>
    <w:rsid w:val="00A313F4"/>
    <w:rsid w:val="00A32BBC"/>
    <w:rsid w:val="00A359CD"/>
    <w:rsid w:val="00A36880"/>
    <w:rsid w:val="00A36C9C"/>
    <w:rsid w:val="00A36E59"/>
    <w:rsid w:val="00A376A2"/>
    <w:rsid w:val="00A40A63"/>
    <w:rsid w:val="00A40D21"/>
    <w:rsid w:val="00A41F63"/>
    <w:rsid w:val="00A42802"/>
    <w:rsid w:val="00A42C9C"/>
    <w:rsid w:val="00A45483"/>
    <w:rsid w:val="00A4668A"/>
    <w:rsid w:val="00A46B5C"/>
    <w:rsid w:val="00A47596"/>
    <w:rsid w:val="00A47AE5"/>
    <w:rsid w:val="00A504A2"/>
    <w:rsid w:val="00A50E2A"/>
    <w:rsid w:val="00A52AFA"/>
    <w:rsid w:val="00A547B8"/>
    <w:rsid w:val="00A548DF"/>
    <w:rsid w:val="00A555BB"/>
    <w:rsid w:val="00A607E3"/>
    <w:rsid w:val="00A60F33"/>
    <w:rsid w:val="00A671BA"/>
    <w:rsid w:val="00A67283"/>
    <w:rsid w:val="00A672EF"/>
    <w:rsid w:val="00A674B0"/>
    <w:rsid w:val="00A70EE8"/>
    <w:rsid w:val="00A731EB"/>
    <w:rsid w:val="00A75496"/>
    <w:rsid w:val="00A770A5"/>
    <w:rsid w:val="00A80116"/>
    <w:rsid w:val="00A802AB"/>
    <w:rsid w:val="00A8054F"/>
    <w:rsid w:val="00A813C7"/>
    <w:rsid w:val="00A819BF"/>
    <w:rsid w:val="00A84683"/>
    <w:rsid w:val="00A85845"/>
    <w:rsid w:val="00A863E2"/>
    <w:rsid w:val="00A87063"/>
    <w:rsid w:val="00A874E5"/>
    <w:rsid w:val="00A9185B"/>
    <w:rsid w:val="00A92DF0"/>
    <w:rsid w:val="00A93520"/>
    <w:rsid w:val="00A93774"/>
    <w:rsid w:val="00A945A4"/>
    <w:rsid w:val="00A94B5D"/>
    <w:rsid w:val="00A94F83"/>
    <w:rsid w:val="00A96E3E"/>
    <w:rsid w:val="00A978CA"/>
    <w:rsid w:val="00AA06F4"/>
    <w:rsid w:val="00AA2450"/>
    <w:rsid w:val="00AA2C0E"/>
    <w:rsid w:val="00AA2EB4"/>
    <w:rsid w:val="00AA3858"/>
    <w:rsid w:val="00AA3E75"/>
    <w:rsid w:val="00AA5439"/>
    <w:rsid w:val="00AA5853"/>
    <w:rsid w:val="00AA5A3F"/>
    <w:rsid w:val="00AA71F1"/>
    <w:rsid w:val="00AA73EB"/>
    <w:rsid w:val="00AB0651"/>
    <w:rsid w:val="00AB0D26"/>
    <w:rsid w:val="00AB4D98"/>
    <w:rsid w:val="00AB57C8"/>
    <w:rsid w:val="00AB5936"/>
    <w:rsid w:val="00AB5E51"/>
    <w:rsid w:val="00AB63E5"/>
    <w:rsid w:val="00AC1E0E"/>
    <w:rsid w:val="00AC2FED"/>
    <w:rsid w:val="00AC3614"/>
    <w:rsid w:val="00AC37D3"/>
    <w:rsid w:val="00AC546D"/>
    <w:rsid w:val="00AC5E52"/>
    <w:rsid w:val="00AC6A51"/>
    <w:rsid w:val="00AD163D"/>
    <w:rsid w:val="00AD1F00"/>
    <w:rsid w:val="00AD2150"/>
    <w:rsid w:val="00AD2585"/>
    <w:rsid w:val="00AD3010"/>
    <w:rsid w:val="00AD353F"/>
    <w:rsid w:val="00AD399B"/>
    <w:rsid w:val="00AD68DA"/>
    <w:rsid w:val="00AD6C1A"/>
    <w:rsid w:val="00AE02BA"/>
    <w:rsid w:val="00AE0F25"/>
    <w:rsid w:val="00AE1585"/>
    <w:rsid w:val="00AE1626"/>
    <w:rsid w:val="00AE1DE4"/>
    <w:rsid w:val="00AE61E9"/>
    <w:rsid w:val="00AE788E"/>
    <w:rsid w:val="00AF1B1A"/>
    <w:rsid w:val="00AF1CA7"/>
    <w:rsid w:val="00AF20DA"/>
    <w:rsid w:val="00AF24EB"/>
    <w:rsid w:val="00AF26E1"/>
    <w:rsid w:val="00AF27A1"/>
    <w:rsid w:val="00AF2CE7"/>
    <w:rsid w:val="00AF307A"/>
    <w:rsid w:val="00AF47E4"/>
    <w:rsid w:val="00AF62B8"/>
    <w:rsid w:val="00AF6BEF"/>
    <w:rsid w:val="00AF6E9C"/>
    <w:rsid w:val="00AF7827"/>
    <w:rsid w:val="00B0366E"/>
    <w:rsid w:val="00B051A6"/>
    <w:rsid w:val="00B051E7"/>
    <w:rsid w:val="00B052A4"/>
    <w:rsid w:val="00B05A49"/>
    <w:rsid w:val="00B065B4"/>
    <w:rsid w:val="00B066DC"/>
    <w:rsid w:val="00B06964"/>
    <w:rsid w:val="00B06A40"/>
    <w:rsid w:val="00B06C9A"/>
    <w:rsid w:val="00B104D3"/>
    <w:rsid w:val="00B1233D"/>
    <w:rsid w:val="00B1491E"/>
    <w:rsid w:val="00B14A9D"/>
    <w:rsid w:val="00B15C21"/>
    <w:rsid w:val="00B208AF"/>
    <w:rsid w:val="00B21B6B"/>
    <w:rsid w:val="00B24656"/>
    <w:rsid w:val="00B25A7F"/>
    <w:rsid w:val="00B25C77"/>
    <w:rsid w:val="00B265A8"/>
    <w:rsid w:val="00B266AB"/>
    <w:rsid w:val="00B266C0"/>
    <w:rsid w:val="00B26C0C"/>
    <w:rsid w:val="00B3387A"/>
    <w:rsid w:val="00B3441A"/>
    <w:rsid w:val="00B3564B"/>
    <w:rsid w:val="00B35AD4"/>
    <w:rsid w:val="00B35BB8"/>
    <w:rsid w:val="00B376E7"/>
    <w:rsid w:val="00B400AD"/>
    <w:rsid w:val="00B42891"/>
    <w:rsid w:val="00B429DA"/>
    <w:rsid w:val="00B42BAC"/>
    <w:rsid w:val="00B433B1"/>
    <w:rsid w:val="00B4497F"/>
    <w:rsid w:val="00B44D76"/>
    <w:rsid w:val="00B45C70"/>
    <w:rsid w:val="00B463F6"/>
    <w:rsid w:val="00B46EC1"/>
    <w:rsid w:val="00B47617"/>
    <w:rsid w:val="00B50C62"/>
    <w:rsid w:val="00B519BE"/>
    <w:rsid w:val="00B52401"/>
    <w:rsid w:val="00B526D1"/>
    <w:rsid w:val="00B537BA"/>
    <w:rsid w:val="00B53A8E"/>
    <w:rsid w:val="00B542FE"/>
    <w:rsid w:val="00B54856"/>
    <w:rsid w:val="00B55EA0"/>
    <w:rsid w:val="00B56B19"/>
    <w:rsid w:val="00B60538"/>
    <w:rsid w:val="00B62ED2"/>
    <w:rsid w:val="00B6423B"/>
    <w:rsid w:val="00B6492E"/>
    <w:rsid w:val="00B64A19"/>
    <w:rsid w:val="00B65C42"/>
    <w:rsid w:val="00B67AC8"/>
    <w:rsid w:val="00B7067E"/>
    <w:rsid w:val="00B709F0"/>
    <w:rsid w:val="00B72555"/>
    <w:rsid w:val="00B72915"/>
    <w:rsid w:val="00B742E3"/>
    <w:rsid w:val="00B74841"/>
    <w:rsid w:val="00B7486D"/>
    <w:rsid w:val="00B75873"/>
    <w:rsid w:val="00B75F48"/>
    <w:rsid w:val="00B773A4"/>
    <w:rsid w:val="00B8114B"/>
    <w:rsid w:val="00B816B9"/>
    <w:rsid w:val="00B820B0"/>
    <w:rsid w:val="00B87388"/>
    <w:rsid w:val="00B90051"/>
    <w:rsid w:val="00B908B2"/>
    <w:rsid w:val="00B90CDC"/>
    <w:rsid w:val="00B90EAD"/>
    <w:rsid w:val="00B91239"/>
    <w:rsid w:val="00B91AED"/>
    <w:rsid w:val="00B93278"/>
    <w:rsid w:val="00B95D74"/>
    <w:rsid w:val="00B96A23"/>
    <w:rsid w:val="00B971CF"/>
    <w:rsid w:val="00BA0032"/>
    <w:rsid w:val="00BA1599"/>
    <w:rsid w:val="00BA1C09"/>
    <w:rsid w:val="00BA2D36"/>
    <w:rsid w:val="00BA54B8"/>
    <w:rsid w:val="00BA5DF1"/>
    <w:rsid w:val="00BA636D"/>
    <w:rsid w:val="00BA703E"/>
    <w:rsid w:val="00BA7246"/>
    <w:rsid w:val="00BA7E88"/>
    <w:rsid w:val="00BA7FC9"/>
    <w:rsid w:val="00BB0096"/>
    <w:rsid w:val="00BB0D20"/>
    <w:rsid w:val="00BB1B99"/>
    <w:rsid w:val="00BB207D"/>
    <w:rsid w:val="00BB3ED8"/>
    <w:rsid w:val="00BB4301"/>
    <w:rsid w:val="00BB4B3A"/>
    <w:rsid w:val="00BB52EC"/>
    <w:rsid w:val="00BB6B7D"/>
    <w:rsid w:val="00BC0D3F"/>
    <w:rsid w:val="00BC10BB"/>
    <w:rsid w:val="00BC279E"/>
    <w:rsid w:val="00BC4260"/>
    <w:rsid w:val="00BC4D62"/>
    <w:rsid w:val="00BC4E72"/>
    <w:rsid w:val="00BC6394"/>
    <w:rsid w:val="00BC7CB1"/>
    <w:rsid w:val="00BD01D4"/>
    <w:rsid w:val="00BD053D"/>
    <w:rsid w:val="00BD32AB"/>
    <w:rsid w:val="00BD3EAB"/>
    <w:rsid w:val="00BD5026"/>
    <w:rsid w:val="00BD5616"/>
    <w:rsid w:val="00BD5A94"/>
    <w:rsid w:val="00BD5BCE"/>
    <w:rsid w:val="00BD722F"/>
    <w:rsid w:val="00BD776C"/>
    <w:rsid w:val="00BE2420"/>
    <w:rsid w:val="00BE2766"/>
    <w:rsid w:val="00BE69F1"/>
    <w:rsid w:val="00BE712B"/>
    <w:rsid w:val="00BF0261"/>
    <w:rsid w:val="00BF36AD"/>
    <w:rsid w:val="00BF3A1E"/>
    <w:rsid w:val="00BF3FFA"/>
    <w:rsid w:val="00BF5E88"/>
    <w:rsid w:val="00BF609C"/>
    <w:rsid w:val="00BF65C5"/>
    <w:rsid w:val="00BF6ABD"/>
    <w:rsid w:val="00BF7665"/>
    <w:rsid w:val="00BF7EB8"/>
    <w:rsid w:val="00C0019C"/>
    <w:rsid w:val="00C01363"/>
    <w:rsid w:val="00C014D2"/>
    <w:rsid w:val="00C01C19"/>
    <w:rsid w:val="00C022D3"/>
    <w:rsid w:val="00C03162"/>
    <w:rsid w:val="00C051F4"/>
    <w:rsid w:val="00C05A56"/>
    <w:rsid w:val="00C060D7"/>
    <w:rsid w:val="00C0697C"/>
    <w:rsid w:val="00C10182"/>
    <w:rsid w:val="00C1410B"/>
    <w:rsid w:val="00C14790"/>
    <w:rsid w:val="00C14B33"/>
    <w:rsid w:val="00C154B1"/>
    <w:rsid w:val="00C20F3D"/>
    <w:rsid w:val="00C21110"/>
    <w:rsid w:val="00C212EA"/>
    <w:rsid w:val="00C22542"/>
    <w:rsid w:val="00C22EE2"/>
    <w:rsid w:val="00C256C6"/>
    <w:rsid w:val="00C30B71"/>
    <w:rsid w:val="00C312B3"/>
    <w:rsid w:val="00C31BB6"/>
    <w:rsid w:val="00C33129"/>
    <w:rsid w:val="00C33E70"/>
    <w:rsid w:val="00C3493C"/>
    <w:rsid w:val="00C36464"/>
    <w:rsid w:val="00C36F8C"/>
    <w:rsid w:val="00C4181E"/>
    <w:rsid w:val="00C41A66"/>
    <w:rsid w:val="00C4293F"/>
    <w:rsid w:val="00C437E1"/>
    <w:rsid w:val="00C44195"/>
    <w:rsid w:val="00C44952"/>
    <w:rsid w:val="00C458D1"/>
    <w:rsid w:val="00C461BE"/>
    <w:rsid w:val="00C46580"/>
    <w:rsid w:val="00C46E26"/>
    <w:rsid w:val="00C47F05"/>
    <w:rsid w:val="00C50BFA"/>
    <w:rsid w:val="00C52D8A"/>
    <w:rsid w:val="00C53731"/>
    <w:rsid w:val="00C55343"/>
    <w:rsid w:val="00C554CE"/>
    <w:rsid w:val="00C55948"/>
    <w:rsid w:val="00C55A9A"/>
    <w:rsid w:val="00C56A01"/>
    <w:rsid w:val="00C5736E"/>
    <w:rsid w:val="00C601D0"/>
    <w:rsid w:val="00C60850"/>
    <w:rsid w:val="00C60EA3"/>
    <w:rsid w:val="00C61EDD"/>
    <w:rsid w:val="00C64A00"/>
    <w:rsid w:val="00C64CC1"/>
    <w:rsid w:val="00C65DC9"/>
    <w:rsid w:val="00C669C9"/>
    <w:rsid w:val="00C67757"/>
    <w:rsid w:val="00C7070A"/>
    <w:rsid w:val="00C73FA5"/>
    <w:rsid w:val="00C75ABC"/>
    <w:rsid w:val="00C80015"/>
    <w:rsid w:val="00C83AC0"/>
    <w:rsid w:val="00C83C9A"/>
    <w:rsid w:val="00C85FC3"/>
    <w:rsid w:val="00C8668A"/>
    <w:rsid w:val="00C91EC5"/>
    <w:rsid w:val="00C93398"/>
    <w:rsid w:val="00C9389A"/>
    <w:rsid w:val="00C9471A"/>
    <w:rsid w:val="00C94AB7"/>
    <w:rsid w:val="00C94C35"/>
    <w:rsid w:val="00C97360"/>
    <w:rsid w:val="00C97651"/>
    <w:rsid w:val="00C97AF9"/>
    <w:rsid w:val="00CA0749"/>
    <w:rsid w:val="00CA1F97"/>
    <w:rsid w:val="00CA4A65"/>
    <w:rsid w:val="00CA5B72"/>
    <w:rsid w:val="00CA73D9"/>
    <w:rsid w:val="00CB082F"/>
    <w:rsid w:val="00CB2857"/>
    <w:rsid w:val="00CB30A1"/>
    <w:rsid w:val="00CB4B00"/>
    <w:rsid w:val="00CB7A81"/>
    <w:rsid w:val="00CB7C0A"/>
    <w:rsid w:val="00CC1050"/>
    <w:rsid w:val="00CC1377"/>
    <w:rsid w:val="00CC6004"/>
    <w:rsid w:val="00CC67B6"/>
    <w:rsid w:val="00CD15FC"/>
    <w:rsid w:val="00CD2888"/>
    <w:rsid w:val="00CD43F2"/>
    <w:rsid w:val="00CD463D"/>
    <w:rsid w:val="00CD58C9"/>
    <w:rsid w:val="00CE2EDD"/>
    <w:rsid w:val="00CE4E19"/>
    <w:rsid w:val="00CE58AE"/>
    <w:rsid w:val="00CE5B89"/>
    <w:rsid w:val="00CE7CF8"/>
    <w:rsid w:val="00CE7F63"/>
    <w:rsid w:val="00CF0404"/>
    <w:rsid w:val="00CF1E8A"/>
    <w:rsid w:val="00CF3308"/>
    <w:rsid w:val="00CF4222"/>
    <w:rsid w:val="00CF436C"/>
    <w:rsid w:val="00CF48FC"/>
    <w:rsid w:val="00CF4C90"/>
    <w:rsid w:val="00CF59DA"/>
    <w:rsid w:val="00CF5F47"/>
    <w:rsid w:val="00CF6112"/>
    <w:rsid w:val="00CF6D5E"/>
    <w:rsid w:val="00CF6F46"/>
    <w:rsid w:val="00D010F9"/>
    <w:rsid w:val="00D0218B"/>
    <w:rsid w:val="00D038C6"/>
    <w:rsid w:val="00D04575"/>
    <w:rsid w:val="00D049DC"/>
    <w:rsid w:val="00D05264"/>
    <w:rsid w:val="00D10A6C"/>
    <w:rsid w:val="00D10B14"/>
    <w:rsid w:val="00D114D9"/>
    <w:rsid w:val="00D114DB"/>
    <w:rsid w:val="00D12C6F"/>
    <w:rsid w:val="00D13BF9"/>
    <w:rsid w:val="00D146F0"/>
    <w:rsid w:val="00D14A96"/>
    <w:rsid w:val="00D1656D"/>
    <w:rsid w:val="00D1685E"/>
    <w:rsid w:val="00D177AF"/>
    <w:rsid w:val="00D17B98"/>
    <w:rsid w:val="00D203A3"/>
    <w:rsid w:val="00D22560"/>
    <w:rsid w:val="00D233EB"/>
    <w:rsid w:val="00D27078"/>
    <w:rsid w:val="00D270F4"/>
    <w:rsid w:val="00D2781F"/>
    <w:rsid w:val="00D3003A"/>
    <w:rsid w:val="00D3059D"/>
    <w:rsid w:val="00D306D1"/>
    <w:rsid w:val="00D3196C"/>
    <w:rsid w:val="00D3215A"/>
    <w:rsid w:val="00D34934"/>
    <w:rsid w:val="00D34BAF"/>
    <w:rsid w:val="00D3513A"/>
    <w:rsid w:val="00D35D52"/>
    <w:rsid w:val="00D36506"/>
    <w:rsid w:val="00D3719C"/>
    <w:rsid w:val="00D4014B"/>
    <w:rsid w:val="00D41582"/>
    <w:rsid w:val="00D4228E"/>
    <w:rsid w:val="00D434B9"/>
    <w:rsid w:val="00D436A2"/>
    <w:rsid w:val="00D44D2A"/>
    <w:rsid w:val="00D45554"/>
    <w:rsid w:val="00D457C4"/>
    <w:rsid w:val="00D45899"/>
    <w:rsid w:val="00D47BEC"/>
    <w:rsid w:val="00D47C6E"/>
    <w:rsid w:val="00D47CEA"/>
    <w:rsid w:val="00D5065E"/>
    <w:rsid w:val="00D511AB"/>
    <w:rsid w:val="00D51587"/>
    <w:rsid w:val="00D536EE"/>
    <w:rsid w:val="00D54587"/>
    <w:rsid w:val="00D5569F"/>
    <w:rsid w:val="00D57685"/>
    <w:rsid w:val="00D576E5"/>
    <w:rsid w:val="00D6164E"/>
    <w:rsid w:val="00D62928"/>
    <w:rsid w:val="00D63F09"/>
    <w:rsid w:val="00D640B1"/>
    <w:rsid w:val="00D641AA"/>
    <w:rsid w:val="00D65A8A"/>
    <w:rsid w:val="00D66C3D"/>
    <w:rsid w:val="00D71568"/>
    <w:rsid w:val="00D7304E"/>
    <w:rsid w:val="00D73C40"/>
    <w:rsid w:val="00D73DA5"/>
    <w:rsid w:val="00D74010"/>
    <w:rsid w:val="00D74D81"/>
    <w:rsid w:val="00D74DAF"/>
    <w:rsid w:val="00D81A31"/>
    <w:rsid w:val="00D820E1"/>
    <w:rsid w:val="00D82B0F"/>
    <w:rsid w:val="00D82F4A"/>
    <w:rsid w:val="00D84C23"/>
    <w:rsid w:val="00D85ABE"/>
    <w:rsid w:val="00D85C99"/>
    <w:rsid w:val="00D92182"/>
    <w:rsid w:val="00D93796"/>
    <w:rsid w:val="00D93A4F"/>
    <w:rsid w:val="00D94571"/>
    <w:rsid w:val="00D9491C"/>
    <w:rsid w:val="00D94AD1"/>
    <w:rsid w:val="00D94C60"/>
    <w:rsid w:val="00D97F43"/>
    <w:rsid w:val="00DA03E6"/>
    <w:rsid w:val="00DA1CBE"/>
    <w:rsid w:val="00DA1DFB"/>
    <w:rsid w:val="00DA299B"/>
    <w:rsid w:val="00DA42A3"/>
    <w:rsid w:val="00DA58C6"/>
    <w:rsid w:val="00DA5A8C"/>
    <w:rsid w:val="00DA5EE1"/>
    <w:rsid w:val="00DA67E4"/>
    <w:rsid w:val="00DA7D46"/>
    <w:rsid w:val="00DB0318"/>
    <w:rsid w:val="00DB1046"/>
    <w:rsid w:val="00DB2D17"/>
    <w:rsid w:val="00DB513A"/>
    <w:rsid w:val="00DB5EE2"/>
    <w:rsid w:val="00DB63BB"/>
    <w:rsid w:val="00DB6645"/>
    <w:rsid w:val="00DB6B19"/>
    <w:rsid w:val="00DC044E"/>
    <w:rsid w:val="00DC0EBE"/>
    <w:rsid w:val="00DC30B9"/>
    <w:rsid w:val="00DC3C8A"/>
    <w:rsid w:val="00DC47DE"/>
    <w:rsid w:val="00DC5B37"/>
    <w:rsid w:val="00DC5B90"/>
    <w:rsid w:val="00DC7EE1"/>
    <w:rsid w:val="00DD072F"/>
    <w:rsid w:val="00DD0D7D"/>
    <w:rsid w:val="00DD0FDD"/>
    <w:rsid w:val="00DD1669"/>
    <w:rsid w:val="00DD1A9A"/>
    <w:rsid w:val="00DD2207"/>
    <w:rsid w:val="00DD2B87"/>
    <w:rsid w:val="00DD3B5D"/>
    <w:rsid w:val="00DD4377"/>
    <w:rsid w:val="00DD514A"/>
    <w:rsid w:val="00DD55C0"/>
    <w:rsid w:val="00DD5837"/>
    <w:rsid w:val="00DD61D7"/>
    <w:rsid w:val="00DE3363"/>
    <w:rsid w:val="00DE504B"/>
    <w:rsid w:val="00DE560F"/>
    <w:rsid w:val="00DE6A5E"/>
    <w:rsid w:val="00DE71D2"/>
    <w:rsid w:val="00DF1927"/>
    <w:rsid w:val="00DF1F3A"/>
    <w:rsid w:val="00DF3873"/>
    <w:rsid w:val="00DF4D53"/>
    <w:rsid w:val="00DF5A91"/>
    <w:rsid w:val="00E01E77"/>
    <w:rsid w:val="00E0250E"/>
    <w:rsid w:val="00E06582"/>
    <w:rsid w:val="00E06DFD"/>
    <w:rsid w:val="00E07356"/>
    <w:rsid w:val="00E10168"/>
    <w:rsid w:val="00E101CD"/>
    <w:rsid w:val="00E11FAE"/>
    <w:rsid w:val="00E15459"/>
    <w:rsid w:val="00E15B4A"/>
    <w:rsid w:val="00E21AEF"/>
    <w:rsid w:val="00E2270F"/>
    <w:rsid w:val="00E24377"/>
    <w:rsid w:val="00E25E32"/>
    <w:rsid w:val="00E27831"/>
    <w:rsid w:val="00E30A98"/>
    <w:rsid w:val="00E31FE0"/>
    <w:rsid w:val="00E34730"/>
    <w:rsid w:val="00E34F04"/>
    <w:rsid w:val="00E353B6"/>
    <w:rsid w:val="00E36DCC"/>
    <w:rsid w:val="00E40261"/>
    <w:rsid w:val="00E404C5"/>
    <w:rsid w:val="00E40BF3"/>
    <w:rsid w:val="00E417AE"/>
    <w:rsid w:val="00E4208C"/>
    <w:rsid w:val="00E4685E"/>
    <w:rsid w:val="00E46E57"/>
    <w:rsid w:val="00E471C5"/>
    <w:rsid w:val="00E47746"/>
    <w:rsid w:val="00E47D0F"/>
    <w:rsid w:val="00E5213A"/>
    <w:rsid w:val="00E53E5D"/>
    <w:rsid w:val="00E54225"/>
    <w:rsid w:val="00E55B2C"/>
    <w:rsid w:val="00E55C00"/>
    <w:rsid w:val="00E560D2"/>
    <w:rsid w:val="00E5669D"/>
    <w:rsid w:val="00E60297"/>
    <w:rsid w:val="00E60F93"/>
    <w:rsid w:val="00E61EAD"/>
    <w:rsid w:val="00E62C4F"/>
    <w:rsid w:val="00E62D60"/>
    <w:rsid w:val="00E6432B"/>
    <w:rsid w:val="00E6472B"/>
    <w:rsid w:val="00E65162"/>
    <w:rsid w:val="00E65A55"/>
    <w:rsid w:val="00E6602F"/>
    <w:rsid w:val="00E660A1"/>
    <w:rsid w:val="00E66821"/>
    <w:rsid w:val="00E67B6F"/>
    <w:rsid w:val="00E70282"/>
    <w:rsid w:val="00E70807"/>
    <w:rsid w:val="00E71045"/>
    <w:rsid w:val="00E720BC"/>
    <w:rsid w:val="00E733F0"/>
    <w:rsid w:val="00E73A47"/>
    <w:rsid w:val="00E74A97"/>
    <w:rsid w:val="00E75237"/>
    <w:rsid w:val="00E75A34"/>
    <w:rsid w:val="00E75FDF"/>
    <w:rsid w:val="00E76990"/>
    <w:rsid w:val="00E76D01"/>
    <w:rsid w:val="00E77321"/>
    <w:rsid w:val="00E80210"/>
    <w:rsid w:val="00E80783"/>
    <w:rsid w:val="00E818E6"/>
    <w:rsid w:val="00E81C33"/>
    <w:rsid w:val="00E8290A"/>
    <w:rsid w:val="00E83178"/>
    <w:rsid w:val="00E85029"/>
    <w:rsid w:val="00E86D07"/>
    <w:rsid w:val="00E8786B"/>
    <w:rsid w:val="00E910AB"/>
    <w:rsid w:val="00E912F5"/>
    <w:rsid w:val="00E914FA"/>
    <w:rsid w:val="00E93B48"/>
    <w:rsid w:val="00E93C2E"/>
    <w:rsid w:val="00E93DAE"/>
    <w:rsid w:val="00E941F6"/>
    <w:rsid w:val="00E9465C"/>
    <w:rsid w:val="00E94CF0"/>
    <w:rsid w:val="00E95FD2"/>
    <w:rsid w:val="00E96246"/>
    <w:rsid w:val="00E96247"/>
    <w:rsid w:val="00E97984"/>
    <w:rsid w:val="00EA09A9"/>
    <w:rsid w:val="00EA165F"/>
    <w:rsid w:val="00EA1CEB"/>
    <w:rsid w:val="00EA2F71"/>
    <w:rsid w:val="00EA3B1E"/>
    <w:rsid w:val="00EA3BAB"/>
    <w:rsid w:val="00EA52E4"/>
    <w:rsid w:val="00EA6261"/>
    <w:rsid w:val="00EA71EE"/>
    <w:rsid w:val="00EA77E5"/>
    <w:rsid w:val="00EB1690"/>
    <w:rsid w:val="00EB1865"/>
    <w:rsid w:val="00EB22B8"/>
    <w:rsid w:val="00EB2487"/>
    <w:rsid w:val="00EB25A7"/>
    <w:rsid w:val="00EB44AB"/>
    <w:rsid w:val="00EB62DF"/>
    <w:rsid w:val="00EB64DD"/>
    <w:rsid w:val="00EB6597"/>
    <w:rsid w:val="00EB65B7"/>
    <w:rsid w:val="00EB66DF"/>
    <w:rsid w:val="00EC037C"/>
    <w:rsid w:val="00EC191C"/>
    <w:rsid w:val="00EC1E1C"/>
    <w:rsid w:val="00EC1EDC"/>
    <w:rsid w:val="00EC338C"/>
    <w:rsid w:val="00EC49CF"/>
    <w:rsid w:val="00EC700F"/>
    <w:rsid w:val="00EC70E2"/>
    <w:rsid w:val="00ED0BC4"/>
    <w:rsid w:val="00ED1026"/>
    <w:rsid w:val="00ED19B3"/>
    <w:rsid w:val="00ED1AB7"/>
    <w:rsid w:val="00ED3241"/>
    <w:rsid w:val="00ED3D72"/>
    <w:rsid w:val="00ED5662"/>
    <w:rsid w:val="00ED7640"/>
    <w:rsid w:val="00EE0753"/>
    <w:rsid w:val="00EE0D06"/>
    <w:rsid w:val="00EE0E85"/>
    <w:rsid w:val="00EE2EED"/>
    <w:rsid w:val="00EE4527"/>
    <w:rsid w:val="00EE5CA4"/>
    <w:rsid w:val="00EE68CA"/>
    <w:rsid w:val="00EE74F1"/>
    <w:rsid w:val="00EF029E"/>
    <w:rsid w:val="00EF04D6"/>
    <w:rsid w:val="00EF0853"/>
    <w:rsid w:val="00EF09EC"/>
    <w:rsid w:val="00EF1B7E"/>
    <w:rsid w:val="00EF1E7E"/>
    <w:rsid w:val="00EF23CC"/>
    <w:rsid w:val="00EF338C"/>
    <w:rsid w:val="00EF42B2"/>
    <w:rsid w:val="00EF4C8A"/>
    <w:rsid w:val="00F01C8D"/>
    <w:rsid w:val="00F05E20"/>
    <w:rsid w:val="00F05F49"/>
    <w:rsid w:val="00F0758F"/>
    <w:rsid w:val="00F1009E"/>
    <w:rsid w:val="00F100E8"/>
    <w:rsid w:val="00F10E4C"/>
    <w:rsid w:val="00F11365"/>
    <w:rsid w:val="00F11544"/>
    <w:rsid w:val="00F1260C"/>
    <w:rsid w:val="00F135C5"/>
    <w:rsid w:val="00F147CB"/>
    <w:rsid w:val="00F17B35"/>
    <w:rsid w:val="00F22903"/>
    <w:rsid w:val="00F22F94"/>
    <w:rsid w:val="00F23506"/>
    <w:rsid w:val="00F24BEE"/>
    <w:rsid w:val="00F2535F"/>
    <w:rsid w:val="00F258E2"/>
    <w:rsid w:val="00F2593A"/>
    <w:rsid w:val="00F25A71"/>
    <w:rsid w:val="00F30DF5"/>
    <w:rsid w:val="00F31924"/>
    <w:rsid w:val="00F32FD0"/>
    <w:rsid w:val="00F33BFC"/>
    <w:rsid w:val="00F345B3"/>
    <w:rsid w:val="00F362DE"/>
    <w:rsid w:val="00F3743A"/>
    <w:rsid w:val="00F40221"/>
    <w:rsid w:val="00F40B17"/>
    <w:rsid w:val="00F414A0"/>
    <w:rsid w:val="00F41CED"/>
    <w:rsid w:val="00F4397B"/>
    <w:rsid w:val="00F45962"/>
    <w:rsid w:val="00F46CE0"/>
    <w:rsid w:val="00F51DA2"/>
    <w:rsid w:val="00F51F93"/>
    <w:rsid w:val="00F520C9"/>
    <w:rsid w:val="00F53A86"/>
    <w:rsid w:val="00F53C35"/>
    <w:rsid w:val="00F55634"/>
    <w:rsid w:val="00F563AC"/>
    <w:rsid w:val="00F564B2"/>
    <w:rsid w:val="00F571F3"/>
    <w:rsid w:val="00F57467"/>
    <w:rsid w:val="00F5749B"/>
    <w:rsid w:val="00F604C2"/>
    <w:rsid w:val="00F605E2"/>
    <w:rsid w:val="00F60EA1"/>
    <w:rsid w:val="00F611ED"/>
    <w:rsid w:val="00F617A9"/>
    <w:rsid w:val="00F618AE"/>
    <w:rsid w:val="00F65867"/>
    <w:rsid w:val="00F65F5B"/>
    <w:rsid w:val="00F66361"/>
    <w:rsid w:val="00F665CB"/>
    <w:rsid w:val="00F6790D"/>
    <w:rsid w:val="00F70B0D"/>
    <w:rsid w:val="00F711F3"/>
    <w:rsid w:val="00F7215F"/>
    <w:rsid w:val="00F8046C"/>
    <w:rsid w:val="00F8096E"/>
    <w:rsid w:val="00F80FF9"/>
    <w:rsid w:val="00F813DA"/>
    <w:rsid w:val="00F82E44"/>
    <w:rsid w:val="00F83448"/>
    <w:rsid w:val="00F83F5B"/>
    <w:rsid w:val="00F84F40"/>
    <w:rsid w:val="00F85472"/>
    <w:rsid w:val="00F874FA"/>
    <w:rsid w:val="00F9188B"/>
    <w:rsid w:val="00F9333A"/>
    <w:rsid w:val="00F9466E"/>
    <w:rsid w:val="00F94D51"/>
    <w:rsid w:val="00F94F18"/>
    <w:rsid w:val="00F95533"/>
    <w:rsid w:val="00F95FEA"/>
    <w:rsid w:val="00F96711"/>
    <w:rsid w:val="00F97F62"/>
    <w:rsid w:val="00FA1ED0"/>
    <w:rsid w:val="00FA25C1"/>
    <w:rsid w:val="00FA2934"/>
    <w:rsid w:val="00FA3C27"/>
    <w:rsid w:val="00FA5429"/>
    <w:rsid w:val="00FA58CF"/>
    <w:rsid w:val="00FA64FF"/>
    <w:rsid w:val="00FA7112"/>
    <w:rsid w:val="00FA7D31"/>
    <w:rsid w:val="00FB053F"/>
    <w:rsid w:val="00FB3816"/>
    <w:rsid w:val="00FB5945"/>
    <w:rsid w:val="00FB5DDD"/>
    <w:rsid w:val="00FB5E69"/>
    <w:rsid w:val="00FB63D8"/>
    <w:rsid w:val="00FB6EB5"/>
    <w:rsid w:val="00FC0F6C"/>
    <w:rsid w:val="00FC419F"/>
    <w:rsid w:val="00FC53C2"/>
    <w:rsid w:val="00FC56BE"/>
    <w:rsid w:val="00FC7371"/>
    <w:rsid w:val="00FC7F20"/>
    <w:rsid w:val="00FD1B80"/>
    <w:rsid w:val="00FD4596"/>
    <w:rsid w:val="00FE48A3"/>
    <w:rsid w:val="00FE5F92"/>
    <w:rsid w:val="00FE7344"/>
    <w:rsid w:val="00FF1A0D"/>
    <w:rsid w:val="00FF6BAB"/>
    <w:rsid w:val="00FF7F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9009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39" w:unhideWhenUsed="1" w:qFormat="1"/>
    <w:lsdException w:name="toc 3" w:semiHidden="1" w:uiPriority="39"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B89"/>
    <w:pPr>
      <w:spacing w:before="240" w:after="240" w:line="240" w:lineRule="exact"/>
    </w:pPr>
    <w:rPr>
      <w:rFonts w:ascii="Book Antiqua" w:eastAsia="Times New Roman" w:hAnsi="Book Antiqua" w:cs="Times New Roman"/>
      <w:sz w:val="19"/>
      <w:szCs w:val="20"/>
      <w:lang w:eastAsia="en-AU"/>
    </w:rPr>
  </w:style>
  <w:style w:type="paragraph" w:styleId="Heading1">
    <w:name w:val="heading 1"/>
    <w:basedOn w:val="HeadingBase"/>
    <w:next w:val="Normal"/>
    <w:link w:val="Heading1Char"/>
    <w:qFormat/>
    <w:rsid w:val="00CE5B89"/>
    <w:pPr>
      <w:spacing w:after="240"/>
      <w:outlineLvl w:val="0"/>
    </w:pPr>
    <w:rPr>
      <w:rFonts w:ascii="Arial Bold" w:hAnsi="Arial Bold"/>
      <w:b/>
      <w:kern w:val="34"/>
      <w:sz w:val="36"/>
    </w:rPr>
  </w:style>
  <w:style w:type="paragraph" w:styleId="Heading2">
    <w:name w:val="heading 2"/>
    <w:basedOn w:val="HeadingBase"/>
    <w:next w:val="Normal"/>
    <w:link w:val="Heading2Char"/>
    <w:qFormat/>
    <w:rsid w:val="00CE5B89"/>
    <w:pPr>
      <w:spacing w:before="240" w:after="240"/>
      <w:outlineLvl w:val="1"/>
    </w:pPr>
    <w:rPr>
      <w:rFonts w:ascii="Arial Bold" w:hAnsi="Arial Bold"/>
      <w:b/>
      <w:sz w:val="26"/>
    </w:rPr>
  </w:style>
  <w:style w:type="paragraph" w:styleId="Heading3">
    <w:name w:val="heading 3"/>
    <w:basedOn w:val="HeadingBase"/>
    <w:next w:val="Normal"/>
    <w:link w:val="Heading3Char"/>
    <w:qFormat/>
    <w:rsid w:val="00CE5B89"/>
    <w:pPr>
      <w:spacing w:before="120" w:after="120"/>
      <w:outlineLvl w:val="2"/>
    </w:pPr>
    <w:rPr>
      <w:rFonts w:ascii="Arial Bold" w:hAnsi="Arial Bold"/>
      <w:b/>
      <w:sz w:val="22"/>
    </w:rPr>
  </w:style>
  <w:style w:type="paragraph" w:styleId="Heading4">
    <w:name w:val="heading 4"/>
    <w:basedOn w:val="HeadingBase"/>
    <w:next w:val="Normal"/>
    <w:link w:val="Heading4Char"/>
    <w:qFormat/>
    <w:rsid w:val="00CE5B89"/>
    <w:pPr>
      <w:spacing w:after="120"/>
      <w:outlineLvl w:val="3"/>
    </w:pPr>
    <w:rPr>
      <w:rFonts w:ascii="Arial Bold" w:hAnsi="Arial Bold"/>
      <w:b/>
      <w:sz w:val="20"/>
    </w:rPr>
  </w:style>
  <w:style w:type="paragraph" w:styleId="Heading5">
    <w:name w:val="heading 5"/>
    <w:basedOn w:val="HeadingBase"/>
    <w:next w:val="Normal"/>
    <w:link w:val="Heading5Char"/>
    <w:qFormat/>
    <w:rsid w:val="00CE5B89"/>
    <w:pPr>
      <w:spacing w:after="120"/>
      <w:outlineLvl w:val="4"/>
    </w:pPr>
    <w:rPr>
      <w:bCs/>
      <w:i/>
      <w:iCs/>
      <w:sz w:val="20"/>
      <w:szCs w:val="26"/>
    </w:rPr>
  </w:style>
  <w:style w:type="paragraph" w:styleId="Heading6">
    <w:name w:val="heading 6"/>
    <w:basedOn w:val="HeadingBase"/>
    <w:next w:val="Normal"/>
    <w:link w:val="Heading6Char"/>
    <w:rsid w:val="00CE5B89"/>
    <w:pPr>
      <w:spacing w:after="120"/>
      <w:outlineLvl w:val="5"/>
    </w:pPr>
    <w:rPr>
      <w:bCs/>
      <w:sz w:val="20"/>
      <w:szCs w:val="22"/>
    </w:rPr>
  </w:style>
  <w:style w:type="paragraph" w:styleId="Heading7">
    <w:name w:val="heading 7"/>
    <w:basedOn w:val="HeadingBase"/>
    <w:next w:val="Normal"/>
    <w:link w:val="Heading7Char"/>
    <w:rsid w:val="00CE5B89"/>
    <w:pPr>
      <w:spacing w:before="120"/>
      <w:outlineLvl w:val="6"/>
    </w:pPr>
    <w:rPr>
      <w:sz w:val="20"/>
      <w:szCs w:val="24"/>
    </w:rPr>
  </w:style>
  <w:style w:type="paragraph" w:styleId="Heading8">
    <w:name w:val="heading 8"/>
    <w:basedOn w:val="HeadingBase"/>
    <w:next w:val="Normal"/>
    <w:link w:val="Heading8Char"/>
    <w:rsid w:val="00CE5B89"/>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CE5B89"/>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CE5B89"/>
    <w:pPr>
      <w:tabs>
        <w:tab w:val="center" w:pos="4153"/>
        <w:tab w:val="right" w:pos="8306"/>
      </w:tabs>
    </w:pPr>
  </w:style>
  <w:style w:type="character" w:customStyle="1" w:styleId="HeaderChar">
    <w:name w:val="Header Char"/>
    <w:basedOn w:val="DefaultParagraphFont"/>
    <w:link w:val="Header"/>
    <w:rsid w:val="00CE5B89"/>
    <w:rPr>
      <w:rFonts w:ascii="Arial" w:eastAsia="Times New Roman" w:hAnsi="Arial" w:cs="Times New Roman"/>
      <w:color w:val="002A54" w:themeColor="text2"/>
      <w:position w:val="-1"/>
      <w:sz w:val="18"/>
      <w:szCs w:val="20"/>
      <w:lang w:eastAsia="en-AU"/>
    </w:rPr>
  </w:style>
  <w:style w:type="paragraph" w:styleId="Footer">
    <w:name w:val="footer"/>
    <w:basedOn w:val="FooterBase"/>
    <w:link w:val="FooterChar"/>
    <w:rsid w:val="00CE5B89"/>
    <w:pPr>
      <w:tabs>
        <w:tab w:val="center" w:pos="4153"/>
        <w:tab w:val="right" w:pos="8306"/>
      </w:tabs>
    </w:pPr>
  </w:style>
  <w:style w:type="character" w:customStyle="1" w:styleId="FooterChar">
    <w:name w:val="Footer Char"/>
    <w:basedOn w:val="DefaultParagraphFont"/>
    <w:link w:val="Footer"/>
    <w:rsid w:val="00CE5B89"/>
    <w:rPr>
      <w:rFonts w:ascii="Arial" w:eastAsia="Times New Roman" w:hAnsi="Arial" w:cs="Times New Roman"/>
      <w:color w:val="002A54" w:themeColor="text2"/>
      <w:sz w:val="20"/>
      <w:szCs w:val="20"/>
      <w:lang w:eastAsia="en-AU"/>
    </w:rPr>
  </w:style>
  <w:style w:type="paragraph" w:customStyle="1" w:styleId="SecurityClassificationHeader">
    <w:name w:val="Security Classification Header"/>
    <w:link w:val="SecurityClassificationHeaderChar"/>
    <w:rsid w:val="00CE5B89"/>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HeaderChar">
    <w:name w:val="Security Classification Header Char"/>
    <w:basedOn w:val="HeaderChar"/>
    <w:link w:val="SecurityClassificationHeader"/>
    <w:rsid w:val="00CE5B89"/>
    <w:rPr>
      <w:rFonts w:ascii="Calibri" w:eastAsia="Times New Roman" w:hAnsi="Calibri" w:cs="Calibri"/>
      <w:b/>
      <w:caps/>
      <w:color w:val="002A54" w:themeColor="text2"/>
      <w:position w:val="-1"/>
      <w:sz w:val="24"/>
      <w:szCs w:val="20"/>
      <w:lang w:eastAsia="en-AU"/>
    </w:rPr>
  </w:style>
  <w:style w:type="paragraph" w:customStyle="1" w:styleId="SecurityClassificationFooter">
    <w:name w:val="Security Classification Footer"/>
    <w:link w:val="SecurityClassificationFooterChar"/>
    <w:rsid w:val="00CE5B89"/>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FooterChar">
    <w:name w:val="Security Classification Footer Char"/>
    <w:basedOn w:val="HeaderChar"/>
    <w:link w:val="SecurityClassificationFooter"/>
    <w:rsid w:val="00CE5B89"/>
    <w:rPr>
      <w:rFonts w:ascii="Calibri" w:eastAsia="Times New Roman" w:hAnsi="Calibri" w:cs="Calibri"/>
      <w:b/>
      <w:caps/>
      <w:color w:val="002A54" w:themeColor="text2"/>
      <w:position w:val="-1"/>
      <w:sz w:val="24"/>
      <w:szCs w:val="20"/>
      <w:lang w:eastAsia="en-AU"/>
    </w:rPr>
  </w:style>
  <w:style w:type="paragraph" w:customStyle="1" w:styleId="DLMSecurityHeader">
    <w:name w:val="DLM Security Header"/>
    <w:link w:val="DLMSecurityHeaderChar"/>
    <w:rsid w:val="00CE5B89"/>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DLMSecurityHeaderChar">
    <w:name w:val="DLM Security Header Char"/>
    <w:basedOn w:val="HeaderChar"/>
    <w:link w:val="DLMSecurityHeader"/>
    <w:rsid w:val="00CE5B89"/>
    <w:rPr>
      <w:rFonts w:ascii="Calibri" w:eastAsia="Times New Roman" w:hAnsi="Calibri" w:cs="Calibri"/>
      <w:b/>
      <w:caps/>
      <w:color w:val="002A54" w:themeColor="text2"/>
      <w:position w:val="-1"/>
      <w:sz w:val="24"/>
      <w:szCs w:val="20"/>
      <w:lang w:eastAsia="en-AU"/>
    </w:rPr>
  </w:style>
  <w:style w:type="paragraph" w:customStyle="1" w:styleId="DLMSecurityFooter">
    <w:name w:val="DLM Security Footer"/>
    <w:link w:val="DLMSecurityFooterChar"/>
    <w:rsid w:val="00CE5B89"/>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DLMSecurityFooterChar">
    <w:name w:val="DLM Security Footer Char"/>
    <w:basedOn w:val="HeaderChar"/>
    <w:link w:val="DLMSecurityFooter"/>
    <w:rsid w:val="00CE5B89"/>
    <w:rPr>
      <w:rFonts w:ascii="Calibri" w:eastAsia="Times New Roman" w:hAnsi="Calibri" w:cs="Calibri"/>
      <w:b/>
      <w:caps/>
      <w:color w:val="002A54" w:themeColor="text2"/>
      <w:position w:val="-1"/>
      <w:sz w:val="24"/>
      <w:szCs w:val="20"/>
      <w:lang w:eastAsia="en-AU"/>
    </w:rPr>
  </w:style>
  <w:style w:type="paragraph" w:customStyle="1" w:styleId="Classification">
    <w:name w:val="Classification"/>
    <w:basedOn w:val="HeadingBase"/>
    <w:rsid w:val="00CE5B89"/>
    <w:pPr>
      <w:jc w:val="center"/>
    </w:pPr>
    <w:rPr>
      <w:rFonts w:ascii="Arial Bold" w:hAnsi="Arial Bold"/>
      <w:b/>
      <w:caps/>
      <w:sz w:val="22"/>
    </w:rPr>
  </w:style>
  <w:style w:type="paragraph" w:customStyle="1" w:styleId="FileProperties">
    <w:name w:val="File Properties"/>
    <w:basedOn w:val="Normal"/>
    <w:rsid w:val="00CE5B89"/>
    <w:pPr>
      <w:spacing w:before="0"/>
    </w:pPr>
    <w:rPr>
      <w:i/>
    </w:rPr>
  </w:style>
  <w:style w:type="paragraph" w:customStyle="1" w:styleId="AlphaParagraph">
    <w:name w:val="Alpha Paragraph"/>
    <w:basedOn w:val="Normal"/>
    <w:rsid w:val="00CE5B89"/>
    <w:pPr>
      <w:numPr>
        <w:numId w:val="1"/>
      </w:numPr>
      <w:tabs>
        <w:tab w:val="clear" w:pos="567"/>
        <w:tab w:val="num" w:pos="360"/>
      </w:tabs>
      <w:ind w:left="0" w:firstLine="0"/>
    </w:pPr>
  </w:style>
  <w:style w:type="paragraph" w:customStyle="1" w:styleId="HeadingBase">
    <w:name w:val="Heading Base"/>
    <w:rsid w:val="00CE5B89"/>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CE5B89"/>
    <w:rPr>
      <w:bCs/>
      <w:color w:val="002A54" w:themeColor="text2"/>
      <w:szCs w:val="52"/>
    </w:rPr>
  </w:style>
  <w:style w:type="paragraph" w:customStyle="1" w:styleId="BoxText">
    <w:name w:val="Box Text"/>
    <w:basedOn w:val="Normal"/>
    <w:link w:val="BoxTextChar"/>
    <w:qFormat/>
    <w:rsid w:val="00CE5B89"/>
    <w:pPr>
      <w:spacing w:before="120" w:after="120" w:line="240" w:lineRule="auto"/>
    </w:pPr>
  </w:style>
  <w:style w:type="paragraph" w:customStyle="1" w:styleId="BoxBullet">
    <w:name w:val="Box Bullet"/>
    <w:basedOn w:val="BoxText"/>
    <w:rsid w:val="00CE5B89"/>
    <w:pPr>
      <w:numPr>
        <w:numId w:val="2"/>
      </w:numPr>
    </w:pPr>
  </w:style>
  <w:style w:type="paragraph" w:customStyle="1" w:styleId="BoxHeading">
    <w:name w:val="Box Heading"/>
    <w:basedOn w:val="HeadingBase"/>
    <w:next w:val="BoxText"/>
    <w:rsid w:val="00CE5B89"/>
    <w:pPr>
      <w:spacing w:before="120" w:after="120"/>
    </w:pPr>
    <w:rPr>
      <w:b/>
      <w:sz w:val="20"/>
    </w:rPr>
  </w:style>
  <w:style w:type="character" w:customStyle="1" w:styleId="Heading6Char">
    <w:name w:val="Heading 6 Char"/>
    <w:basedOn w:val="DefaultParagraphFont"/>
    <w:link w:val="Heading6"/>
    <w:rsid w:val="00CE5B89"/>
    <w:rPr>
      <w:rFonts w:ascii="Arial" w:eastAsia="Times New Roman" w:hAnsi="Arial" w:cs="Times New Roman"/>
      <w:bCs/>
      <w:sz w:val="20"/>
      <w:lang w:eastAsia="en-AU"/>
    </w:rPr>
  </w:style>
  <w:style w:type="paragraph" w:customStyle="1" w:styleId="Bullet">
    <w:name w:val="Bullet"/>
    <w:basedOn w:val="Normal"/>
    <w:qFormat/>
    <w:rsid w:val="00CE5B89"/>
    <w:pPr>
      <w:numPr>
        <w:numId w:val="3"/>
      </w:numPr>
      <w:spacing w:after="160"/>
      <w:ind w:left="284" w:hanging="284"/>
    </w:pPr>
  </w:style>
  <w:style w:type="paragraph" w:styleId="Caption">
    <w:name w:val="caption"/>
    <w:basedOn w:val="Normal"/>
    <w:next w:val="Normal"/>
    <w:rsid w:val="00CE5B89"/>
    <w:rPr>
      <w:b/>
      <w:bCs/>
    </w:rPr>
  </w:style>
  <w:style w:type="paragraph" w:customStyle="1" w:styleId="ChartandTableFootnote">
    <w:name w:val="Chart and Table Footnote"/>
    <w:basedOn w:val="HeadingBase"/>
    <w:next w:val="Normal"/>
    <w:rsid w:val="00CE5B89"/>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link w:val="ChartandTableFootnoteAlphaChar"/>
    <w:rsid w:val="00CE5B89"/>
    <w:pPr>
      <w:keepNext w:val="0"/>
      <w:numPr>
        <w:numId w:val="5"/>
      </w:numPr>
      <w:spacing w:before="30"/>
    </w:pPr>
    <w:rPr>
      <w:color w:val="000000"/>
      <w:sz w:val="16"/>
    </w:rPr>
  </w:style>
  <w:style w:type="paragraph" w:customStyle="1" w:styleId="ChartandTableFootnoteSmall">
    <w:name w:val="Chart and Table Footnote Small"/>
    <w:basedOn w:val="HeadingBase"/>
    <w:next w:val="Normal"/>
    <w:rsid w:val="00CE5B89"/>
    <w:pPr>
      <w:keepNext w:val="0"/>
      <w:tabs>
        <w:tab w:val="left" w:pos="284"/>
      </w:tabs>
      <w:jc w:val="both"/>
    </w:pPr>
    <w:rPr>
      <w:color w:val="000000"/>
      <w:sz w:val="15"/>
    </w:rPr>
  </w:style>
  <w:style w:type="paragraph" w:customStyle="1" w:styleId="ChartGraphic">
    <w:name w:val="Chart Graphic"/>
    <w:basedOn w:val="HeadingBase"/>
    <w:rsid w:val="00CE5B89"/>
    <w:rPr>
      <w:sz w:val="20"/>
    </w:rPr>
  </w:style>
  <w:style w:type="paragraph" w:customStyle="1" w:styleId="TableLine">
    <w:name w:val="Table Line"/>
    <w:basedOn w:val="Normal"/>
    <w:next w:val="Normal"/>
    <w:autoRedefine/>
    <w:rsid w:val="00CE5B89"/>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CE5B89"/>
    <w:pPr>
      <w:spacing w:after="60"/>
    </w:pPr>
    <w:rPr>
      <w:sz w:val="19"/>
    </w:rPr>
  </w:style>
  <w:style w:type="paragraph" w:styleId="CommentText">
    <w:name w:val="annotation text"/>
    <w:basedOn w:val="Normal"/>
    <w:link w:val="CommentTextChar"/>
    <w:rsid w:val="00CE5B89"/>
  </w:style>
  <w:style w:type="character" w:customStyle="1" w:styleId="CommentTextChar">
    <w:name w:val="Comment Text Char"/>
    <w:basedOn w:val="DefaultParagraphFont"/>
    <w:link w:val="CommentText"/>
    <w:rsid w:val="00CE5B89"/>
    <w:rPr>
      <w:rFonts w:ascii="Book Antiqua" w:eastAsia="Times New Roman" w:hAnsi="Book Antiqua" w:cs="Times New Roman"/>
      <w:sz w:val="19"/>
      <w:szCs w:val="20"/>
      <w:lang w:eastAsia="en-AU"/>
    </w:rPr>
  </w:style>
  <w:style w:type="paragraph" w:styleId="CommentSubject">
    <w:name w:val="annotation subject"/>
    <w:basedOn w:val="CommentText"/>
    <w:next w:val="CommentText"/>
    <w:link w:val="CommentSubjectChar"/>
    <w:semiHidden/>
    <w:rsid w:val="00CE5B89"/>
    <w:rPr>
      <w:b/>
      <w:bCs/>
    </w:rPr>
  </w:style>
  <w:style w:type="character" w:customStyle="1" w:styleId="CommentSubjectChar">
    <w:name w:val="Comment Subject Char"/>
    <w:basedOn w:val="CommentTextChar"/>
    <w:link w:val="CommentSubject"/>
    <w:semiHidden/>
    <w:rsid w:val="00CE5B89"/>
    <w:rPr>
      <w:rFonts w:ascii="Book Antiqua" w:eastAsia="Times New Roman" w:hAnsi="Book Antiqua" w:cs="Times New Roman"/>
      <w:b/>
      <w:bCs/>
      <w:sz w:val="19"/>
      <w:szCs w:val="20"/>
      <w:lang w:eastAsia="en-AU"/>
    </w:rPr>
  </w:style>
  <w:style w:type="paragraph" w:customStyle="1" w:styleId="ContentsHeading">
    <w:name w:val="Contents Heading"/>
    <w:basedOn w:val="Heading1"/>
    <w:next w:val="Normal"/>
    <w:rsid w:val="00CE5B89"/>
    <w:pPr>
      <w:spacing w:after="720"/>
      <w:outlineLvl w:val="9"/>
    </w:pPr>
  </w:style>
  <w:style w:type="character" w:styleId="Strong">
    <w:name w:val="Strong"/>
    <w:basedOn w:val="DefaultParagraphFont"/>
    <w:uiPriority w:val="22"/>
    <w:qFormat/>
    <w:rsid w:val="00CE5B89"/>
    <w:rPr>
      <w:b/>
      <w:bCs/>
      <w:color w:val="auto"/>
    </w:rPr>
  </w:style>
  <w:style w:type="paragraph" w:customStyle="1" w:styleId="Dash">
    <w:name w:val="Dash"/>
    <w:basedOn w:val="Normal"/>
    <w:qFormat/>
    <w:rsid w:val="00CE5B89"/>
    <w:pPr>
      <w:numPr>
        <w:ilvl w:val="1"/>
        <w:numId w:val="3"/>
      </w:numPr>
      <w:tabs>
        <w:tab w:val="left" w:pos="567"/>
      </w:tabs>
    </w:pPr>
  </w:style>
  <w:style w:type="paragraph" w:styleId="DocumentMap">
    <w:name w:val="Document Map"/>
    <w:basedOn w:val="Normal"/>
    <w:link w:val="DocumentMapChar"/>
    <w:semiHidden/>
    <w:rsid w:val="00CE5B89"/>
    <w:pPr>
      <w:shd w:val="clear" w:color="auto" w:fill="000080"/>
    </w:pPr>
    <w:rPr>
      <w:rFonts w:ascii="Tahoma" w:hAnsi="Tahoma" w:cs="Tahoma"/>
    </w:rPr>
  </w:style>
  <w:style w:type="character" w:customStyle="1" w:styleId="DocumentMapChar">
    <w:name w:val="Document Map Char"/>
    <w:basedOn w:val="DefaultParagraphFont"/>
    <w:link w:val="DocumentMap"/>
    <w:semiHidden/>
    <w:rsid w:val="00CE5B89"/>
    <w:rPr>
      <w:rFonts w:ascii="Tahoma" w:eastAsia="Times New Roman" w:hAnsi="Tahoma" w:cs="Tahoma"/>
      <w:sz w:val="19"/>
      <w:szCs w:val="20"/>
      <w:shd w:val="clear" w:color="auto" w:fill="000080"/>
      <w:lang w:eastAsia="en-AU"/>
    </w:rPr>
  </w:style>
  <w:style w:type="paragraph" w:customStyle="1" w:styleId="DoubleDot">
    <w:name w:val="Double Dot"/>
    <w:basedOn w:val="Normal"/>
    <w:rsid w:val="00CE5B89"/>
    <w:pPr>
      <w:numPr>
        <w:ilvl w:val="2"/>
        <w:numId w:val="3"/>
      </w:numPr>
      <w:tabs>
        <w:tab w:val="clear" w:pos="850"/>
        <w:tab w:val="num" w:pos="360"/>
        <w:tab w:val="left" w:pos="851"/>
      </w:tabs>
    </w:pPr>
  </w:style>
  <w:style w:type="paragraph" w:customStyle="1" w:styleId="FigureHeading">
    <w:name w:val="Figure Heading"/>
    <w:basedOn w:val="HeadingBase"/>
    <w:next w:val="ChartGraphic"/>
    <w:rsid w:val="00CE5B89"/>
    <w:pPr>
      <w:spacing w:before="120" w:after="20"/>
    </w:pPr>
    <w:rPr>
      <w:b/>
      <w:sz w:val="20"/>
    </w:rPr>
  </w:style>
  <w:style w:type="paragraph" w:customStyle="1" w:styleId="FooterBase">
    <w:name w:val="Footer Base"/>
    <w:rsid w:val="00CE5B89"/>
    <w:pPr>
      <w:spacing w:after="0" w:line="240" w:lineRule="auto"/>
      <w:jc w:val="center"/>
    </w:pPr>
    <w:rPr>
      <w:rFonts w:ascii="Arial" w:eastAsia="Times New Roman" w:hAnsi="Arial" w:cs="Times New Roman"/>
      <w:color w:val="002A54" w:themeColor="text2"/>
      <w:sz w:val="20"/>
      <w:szCs w:val="20"/>
      <w:lang w:eastAsia="en-AU"/>
    </w:rPr>
  </w:style>
  <w:style w:type="paragraph" w:customStyle="1" w:styleId="FooterEven">
    <w:name w:val="Footer Even"/>
    <w:basedOn w:val="Footer"/>
    <w:rsid w:val="00CE5B89"/>
    <w:pPr>
      <w:pBdr>
        <w:top w:val="single" w:sz="4" w:space="10" w:color="002A54" w:themeColor="text2"/>
      </w:pBdr>
      <w:jc w:val="left"/>
    </w:pPr>
    <w:rPr>
      <w:sz w:val="18"/>
    </w:rPr>
  </w:style>
  <w:style w:type="paragraph" w:customStyle="1" w:styleId="FooterOdd">
    <w:name w:val="Footer Odd"/>
    <w:basedOn w:val="Footer"/>
    <w:qFormat/>
    <w:rsid w:val="00CE5B89"/>
    <w:pPr>
      <w:pBdr>
        <w:top w:val="single" w:sz="4" w:space="10" w:color="002A54" w:themeColor="text2"/>
      </w:pBdr>
      <w:jc w:val="right"/>
    </w:pPr>
    <w:rPr>
      <w:sz w:val="18"/>
    </w:rPr>
  </w:style>
  <w:style w:type="character" w:styleId="FootnoteReference">
    <w:name w:val="footnote reference"/>
    <w:basedOn w:val="DefaultParagraphFont"/>
    <w:rsid w:val="00CE5B89"/>
    <w:rPr>
      <w:vertAlign w:val="superscript"/>
    </w:rPr>
  </w:style>
  <w:style w:type="paragraph" w:styleId="FootnoteText">
    <w:name w:val="footnote text"/>
    <w:basedOn w:val="Normal"/>
    <w:link w:val="FootnoteTextChar"/>
    <w:rsid w:val="00CE5B89"/>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CE5B89"/>
    <w:rPr>
      <w:rFonts w:ascii="Book Antiqua" w:eastAsia="Times New Roman" w:hAnsi="Book Antiqua" w:cs="Times New Roman"/>
      <w:sz w:val="18"/>
      <w:szCs w:val="20"/>
      <w:lang w:eastAsia="en-AU"/>
    </w:rPr>
  </w:style>
  <w:style w:type="character" w:customStyle="1" w:styleId="FramedHeader">
    <w:name w:val="Framed Header"/>
    <w:basedOn w:val="DefaultParagraphFont"/>
    <w:rsid w:val="00CE5B89"/>
    <w:rPr>
      <w:rFonts w:ascii="Book Antiqua" w:hAnsi="Book Antiqua"/>
      <w:i/>
      <w:dstrike w:val="0"/>
      <w:color w:val="auto"/>
      <w:sz w:val="20"/>
      <w:vertAlign w:val="baseline"/>
    </w:rPr>
  </w:style>
  <w:style w:type="paragraph" w:customStyle="1" w:styleId="HeaderBase">
    <w:name w:val="Header Base"/>
    <w:rsid w:val="00CE5B89"/>
    <w:pPr>
      <w:spacing w:after="0" w:line="240" w:lineRule="auto"/>
    </w:pPr>
    <w:rPr>
      <w:rFonts w:ascii="Arial" w:eastAsia="Times New Roman" w:hAnsi="Arial" w:cs="Times New Roman"/>
      <w:color w:val="002A54" w:themeColor="text2"/>
      <w:position w:val="-1"/>
      <w:sz w:val="18"/>
      <w:szCs w:val="20"/>
      <w:lang w:eastAsia="en-AU"/>
    </w:rPr>
  </w:style>
  <w:style w:type="paragraph" w:customStyle="1" w:styleId="HeaderEven">
    <w:name w:val="Header Even"/>
    <w:basedOn w:val="HeaderBase"/>
    <w:rsid w:val="00CE5B89"/>
  </w:style>
  <w:style w:type="paragraph" w:customStyle="1" w:styleId="HeaderOdd">
    <w:name w:val="Header Odd"/>
    <w:basedOn w:val="HeaderBase"/>
    <w:rsid w:val="00CE5B89"/>
    <w:pPr>
      <w:jc w:val="right"/>
    </w:pPr>
  </w:style>
  <w:style w:type="character" w:customStyle="1" w:styleId="Heading1Char">
    <w:name w:val="Heading 1 Char"/>
    <w:basedOn w:val="DefaultParagraphFont"/>
    <w:link w:val="Heading1"/>
    <w:rsid w:val="00CE5B89"/>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CE5B89"/>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CE5B89"/>
    <w:rPr>
      <w:rFonts w:ascii="Arial Bold" w:eastAsia="Times New Roman" w:hAnsi="Arial Bold" w:cs="Times New Roman"/>
      <w:b/>
      <w:szCs w:val="20"/>
      <w:lang w:eastAsia="en-AU"/>
    </w:rPr>
  </w:style>
  <w:style w:type="paragraph" w:customStyle="1" w:styleId="Heading3noTOC">
    <w:name w:val="Heading 3 no TOC"/>
    <w:basedOn w:val="Heading3"/>
    <w:rsid w:val="00CE5B89"/>
  </w:style>
  <w:style w:type="character" w:customStyle="1" w:styleId="Heading4Char">
    <w:name w:val="Heading 4 Char"/>
    <w:basedOn w:val="DefaultParagraphFont"/>
    <w:link w:val="Heading4"/>
    <w:rsid w:val="00CE5B89"/>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CE5B89"/>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CE5B89"/>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CE5B89"/>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CE5B89"/>
    <w:rPr>
      <w:rFonts w:ascii="Times New Roman" w:hAnsi="Times New Roman"/>
      <w:vanish/>
      <w:sz w:val="16"/>
    </w:rPr>
  </w:style>
  <w:style w:type="character" w:styleId="Hyperlink">
    <w:name w:val="Hyperlink"/>
    <w:basedOn w:val="DefaultParagraphFont"/>
    <w:uiPriority w:val="99"/>
    <w:unhideWhenUsed/>
    <w:rsid w:val="00CE5B89"/>
    <w:rPr>
      <w:color w:val="auto"/>
      <w:u w:val="single"/>
    </w:rPr>
  </w:style>
  <w:style w:type="paragraph" w:styleId="Index4">
    <w:name w:val="index 4"/>
    <w:basedOn w:val="Normal"/>
    <w:next w:val="Normal"/>
    <w:autoRedefine/>
    <w:semiHidden/>
    <w:rsid w:val="00CE5B89"/>
    <w:pPr>
      <w:ind w:left="800" w:hanging="200"/>
    </w:pPr>
  </w:style>
  <w:style w:type="paragraph" w:styleId="Index5">
    <w:name w:val="index 5"/>
    <w:basedOn w:val="Normal"/>
    <w:next w:val="Normal"/>
    <w:autoRedefine/>
    <w:semiHidden/>
    <w:rsid w:val="00CE5B89"/>
    <w:pPr>
      <w:ind w:left="1000" w:hanging="200"/>
    </w:pPr>
  </w:style>
  <w:style w:type="paragraph" w:styleId="Index6">
    <w:name w:val="index 6"/>
    <w:basedOn w:val="Normal"/>
    <w:next w:val="Normal"/>
    <w:autoRedefine/>
    <w:semiHidden/>
    <w:rsid w:val="00CE5B89"/>
    <w:pPr>
      <w:ind w:left="1200" w:hanging="200"/>
    </w:pPr>
  </w:style>
  <w:style w:type="paragraph" w:styleId="Index7">
    <w:name w:val="index 7"/>
    <w:basedOn w:val="Normal"/>
    <w:next w:val="Normal"/>
    <w:autoRedefine/>
    <w:semiHidden/>
    <w:rsid w:val="00CE5B89"/>
    <w:pPr>
      <w:ind w:left="1400" w:hanging="200"/>
    </w:pPr>
  </w:style>
  <w:style w:type="paragraph" w:styleId="Index8">
    <w:name w:val="index 8"/>
    <w:basedOn w:val="Normal"/>
    <w:next w:val="Normal"/>
    <w:autoRedefine/>
    <w:semiHidden/>
    <w:rsid w:val="00CE5B89"/>
    <w:pPr>
      <w:ind w:left="1600" w:hanging="200"/>
    </w:pPr>
  </w:style>
  <w:style w:type="paragraph" w:styleId="Index9">
    <w:name w:val="index 9"/>
    <w:basedOn w:val="Normal"/>
    <w:next w:val="Normal"/>
    <w:autoRedefine/>
    <w:semiHidden/>
    <w:rsid w:val="00CE5B89"/>
    <w:pPr>
      <w:ind w:left="1800" w:hanging="200"/>
    </w:pPr>
  </w:style>
  <w:style w:type="paragraph" w:styleId="MacroText">
    <w:name w:val="macro"/>
    <w:link w:val="MacroTextChar"/>
    <w:unhideWhenUsed/>
    <w:rsid w:val="00CE5B89"/>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CE5B89"/>
    <w:rPr>
      <w:rFonts w:ascii="Courier New" w:eastAsia="Times New Roman" w:hAnsi="Courier New" w:cs="Courier New"/>
      <w:sz w:val="20"/>
      <w:szCs w:val="20"/>
      <w:lang w:eastAsia="en-AU"/>
    </w:rPr>
  </w:style>
  <w:style w:type="paragraph" w:styleId="NormalIndent">
    <w:name w:val="Normal Indent"/>
    <w:basedOn w:val="Normal"/>
    <w:rsid w:val="00CE5B89"/>
    <w:pPr>
      <w:ind w:left="567"/>
    </w:pPr>
  </w:style>
  <w:style w:type="paragraph" w:customStyle="1" w:styleId="NoteTableHeading">
    <w:name w:val="Note Table Heading"/>
    <w:basedOn w:val="HeadingBase"/>
    <w:next w:val="Normal"/>
    <w:rsid w:val="00CE5B89"/>
    <w:pPr>
      <w:spacing w:before="240"/>
      <w:outlineLvl w:val="2"/>
    </w:pPr>
    <w:rPr>
      <w:b/>
      <w:sz w:val="20"/>
    </w:rPr>
  </w:style>
  <w:style w:type="paragraph" w:customStyle="1" w:styleId="OverviewParagraph">
    <w:name w:val="Overview Paragraph"/>
    <w:basedOn w:val="Normal"/>
    <w:rsid w:val="00CE5B89"/>
    <w:pPr>
      <w:spacing w:before="120" w:after="120" w:line="240" w:lineRule="auto"/>
    </w:pPr>
  </w:style>
  <w:style w:type="character" w:styleId="PageNumber">
    <w:name w:val="page number"/>
    <w:basedOn w:val="DefaultParagraphFont"/>
    <w:rsid w:val="00CE5B89"/>
    <w:rPr>
      <w:rFonts w:ascii="Arial" w:hAnsi="Arial" w:cs="Arial"/>
    </w:rPr>
  </w:style>
  <w:style w:type="paragraph" w:customStyle="1" w:styleId="SingleParagraph">
    <w:name w:val="Single Paragraph"/>
    <w:basedOn w:val="Normal"/>
    <w:rsid w:val="00CE5B89"/>
    <w:pPr>
      <w:spacing w:before="0" w:after="0"/>
    </w:pPr>
  </w:style>
  <w:style w:type="paragraph" w:customStyle="1" w:styleId="Source">
    <w:name w:val="Source"/>
    <w:basedOn w:val="Normal"/>
    <w:rsid w:val="00CE5B89"/>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CE5B89"/>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CE5B89"/>
    <w:pPr>
      <w:jc w:val="center"/>
    </w:pPr>
  </w:style>
  <w:style w:type="paragraph" w:customStyle="1" w:styleId="TableColumnHeadingLeft">
    <w:name w:val="Table Column Heading Left"/>
    <w:basedOn w:val="TableColumnHeadingBase"/>
    <w:next w:val="Normal"/>
    <w:link w:val="TableColumnHeadingLeftChar"/>
    <w:rsid w:val="00CE5B89"/>
  </w:style>
  <w:style w:type="paragraph" w:customStyle="1" w:styleId="TableColumnHeadingRight">
    <w:name w:val="Table Column Heading Right"/>
    <w:basedOn w:val="TableColumnHeadingBase"/>
    <w:next w:val="Normal"/>
    <w:rsid w:val="00CE5B89"/>
    <w:pPr>
      <w:jc w:val="right"/>
    </w:pPr>
  </w:style>
  <w:style w:type="paragraph" w:customStyle="1" w:styleId="TableGraphic">
    <w:name w:val="Table Graphic"/>
    <w:basedOn w:val="Normal"/>
    <w:next w:val="Normal"/>
    <w:rsid w:val="00CE5B89"/>
    <w:pPr>
      <w:spacing w:after="0" w:line="240" w:lineRule="auto"/>
      <w:ind w:right="-113"/>
    </w:pPr>
  </w:style>
  <w:style w:type="table" w:styleId="TableGrid">
    <w:name w:val="Table Grid"/>
    <w:basedOn w:val="TableNormal"/>
    <w:rsid w:val="00CE5B89"/>
    <w:pPr>
      <w:spacing w:after="240" w:line="260" w:lineRule="exac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link w:val="TableHeadingChar"/>
    <w:qFormat/>
    <w:rsid w:val="00CE5B89"/>
    <w:pPr>
      <w:spacing w:before="120" w:after="20"/>
    </w:pPr>
    <w:rPr>
      <w:b/>
      <w:sz w:val="20"/>
    </w:rPr>
  </w:style>
  <w:style w:type="paragraph" w:customStyle="1" w:styleId="TableHeadingcontinued">
    <w:name w:val="Table Heading continued"/>
    <w:basedOn w:val="HeadingBase"/>
    <w:next w:val="TableGraphic"/>
    <w:rsid w:val="00CE5B89"/>
    <w:pPr>
      <w:spacing w:before="120" w:after="20"/>
    </w:pPr>
    <w:rPr>
      <w:rFonts w:ascii="Arial Bold" w:hAnsi="Arial Bold"/>
      <w:b/>
      <w:sz w:val="20"/>
    </w:rPr>
  </w:style>
  <w:style w:type="paragraph" w:styleId="TableofFigures">
    <w:name w:val="table of figures"/>
    <w:basedOn w:val="Normal"/>
    <w:next w:val="Normal"/>
    <w:rsid w:val="00CE5B89"/>
  </w:style>
  <w:style w:type="paragraph" w:customStyle="1" w:styleId="TableTextBase">
    <w:name w:val="Table Text Base"/>
    <w:basedOn w:val="Normal"/>
    <w:rsid w:val="00CE5B89"/>
    <w:pPr>
      <w:spacing w:before="20" w:after="20" w:line="240" w:lineRule="auto"/>
    </w:pPr>
    <w:rPr>
      <w:rFonts w:ascii="Arial" w:hAnsi="Arial"/>
      <w:sz w:val="16"/>
    </w:rPr>
  </w:style>
  <w:style w:type="paragraph" w:customStyle="1" w:styleId="TableTextCentred">
    <w:name w:val="Table Text Centred"/>
    <w:basedOn w:val="TableTextBase"/>
    <w:rsid w:val="00CE5B89"/>
    <w:pPr>
      <w:jc w:val="center"/>
    </w:pPr>
  </w:style>
  <w:style w:type="paragraph" w:customStyle="1" w:styleId="TableTextIndented">
    <w:name w:val="Table Text Indented"/>
    <w:basedOn w:val="TableTextBase"/>
    <w:rsid w:val="00CE5B89"/>
    <w:pPr>
      <w:ind w:left="284"/>
    </w:pPr>
  </w:style>
  <w:style w:type="paragraph" w:customStyle="1" w:styleId="TableTextLeft">
    <w:name w:val="Table Text Left"/>
    <w:basedOn w:val="TableTextBase"/>
    <w:rsid w:val="00CE5B89"/>
  </w:style>
  <w:style w:type="paragraph" w:customStyle="1" w:styleId="TableTextRight">
    <w:name w:val="Table Text Right"/>
    <w:basedOn w:val="TableTextBase"/>
    <w:rsid w:val="00CE5B89"/>
    <w:pPr>
      <w:jc w:val="right"/>
    </w:pPr>
  </w:style>
  <w:style w:type="paragraph" w:styleId="TOAHeading">
    <w:name w:val="toa heading"/>
    <w:basedOn w:val="Normal"/>
    <w:next w:val="Normal"/>
    <w:rsid w:val="00CE5B89"/>
    <w:pPr>
      <w:spacing w:before="120"/>
    </w:pPr>
    <w:rPr>
      <w:rFonts w:ascii="Arial" w:hAnsi="Arial" w:cs="Arial"/>
      <w:b/>
      <w:bCs/>
      <w:sz w:val="24"/>
      <w:szCs w:val="24"/>
    </w:rPr>
  </w:style>
  <w:style w:type="paragraph" w:styleId="TOC1">
    <w:name w:val="toc 1"/>
    <w:basedOn w:val="HeaderBase"/>
    <w:next w:val="Normal"/>
    <w:uiPriority w:val="2"/>
    <w:rsid w:val="00CE5B89"/>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qFormat/>
    <w:rsid w:val="00CE5B89"/>
    <w:pPr>
      <w:keepNext w:val="0"/>
      <w:tabs>
        <w:tab w:val="left" w:pos="992"/>
        <w:tab w:val="right" w:leader="dot" w:pos="7700"/>
      </w:tabs>
      <w:spacing w:before="60" w:after="60"/>
      <w:ind w:right="851"/>
    </w:pPr>
    <w:rPr>
      <w:sz w:val="18"/>
    </w:rPr>
  </w:style>
  <w:style w:type="paragraph" w:styleId="TOC3">
    <w:name w:val="toc 3"/>
    <w:basedOn w:val="Normal"/>
    <w:next w:val="Normal"/>
    <w:uiPriority w:val="39"/>
    <w:unhideWhenUsed/>
    <w:rsid w:val="00CE5B89"/>
    <w:pPr>
      <w:tabs>
        <w:tab w:val="left" w:pos="992"/>
        <w:tab w:val="right" w:leader="dot" w:pos="7700"/>
      </w:tabs>
      <w:spacing w:before="60" w:after="60" w:line="240" w:lineRule="auto"/>
      <w:ind w:left="284" w:right="851"/>
    </w:pPr>
    <w:rPr>
      <w:rFonts w:ascii="Arial" w:hAnsi="Arial"/>
      <w:sz w:val="18"/>
      <w:lang w:val="en-US"/>
    </w:rPr>
  </w:style>
  <w:style w:type="paragraph" w:styleId="TOC4">
    <w:name w:val="toc 4"/>
    <w:basedOn w:val="HeadingBase"/>
    <w:next w:val="Normal"/>
    <w:uiPriority w:val="2"/>
    <w:unhideWhenUsed/>
    <w:rsid w:val="00CE5B89"/>
    <w:pPr>
      <w:tabs>
        <w:tab w:val="right" w:leader="dot" w:pos="7700"/>
      </w:tabs>
      <w:spacing w:before="40"/>
      <w:ind w:right="851"/>
    </w:pPr>
    <w:rPr>
      <w:sz w:val="20"/>
    </w:rPr>
  </w:style>
  <w:style w:type="paragraph" w:styleId="TOC5">
    <w:name w:val="toc 5"/>
    <w:basedOn w:val="Normal"/>
    <w:next w:val="Normal"/>
    <w:autoRedefine/>
    <w:uiPriority w:val="2"/>
    <w:semiHidden/>
    <w:rsid w:val="00CE5B89"/>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CE5B89"/>
    <w:pPr>
      <w:tabs>
        <w:tab w:val="left" w:pos="851"/>
      </w:tabs>
      <w:ind w:left="851" w:hanging="851"/>
    </w:pPr>
    <w:rPr>
      <w:color w:val="000000"/>
    </w:rPr>
  </w:style>
  <w:style w:type="paragraph" w:styleId="TOC7">
    <w:name w:val="toc 7"/>
    <w:basedOn w:val="Normal"/>
    <w:next w:val="Normal"/>
    <w:autoRedefine/>
    <w:uiPriority w:val="2"/>
    <w:semiHidden/>
    <w:rsid w:val="00CE5B89"/>
    <w:pPr>
      <w:ind w:left="1200"/>
    </w:pPr>
  </w:style>
  <w:style w:type="paragraph" w:styleId="TOC8">
    <w:name w:val="toc 8"/>
    <w:basedOn w:val="Normal"/>
    <w:next w:val="Normal"/>
    <w:autoRedefine/>
    <w:uiPriority w:val="2"/>
    <w:semiHidden/>
    <w:rsid w:val="00CE5B89"/>
    <w:pPr>
      <w:ind w:left="1400"/>
    </w:pPr>
  </w:style>
  <w:style w:type="paragraph" w:styleId="TOC9">
    <w:name w:val="toc 9"/>
    <w:basedOn w:val="Normal"/>
    <w:next w:val="Normal"/>
    <w:autoRedefine/>
    <w:uiPriority w:val="2"/>
    <w:semiHidden/>
    <w:rsid w:val="00CE5B89"/>
    <w:pPr>
      <w:ind w:left="1600"/>
    </w:pPr>
  </w:style>
  <w:style w:type="paragraph" w:customStyle="1" w:styleId="TPHeading1">
    <w:name w:val="TP Heading 1"/>
    <w:basedOn w:val="HeadingBase"/>
    <w:semiHidden/>
    <w:rsid w:val="00CE5B89"/>
    <w:pPr>
      <w:spacing w:before="60" w:after="60"/>
      <w:ind w:left="1134"/>
    </w:pPr>
    <w:rPr>
      <w:rFonts w:ascii="Arial Bold" w:hAnsi="Arial Bold"/>
      <w:b/>
      <w:caps/>
      <w:spacing w:val="-10"/>
      <w:sz w:val="28"/>
    </w:rPr>
  </w:style>
  <w:style w:type="paragraph" w:customStyle="1" w:styleId="TPHeading2">
    <w:name w:val="TP Heading 2"/>
    <w:basedOn w:val="HeadingBase"/>
    <w:semiHidden/>
    <w:rsid w:val="00CE5B89"/>
    <w:pPr>
      <w:ind w:left="1134"/>
    </w:pPr>
    <w:rPr>
      <w:caps/>
      <w:spacing w:val="-10"/>
      <w:sz w:val="28"/>
    </w:rPr>
  </w:style>
  <w:style w:type="paragraph" w:customStyle="1" w:styleId="TPHeading3">
    <w:name w:val="TP Heading 3"/>
    <w:basedOn w:val="HeadingBase"/>
    <w:semiHidden/>
    <w:rsid w:val="00CE5B89"/>
    <w:pPr>
      <w:ind w:left="1134"/>
    </w:pPr>
    <w:rPr>
      <w:caps/>
      <w:spacing w:val="-10"/>
    </w:rPr>
  </w:style>
  <w:style w:type="paragraph" w:customStyle="1" w:styleId="TPHeading3bold">
    <w:name w:val="TP Heading 3 bold"/>
    <w:basedOn w:val="TPHeading3"/>
    <w:semiHidden/>
    <w:rsid w:val="00CE5B89"/>
    <w:rPr>
      <w:rFonts w:cs="Arial"/>
      <w:b/>
      <w:sz w:val="22"/>
      <w:szCs w:val="22"/>
    </w:rPr>
  </w:style>
  <w:style w:type="paragraph" w:customStyle="1" w:styleId="TPHEADING3boldspace">
    <w:name w:val="TP HEADING 3 bold space"/>
    <w:basedOn w:val="TPHeading3bold"/>
    <w:semiHidden/>
    <w:rsid w:val="00CE5B89"/>
    <w:pPr>
      <w:spacing w:after="120"/>
    </w:pPr>
  </w:style>
  <w:style w:type="paragraph" w:customStyle="1" w:styleId="TPHEADING3space">
    <w:name w:val="TP HEADING 3 space"/>
    <w:basedOn w:val="TPHeading3"/>
    <w:semiHidden/>
    <w:rsid w:val="00CE5B89"/>
    <w:pPr>
      <w:spacing w:before="120" w:after="120"/>
    </w:pPr>
    <w:rPr>
      <w:rFonts w:cs="Arial"/>
      <w:sz w:val="22"/>
      <w:szCs w:val="22"/>
    </w:rPr>
  </w:style>
  <w:style w:type="paragraph" w:customStyle="1" w:styleId="TPHeading4">
    <w:name w:val="TP Heading 4"/>
    <w:basedOn w:val="TPHeading3"/>
    <w:semiHidden/>
    <w:rsid w:val="00CE5B89"/>
    <w:rPr>
      <w:sz w:val="20"/>
    </w:rPr>
  </w:style>
  <w:style w:type="paragraph" w:customStyle="1" w:styleId="TPHEADING4space">
    <w:name w:val="TP HEADING 4 space"/>
    <w:basedOn w:val="TPHEADING3space"/>
    <w:semiHidden/>
    <w:rsid w:val="00CE5B89"/>
  </w:style>
  <w:style w:type="paragraph" w:customStyle="1" w:styleId="ChartLine">
    <w:name w:val="Chart Line"/>
    <w:basedOn w:val="Normal"/>
    <w:autoRedefine/>
    <w:qFormat/>
    <w:rsid w:val="00CE5B89"/>
    <w:pPr>
      <w:pBdr>
        <w:bottom w:val="single" w:sz="4" w:space="2" w:color="626A77" w:themeColor="background2" w:themeShade="E6"/>
      </w:pBdr>
      <w:spacing w:before="0" w:line="240" w:lineRule="auto"/>
    </w:pPr>
    <w:rPr>
      <w:noProof/>
      <w:sz w:val="4"/>
      <w:szCs w:val="4"/>
    </w:rPr>
  </w:style>
  <w:style w:type="paragraph" w:customStyle="1" w:styleId="ChartMainHeading">
    <w:name w:val="Chart Main Heading"/>
    <w:basedOn w:val="Normal"/>
    <w:next w:val="ChartGraphic"/>
    <w:rsid w:val="00CE5B89"/>
    <w:pPr>
      <w:keepNext/>
      <w:spacing w:before="120" w:after="20" w:line="240" w:lineRule="auto"/>
    </w:pPr>
    <w:rPr>
      <w:rFonts w:asciiTheme="majorHAnsi" w:hAnsiTheme="majorHAnsi"/>
      <w:b/>
      <w:sz w:val="20"/>
    </w:rPr>
  </w:style>
  <w:style w:type="character" w:customStyle="1" w:styleId="BoxHeading-Continued">
    <w:name w:val="Box Heading - Continued"/>
    <w:uiPriority w:val="1"/>
    <w:qFormat/>
    <w:rsid w:val="00CE5B89"/>
    <w:rPr>
      <w:sz w:val="16"/>
    </w:rPr>
  </w:style>
  <w:style w:type="paragraph" w:customStyle="1" w:styleId="Box-continuedon">
    <w:name w:val="Box - continued on"/>
    <w:basedOn w:val="Normal"/>
    <w:qFormat/>
    <w:rsid w:val="00CE5B89"/>
    <w:pPr>
      <w:jc w:val="right"/>
    </w:pPr>
    <w:rPr>
      <w:rFonts w:asciiTheme="majorHAnsi" w:hAnsiTheme="majorHAnsi" w:cstheme="majorHAnsi"/>
      <w:i/>
      <w:iCs/>
      <w:sz w:val="18"/>
      <w:szCs w:val="24"/>
    </w:rPr>
  </w:style>
  <w:style w:type="paragraph" w:customStyle="1" w:styleId="BoxHeading2">
    <w:name w:val="Box Heading 2"/>
    <w:basedOn w:val="BoxHeading"/>
    <w:autoRedefine/>
    <w:rsid w:val="00CE5B89"/>
    <w:pPr>
      <w:spacing w:after="0"/>
    </w:pPr>
    <w:rPr>
      <w:b w:val="0"/>
      <w:bCs/>
      <w:szCs w:val="14"/>
    </w:rPr>
  </w:style>
  <w:style w:type="character" w:customStyle="1" w:styleId="Heading9Char">
    <w:name w:val="Heading 9 Char"/>
    <w:basedOn w:val="DefaultParagraphFont"/>
    <w:link w:val="Heading9"/>
    <w:uiPriority w:val="9"/>
    <w:rsid w:val="00CE5B89"/>
    <w:rPr>
      <w:rFonts w:ascii="Cambria" w:eastAsia="Times New Roman" w:hAnsi="Cambria" w:cs="Times New Roman"/>
      <w:lang w:eastAsia="en-AU"/>
    </w:rPr>
  </w:style>
  <w:style w:type="paragraph" w:customStyle="1" w:styleId="GhostLine">
    <w:name w:val="Ghost Line"/>
    <w:basedOn w:val="NoSpacing"/>
    <w:qFormat/>
    <w:rsid w:val="00CE5B89"/>
    <w:pPr>
      <w:jc w:val="both"/>
    </w:pPr>
    <w:rPr>
      <w:rFonts w:ascii="Book Antiqua" w:hAnsi="Book Antiqua"/>
      <w:sz w:val="2"/>
    </w:rPr>
  </w:style>
  <w:style w:type="paragraph" w:styleId="NoSpacing">
    <w:name w:val="No Spacing"/>
    <w:uiPriority w:val="1"/>
    <w:qFormat/>
    <w:rsid w:val="00CE5B89"/>
    <w:pPr>
      <w:spacing w:after="0" w:line="240" w:lineRule="auto"/>
    </w:pPr>
    <w:rPr>
      <w:rFonts w:eastAsia="Times New Roman" w:cs="Times New Roman"/>
      <w:sz w:val="19"/>
      <w:szCs w:val="20"/>
      <w:lang w:eastAsia="en-AU"/>
    </w:rPr>
  </w:style>
  <w:style w:type="character" w:customStyle="1" w:styleId="BoxTextChar">
    <w:name w:val="Box Text Char"/>
    <w:basedOn w:val="DefaultParagraphFont"/>
    <w:link w:val="BoxText"/>
    <w:rsid w:val="00CE5B89"/>
    <w:rPr>
      <w:rFonts w:ascii="Book Antiqua" w:eastAsia="Times New Roman" w:hAnsi="Book Antiqua" w:cs="Times New Roman"/>
      <w:sz w:val="19"/>
      <w:szCs w:val="20"/>
      <w:lang w:eastAsia="en-AU"/>
    </w:rPr>
  </w:style>
  <w:style w:type="character" w:customStyle="1" w:styleId="A5">
    <w:name w:val="A5"/>
    <w:uiPriority w:val="99"/>
    <w:rsid w:val="00CE5B89"/>
    <w:rPr>
      <w:rFonts w:cs="Swiss 721 BT"/>
      <w:color w:val="000000"/>
      <w:sz w:val="20"/>
      <w:szCs w:val="20"/>
    </w:rPr>
  </w:style>
  <w:style w:type="paragraph" w:customStyle="1" w:styleId="CreativeCommonsNormal">
    <w:name w:val="Creative Commons Normal"/>
    <w:basedOn w:val="Normal"/>
    <w:qFormat/>
    <w:rsid w:val="00CE5B89"/>
    <w:pPr>
      <w:spacing w:before="120" w:after="80"/>
    </w:pPr>
  </w:style>
  <w:style w:type="paragraph" w:customStyle="1" w:styleId="CreativeCommonsH1">
    <w:name w:val="Creative Commons H1"/>
    <w:basedOn w:val="Normal"/>
    <w:qFormat/>
    <w:rsid w:val="00CE5B89"/>
    <w:pPr>
      <w:spacing w:before="160" w:after="120"/>
    </w:pPr>
    <w:rPr>
      <w:b/>
      <w:bCs/>
    </w:rPr>
  </w:style>
  <w:style w:type="paragraph" w:customStyle="1" w:styleId="CreativeCommonsIndented">
    <w:name w:val="Creative Commons Indented"/>
    <w:basedOn w:val="CreativeCommonsNormal"/>
    <w:qFormat/>
    <w:rsid w:val="00CE5B89"/>
    <w:pPr>
      <w:ind w:left="567"/>
    </w:pPr>
  </w:style>
  <w:style w:type="paragraph" w:customStyle="1" w:styleId="OutlineNumbered1">
    <w:name w:val="Outline Numbered 1"/>
    <w:basedOn w:val="Normal"/>
    <w:link w:val="OutlineNumbered1Char"/>
    <w:qFormat/>
    <w:rsid w:val="00CE5B89"/>
    <w:pPr>
      <w:numPr>
        <w:numId w:val="7"/>
      </w:numPr>
    </w:pPr>
  </w:style>
  <w:style w:type="character" w:customStyle="1" w:styleId="OutlineNumbered1Char">
    <w:name w:val="Outline Numbered 1 Char"/>
    <w:basedOn w:val="DefaultParagraphFont"/>
    <w:link w:val="OutlineNumbered1"/>
    <w:rsid w:val="00CE5B89"/>
    <w:rPr>
      <w:rFonts w:ascii="Book Antiqua" w:eastAsia="Times New Roman" w:hAnsi="Book Antiqua" w:cs="Times New Roman"/>
      <w:sz w:val="19"/>
      <w:szCs w:val="20"/>
      <w:lang w:eastAsia="en-AU"/>
    </w:rPr>
  </w:style>
  <w:style w:type="paragraph" w:customStyle="1" w:styleId="OutlineNumbered2">
    <w:name w:val="Outline Numbered 2"/>
    <w:basedOn w:val="Normal"/>
    <w:qFormat/>
    <w:rsid w:val="00CE5B89"/>
    <w:pPr>
      <w:numPr>
        <w:ilvl w:val="1"/>
        <w:numId w:val="6"/>
      </w:numPr>
    </w:pPr>
  </w:style>
  <w:style w:type="paragraph" w:customStyle="1" w:styleId="OutlineNumbered3">
    <w:name w:val="Outline Numbered 3"/>
    <w:basedOn w:val="Normal"/>
    <w:qFormat/>
    <w:rsid w:val="00CE5B89"/>
    <w:pPr>
      <w:numPr>
        <w:ilvl w:val="2"/>
        <w:numId w:val="6"/>
      </w:numPr>
    </w:pPr>
  </w:style>
  <w:style w:type="character" w:styleId="Emphasis">
    <w:name w:val="Emphasis"/>
    <w:basedOn w:val="DefaultParagraphFont"/>
    <w:uiPriority w:val="20"/>
    <w:qFormat/>
    <w:rsid w:val="00CE5B89"/>
    <w:rPr>
      <w:i/>
      <w:iCs/>
    </w:rPr>
  </w:style>
  <w:style w:type="paragraph" w:customStyle="1" w:styleId="Prelims-PaperNametitlepage">
    <w:name w:val="Prelims - Paper Name (title page)"/>
    <w:basedOn w:val="Normal"/>
    <w:qFormat/>
    <w:rsid w:val="00CE5B89"/>
    <w:pPr>
      <w:keepNext/>
      <w:spacing w:before="1880" w:after="0" w:line="240" w:lineRule="auto"/>
    </w:pPr>
    <w:rPr>
      <w:rFonts w:asciiTheme="majorHAnsi" w:hAnsiTheme="majorHAnsi" w:cstheme="majorHAnsi"/>
      <w:b/>
      <w:bCs/>
      <w:sz w:val="28"/>
      <w:szCs w:val="28"/>
    </w:rPr>
  </w:style>
  <w:style w:type="paragraph" w:customStyle="1" w:styleId="Prelims-PaperNotitlepage">
    <w:name w:val="Prelims - Paper No. (title page)"/>
    <w:basedOn w:val="Normal"/>
    <w:qFormat/>
    <w:rsid w:val="00CE5B89"/>
    <w:pPr>
      <w:keepNext/>
      <w:spacing w:before="0" w:after="4100" w:line="240" w:lineRule="auto"/>
    </w:pPr>
    <w:rPr>
      <w:rFonts w:asciiTheme="majorHAnsi" w:hAnsiTheme="majorHAnsi" w:cstheme="majorHAnsi"/>
      <w:sz w:val="28"/>
      <w:szCs w:val="28"/>
    </w:rPr>
  </w:style>
  <w:style w:type="paragraph" w:customStyle="1" w:styleId="Prelims-Normaltitlepage">
    <w:name w:val="Prelims - Normal (title page)"/>
    <w:basedOn w:val="Normal"/>
    <w:qFormat/>
    <w:rsid w:val="00CE5B89"/>
    <w:pPr>
      <w:keepNext/>
      <w:spacing w:before="120" w:after="120" w:line="240" w:lineRule="auto"/>
    </w:pPr>
    <w:rPr>
      <w:rFonts w:asciiTheme="majorHAnsi" w:hAnsiTheme="majorHAnsi" w:cs="Arial"/>
      <w:sz w:val="20"/>
    </w:rPr>
  </w:style>
  <w:style w:type="character" w:customStyle="1" w:styleId="ChartandTableFootnoteAlphaChar">
    <w:name w:val="Chart and Table Footnote Alpha Char"/>
    <w:link w:val="ChartandTableFootnoteAlpha"/>
    <w:rsid w:val="007B5C53"/>
    <w:rPr>
      <w:rFonts w:ascii="Arial" w:eastAsia="Times New Roman" w:hAnsi="Arial" w:cs="Times New Roman"/>
      <w:color w:val="000000"/>
      <w:sz w:val="16"/>
      <w:szCs w:val="20"/>
      <w:lang w:eastAsia="en-AU"/>
    </w:rPr>
  </w:style>
  <w:style w:type="character" w:customStyle="1" w:styleId="TableHeadingChar">
    <w:name w:val="Table Heading Char"/>
    <w:link w:val="TableHeading"/>
    <w:rsid w:val="007B5C53"/>
    <w:rPr>
      <w:rFonts w:ascii="Arial" w:eastAsia="Times New Roman" w:hAnsi="Arial" w:cs="Times New Roman"/>
      <w:b/>
      <w:sz w:val="20"/>
      <w:szCs w:val="20"/>
      <w:lang w:eastAsia="en-AU"/>
    </w:rPr>
  </w:style>
  <w:style w:type="paragraph" w:styleId="Revision">
    <w:name w:val="Revision"/>
    <w:hidden/>
    <w:uiPriority w:val="99"/>
    <w:semiHidden/>
    <w:rsid w:val="007B5C53"/>
    <w:pPr>
      <w:spacing w:after="0" w:line="240" w:lineRule="auto"/>
    </w:pPr>
    <w:rPr>
      <w:rFonts w:ascii="Book Antiqua" w:eastAsia="Times New Roman" w:hAnsi="Book Antiqua" w:cs="Times New Roman"/>
      <w:sz w:val="20"/>
      <w:szCs w:val="24"/>
    </w:rPr>
  </w:style>
  <w:style w:type="character" w:styleId="UnresolvedMention">
    <w:name w:val="Unresolved Mention"/>
    <w:basedOn w:val="DefaultParagraphFont"/>
    <w:uiPriority w:val="99"/>
    <w:semiHidden/>
    <w:unhideWhenUsed/>
    <w:rsid w:val="007B5C53"/>
    <w:rPr>
      <w:color w:val="605E5C"/>
      <w:shd w:val="clear" w:color="auto" w:fill="E1DFDD"/>
    </w:rPr>
  </w:style>
  <w:style w:type="character" w:styleId="FollowedHyperlink">
    <w:name w:val="FollowedHyperlink"/>
    <w:basedOn w:val="DefaultParagraphFont"/>
    <w:uiPriority w:val="99"/>
    <w:semiHidden/>
    <w:unhideWhenUsed/>
    <w:rsid w:val="007B5C53"/>
    <w:rPr>
      <w:color w:val="E61E26" w:themeColor="followedHyperlink"/>
      <w:u w:val="single"/>
    </w:rPr>
  </w:style>
  <w:style w:type="character" w:styleId="PlaceholderText">
    <w:name w:val="Placeholder Text"/>
    <w:basedOn w:val="DefaultParagraphFont"/>
    <w:uiPriority w:val="99"/>
    <w:semiHidden/>
    <w:rsid w:val="007B5C53"/>
    <w:rPr>
      <w:color w:val="808080"/>
    </w:rPr>
  </w:style>
  <w:style w:type="paragraph" w:styleId="NormalWeb">
    <w:name w:val="Normal (Web)"/>
    <w:basedOn w:val="Normal"/>
    <w:semiHidden/>
    <w:unhideWhenUsed/>
    <w:rsid w:val="007B5C53"/>
    <w:rPr>
      <w:rFonts w:ascii="Times New Roman" w:hAnsi="Times New Roman"/>
      <w:sz w:val="24"/>
      <w:szCs w:val="24"/>
    </w:rPr>
  </w:style>
  <w:style w:type="character" w:styleId="CommentReference">
    <w:name w:val="annotation reference"/>
    <w:basedOn w:val="DefaultParagraphFont"/>
    <w:rsid w:val="00CE5B89"/>
    <w:rPr>
      <w:sz w:val="16"/>
      <w:szCs w:val="16"/>
    </w:rPr>
  </w:style>
  <w:style w:type="character" w:customStyle="1" w:styleId="TableColumnHeadingLeftChar">
    <w:name w:val="Table Column Heading Left Char"/>
    <w:basedOn w:val="DefaultParagraphFont"/>
    <w:link w:val="TableColumnHeadingLeft"/>
    <w:rsid w:val="000F0D12"/>
    <w:rPr>
      <w:rFonts w:ascii="Arial Bold" w:eastAsia="Times New Roman" w:hAnsi="Arial Bold" w:cs="Times New Roman"/>
      <w:b/>
      <w:sz w:val="16"/>
      <w:szCs w:val="20"/>
      <w:lang w:eastAsia="en-AU"/>
    </w:rPr>
  </w:style>
  <w:style w:type="paragraph" w:customStyle="1" w:styleId="ItemName">
    <w:name w:val="Item Name"/>
    <w:basedOn w:val="Heading4"/>
    <w:link w:val="ItemNameChar"/>
    <w:qFormat/>
    <w:rsid w:val="001F00FF"/>
    <w:rPr>
      <w:rFonts w:eastAsia="Arial"/>
    </w:rPr>
  </w:style>
  <w:style w:type="character" w:customStyle="1" w:styleId="ItemNameChar">
    <w:name w:val="Item Name Char"/>
    <w:basedOn w:val="Heading4Char"/>
    <w:link w:val="ItemName"/>
    <w:rsid w:val="001F00FF"/>
    <w:rPr>
      <w:rFonts w:ascii="Arial Bold" w:eastAsia="Arial" w:hAnsi="Arial Bold" w:cs="Times New Roman"/>
      <w:b/>
      <w:sz w:val="20"/>
      <w:szCs w:val="20"/>
      <w:lang w:eastAsia="en-AU"/>
    </w:rPr>
  </w:style>
  <w:style w:type="paragraph" w:customStyle="1" w:styleId="para">
    <w:name w:val="para"/>
    <w:basedOn w:val="Normal"/>
    <w:link w:val="paraChar"/>
    <w:qFormat/>
    <w:rsid w:val="001F00FF"/>
    <w:rPr>
      <w:rFonts w:eastAsia="Arial"/>
    </w:rPr>
  </w:style>
  <w:style w:type="character" w:customStyle="1" w:styleId="paraChar">
    <w:name w:val="para Char"/>
    <w:basedOn w:val="DefaultParagraphFont"/>
    <w:link w:val="para"/>
    <w:rsid w:val="001F00FF"/>
    <w:rPr>
      <w:rFonts w:ascii="Book Antiqua" w:eastAsia="Arial" w:hAnsi="Book Antiqua" w:cs="Times New Roman"/>
      <w:sz w:val="19"/>
      <w:szCs w:val="20"/>
      <w:lang w:eastAsia="en-AU"/>
    </w:rPr>
  </w:style>
  <w:style w:type="paragraph" w:customStyle="1" w:styleId="portname">
    <w:name w:val="port name"/>
    <w:basedOn w:val="Heading3"/>
    <w:link w:val="portnameChar"/>
    <w:qFormat/>
    <w:rsid w:val="0088088D"/>
    <w:pPr>
      <w:spacing w:before="0" w:after="240"/>
    </w:pPr>
    <w:rPr>
      <w:rFonts w:eastAsia="Arial"/>
      <w:sz w:val="26"/>
      <w:szCs w:val="26"/>
    </w:rPr>
  </w:style>
  <w:style w:type="character" w:customStyle="1" w:styleId="portnameChar">
    <w:name w:val="port name Char"/>
    <w:basedOn w:val="Heading3Char"/>
    <w:link w:val="portname"/>
    <w:rsid w:val="0088088D"/>
    <w:rPr>
      <w:rFonts w:ascii="Arial Bold" w:eastAsia="Arial" w:hAnsi="Arial Bold" w:cs="Times New Roman"/>
      <w:b/>
      <w:sz w:val="26"/>
      <w:szCs w:val="2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13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header" Target="header12.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oter" Target="footer5.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eader" Target="header13.xml"/><Relationship Id="rId10" Type="http://schemas.openxmlformats.org/officeDocument/2006/relationships/header" Target="header3.xml"/><Relationship Id="rId19" Type="http://schemas.openxmlformats.org/officeDocument/2006/relationships/header" Target="header9.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0.xml"/><Relationship Id="rId27" Type="http://schemas.openxmlformats.org/officeDocument/2006/relationships/footer" Target="footer9.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002A5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24671</Words>
  <Characters>140628</Characters>
  <Application>Microsoft Office Word</Application>
  <DocSecurity>0</DocSecurity>
  <Lines>1171</Lines>
  <Paragraphs>329</Paragraphs>
  <ScaleCrop>false</ScaleCrop>
  <HeadingPairs>
    <vt:vector size="2" baseType="variant">
      <vt:variant>
        <vt:lpstr>Title</vt:lpstr>
      </vt:variant>
      <vt:variant>
        <vt:i4>1</vt:i4>
      </vt:variant>
    </vt:vector>
  </HeadingPairs>
  <TitlesOfParts>
    <vt:vector size="1" baseType="lpstr">
      <vt:lpstr>Budget Paper No. 1</vt:lpstr>
    </vt:vector>
  </TitlesOfParts>
  <Company/>
  <LinksUpToDate>false</LinksUpToDate>
  <CharactersWithSpaces>164970</CharactersWithSpaces>
  <SharedDoc>false</SharedDoc>
  <HLinks>
    <vt:vector size="408" baseType="variant">
      <vt:variant>
        <vt:i4>1572918</vt:i4>
      </vt:variant>
      <vt:variant>
        <vt:i4>404</vt:i4>
      </vt:variant>
      <vt:variant>
        <vt:i4>0</vt:i4>
      </vt:variant>
      <vt:variant>
        <vt:i4>5</vt:i4>
      </vt:variant>
      <vt:variant>
        <vt:lpwstr/>
      </vt:variant>
      <vt:variant>
        <vt:lpwstr>_Toc228987439</vt:lpwstr>
      </vt:variant>
      <vt:variant>
        <vt:i4>1572918</vt:i4>
      </vt:variant>
      <vt:variant>
        <vt:i4>398</vt:i4>
      </vt:variant>
      <vt:variant>
        <vt:i4>0</vt:i4>
      </vt:variant>
      <vt:variant>
        <vt:i4>5</vt:i4>
      </vt:variant>
      <vt:variant>
        <vt:lpwstr/>
      </vt:variant>
      <vt:variant>
        <vt:lpwstr>_Toc228987438</vt:lpwstr>
      </vt:variant>
      <vt:variant>
        <vt:i4>1572918</vt:i4>
      </vt:variant>
      <vt:variant>
        <vt:i4>392</vt:i4>
      </vt:variant>
      <vt:variant>
        <vt:i4>0</vt:i4>
      </vt:variant>
      <vt:variant>
        <vt:i4>5</vt:i4>
      </vt:variant>
      <vt:variant>
        <vt:lpwstr/>
      </vt:variant>
      <vt:variant>
        <vt:lpwstr>_Toc228987437</vt:lpwstr>
      </vt:variant>
      <vt:variant>
        <vt:i4>1572918</vt:i4>
      </vt:variant>
      <vt:variant>
        <vt:i4>386</vt:i4>
      </vt:variant>
      <vt:variant>
        <vt:i4>0</vt:i4>
      </vt:variant>
      <vt:variant>
        <vt:i4>5</vt:i4>
      </vt:variant>
      <vt:variant>
        <vt:lpwstr/>
      </vt:variant>
      <vt:variant>
        <vt:lpwstr>_Toc228987436</vt:lpwstr>
      </vt:variant>
      <vt:variant>
        <vt:i4>1572918</vt:i4>
      </vt:variant>
      <vt:variant>
        <vt:i4>380</vt:i4>
      </vt:variant>
      <vt:variant>
        <vt:i4>0</vt:i4>
      </vt:variant>
      <vt:variant>
        <vt:i4>5</vt:i4>
      </vt:variant>
      <vt:variant>
        <vt:lpwstr/>
      </vt:variant>
      <vt:variant>
        <vt:lpwstr>_Toc228987435</vt:lpwstr>
      </vt:variant>
      <vt:variant>
        <vt:i4>1572918</vt:i4>
      </vt:variant>
      <vt:variant>
        <vt:i4>374</vt:i4>
      </vt:variant>
      <vt:variant>
        <vt:i4>0</vt:i4>
      </vt:variant>
      <vt:variant>
        <vt:i4>5</vt:i4>
      </vt:variant>
      <vt:variant>
        <vt:lpwstr/>
      </vt:variant>
      <vt:variant>
        <vt:lpwstr>_Toc228987434</vt:lpwstr>
      </vt:variant>
      <vt:variant>
        <vt:i4>1572918</vt:i4>
      </vt:variant>
      <vt:variant>
        <vt:i4>368</vt:i4>
      </vt:variant>
      <vt:variant>
        <vt:i4>0</vt:i4>
      </vt:variant>
      <vt:variant>
        <vt:i4>5</vt:i4>
      </vt:variant>
      <vt:variant>
        <vt:lpwstr/>
      </vt:variant>
      <vt:variant>
        <vt:lpwstr>_Toc228987433</vt:lpwstr>
      </vt:variant>
      <vt:variant>
        <vt:i4>1572918</vt:i4>
      </vt:variant>
      <vt:variant>
        <vt:i4>362</vt:i4>
      </vt:variant>
      <vt:variant>
        <vt:i4>0</vt:i4>
      </vt:variant>
      <vt:variant>
        <vt:i4>5</vt:i4>
      </vt:variant>
      <vt:variant>
        <vt:lpwstr/>
      </vt:variant>
      <vt:variant>
        <vt:lpwstr>_Toc228987432</vt:lpwstr>
      </vt:variant>
      <vt:variant>
        <vt:i4>1572918</vt:i4>
      </vt:variant>
      <vt:variant>
        <vt:i4>356</vt:i4>
      </vt:variant>
      <vt:variant>
        <vt:i4>0</vt:i4>
      </vt:variant>
      <vt:variant>
        <vt:i4>5</vt:i4>
      </vt:variant>
      <vt:variant>
        <vt:lpwstr/>
      </vt:variant>
      <vt:variant>
        <vt:lpwstr>_Toc228987431</vt:lpwstr>
      </vt:variant>
      <vt:variant>
        <vt:i4>1572918</vt:i4>
      </vt:variant>
      <vt:variant>
        <vt:i4>350</vt:i4>
      </vt:variant>
      <vt:variant>
        <vt:i4>0</vt:i4>
      </vt:variant>
      <vt:variant>
        <vt:i4>5</vt:i4>
      </vt:variant>
      <vt:variant>
        <vt:lpwstr/>
      </vt:variant>
      <vt:variant>
        <vt:lpwstr>_Toc228987430</vt:lpwstr>
      </vt:variant>
      <vt:variant>
        <vt:i4>1638454</vt:i4>
      </vt:variant>
      <vt:variant>
        <vt:i4>344</vt:i4>
      </vt:variant>
      <vt:variant>
        <vt:i4>0</vt:i4>
      </vt:variant>
      <vt:variant>
        <vt:i4>5</vt:i4>
      </vt:variant>
      <vt:variant>
        <vt:lpwstr/>
      </vt:variant>
      <vt:variant>
        <vt:lpwstr>_Toc228987429</vt:lpwstr>
      </vt:variant>
      <vt:variant>
        <vt:i4>1638454</vt:i4>
      </vt:variant>
      <vt:variant>
        <vt:i4>338</vt:i4>
      </vt:variant>
      <vt:variant>
        <vt:i4>0</vt:i4>
      </vt:variant>
      <vt:variant>
        <vt:i4>5</vt:i4>
      </vt:variant>
      <vt:variant>
        <vt:lpwstr/>
      </vt:variant>
      <vt:variant>
        <vt:lpwstr>_Toc228987428</vt:lpwstr>
      </vt:variant>
      <vt:variant>
        <vt:i4>1638454</vt:i4>
      </vt:variant>
      <vt:variant>
        <vt:i4>332</vt:i4>
      </vt:variant>
      <vt:variant>
        <vt:i4>0</vt:i4>
      </vt:variant>
      <vt:variant>
        <vt:i4>5</vt:i4>
      </vt:variant>
      <vt:variant>
        <vt:lpwstr/>
      </vt:variant>
      <vt:variant>
        <vt:lpwstr>_Toc228987427</vt:lpwstr>
      </vt:variant>
      <vt:variant>
        <vt:i4>1638454</vt:i4>
      </vt:variant>
      <vt:variant>
        <vt:i4>326</vt:i4>
      </vt:variant>
      <vt:variant>
        <vt:i4>0</vt:i4>
      </vt:variant>
      <vt:variant>
        <vt:i4>5</vt:i4>
      </vt:variant>
      <vt:variant>
        <vt:lpwstr/>
      </vt:variant>
      <vt:variant>
        <vt:lpwstr>_Toc228987426</vt:lpwstr>
      </vt:variant>
      <vt:variant>
        <vt:i4>1638454</vt:i4>
      </vt:variant>
      <vt:variant>
        <vt:i4>320</vt:i4>
      </vt:variant>
      <vt:variant>
        <vt:i4>0</vt:i4>
      </vt:variant>
      <vt:variant>
        <vt:i4>5</vt:i4>
      </vt:variant>
      <vt:variant>
        <vt:lpwstr/>
      </vt:variant>
      <vt:variant>
        <vt:lpwstr>_Toc228987425</vt:lpwstr>
      </vt:variant>
      <vt:variant>
        <vt:i4>1638454</vt:i4>
      </vt:variant>
      <vt:variant>
        <vt:i4>314</vt:i4>
      </vt:variant>
      <vt:variant>
        <vt:i4>0</vt:i4>
      </vt:variant>
      <vt:variant>
        <vt:i4>5</vt:i4>
      </vt:variant>
      <vt:variant>
        <vt:lpwstr/>
      </vt:variant>
      <vt:variant>
        <vt:lpwstr>_Toc228987424</vt:lpwstr>
      </vt:variant>
      <vt:variant>
        <vt:i4>1638454</vt:i4>
      </vt:variant>
      <vt:variant>
        <vt:i4>308</vt:i4>
      </vt:variant>
      <vt:variant>
        <vt:i4>0</vt:i4>
      </vt:variant>
      <vt:variant>
        <vt:i4>5</vt:i4>
      </vt:variant>
      <vt:variant>
        <vt:lpwstr/>
      </vt:variant>
      <vt:variant>
        <vt:lpwstr>_Toc228987423</vt:lpwstr>
      </vt:variant>
      <vt:variant>
        <vt:i4>1638454</vt:i4>
      </vt:variant>
      <vt:variant>
        <vt:i4>302</vt:i4>
      </vt:variant>
      <vt:variant>
        <vt:i4>0</vt:i4>
      </vt:variant>
      <vt:variant>
        <vt:i4>5</vt:i4>
      </vt:variant>
      <vt:variant>
        <vt:lpwstr/>
      </vt:variant>
      <vt:variant>
        <vt:lpwstr>_Toc228987422</vt:lpwstr>
      </vt:variant>
      <vt:variant>
        <vt:i4>1638454</vt:i4>
      </vt:variant>
      <vt:variant>
        <vt:i4>296</vt:i4>
      </vt:variant>
      <vt:variant>
        <vt:i4>0</vt:i4>
      </vt:variant>
      <vt:variant>
        <vt:i4>5</vt:i4>
      </vt:variant>
      <vt:variant>
        <vt:lpwstr/>
      </vt:variant>
      <vt:variant>
        <vt:lpwstr>_Toc228987421</vt:lpwstr>
      </vt:variant>
      <vt:variant>
        <vt:i4>1638454</vt:i4>
      </vt:variant>
      <vt:variant>
        <vt:i4>290</vt:i4>
      </vt:variant>
      <vt:variant>
        <vt:i4>0</vt:i4>
      </vt:variant>
      <vt:variant>
        <vt:i4>5</vt:i4>
      </vt:variant>
      <vt:variant>
        <vt:lpwstr/>
      </vt:variant>
      <vt:variant>
        <vt:lpwstr>_Toc228987420</vt:lpwstr>
      </vt:variant>
      <vt:variant>
        <vt:i4>1703990</vt:i4>
      </vt:variant>
      <vt:variant>
        <vt:i4>284</vt:i4>
      </vt:variant>
      <vt:variant>
        <vt:i4>0</vt:i4>
      </vt:variant>
      <vt:variant>
        <vt:i4>5</vt:i4>
      </vt:variant>
      <vt:variant>
        <vt:lpwstr/>
      </vt:variant>
      <vt:variant>
        <vt:lpwstr>_Toc228987419</vt:lpwstr>
      </vt:variant>
      <vt:variant>
        <vt:i4>1703990</vt:i4>
      </vt:variant>
      <vt:variant>
        <vt:i4>278</vt:i4>
      </vt:variant>
      <vt:variant>
        <vt:i4>0</vt:i4>
      </vt:variant>
      <vt:variant>
        <vt:i4>5</vt:i4>
      </vt:variant>
      <vt:variant>
        <vt:lpwstr/>
      </vt:variant>
      <vt:variant>
        <vt:lpwstr>_Toc228987418</vt:lpwstr>
      </vt:variant>
      <vt:variant>
        <vt:i4>1703990</vt:i4>
      </vt:variant>
      <vt:variant>
        <vt:i4>272</vt:i4>
      </vt:variant>
      <vt:variant>
        <vt:i4>0</vt:i4>
      </vt:variant>
      <vt:variant>
        <vt:i4>5</vt:i4>
      </vt:variant>
      <vt:variant>
        <vt:lpwstr/>
      </vt:variant>
      <vt:variant>
        <vt:lpwstr>_Toc228987417</vt:lpwstr>
      </vt:variant>
      <vt:variant>
        <vt:i4>1703990</vt:i4>
      </vt:variant>
      <vt:variant>
        <vt:i4>266</vt:i4>
      </vt:variant>
      <vt:variant>
        <vt:i4>0</vt:i4>
      </vt:variant>
      <vt:variant>
        <vt:i4>5</vt:i4>
      </vt:variant>
      <vt:variant>
        <vt:lpwstr/>
      </vt:variant>
      <vt:variant>
        <vt:lpwstr>_Toc228987416</vt:lpwstr>
      </vt:variant>
      <vt:variant>
        <vt:i4>1703990</vt:i4>
      </vt:variant>
      <vt:variant>
        <vt:i4>260</vt:i4>
      </vt:variant>
      <vt:variant>
        <vt:i4>0</vt:i4>
      </vt:variant>
      <vt:variant>
        <vt:i4>5</vt:i4>
      </vt:variant>
      <vt:variant>
        <vt:lpwstr/>
      </vt:variant>
      <vt:variant>
        <vt:lpwstr>_Toc228987415</vt:lpwstr>
      </vt:variant>
      <vt:variant>
        <vt:i4>1703990</vt:i4>
      </vt:variant>
      <vt:variant>
        <vt:i4>254</vt:i4>
      </vt:variant>
      <vt:variant>
        <vt:i4>0</vt:i4>
      </vt:variant>
      <vt:variant>
        <vt:i4>5</vt:i4>
      </vt:variant>
      <vt:variant>
        <vt:lpwstr/>
      </vt:variant>
      <vt:variant>
        <vt:lpwstr>_Toc228987414</vt:lpwstr>
      </vt:variant>
      <vt:variant>
        <vt:i4>1703990</vt:i4>
      </vt:variant>
      <vt:variant>
        <vt:i4>248</vt:i4>
      </vt:variant>
      <vt:variant>
        <vt:i4>0</vt:i4>
      </vt:variant>
      <vt:variant>
        <vt:i4>5</vt:i4>
      </vt:variant>
      <vt:variant>
        <vt:lpwstr/>
      </vt:variant>
      <vt:variant>
        <vt:lpwstr>_Toc228987413</vt:lpwstr>
      </vt:variant>
      <vt:variant>
        <vt:i4>1703990</vt:i4>
      </vt:variant>
      <vt:variant>
        <vt:i4>242</vt:i4>
      </vt:variant>
      <vt:variant>
        <vt:i4>0</vt:i4>
      </vt:variant>
      <vt:variant>
        <vt:i4>5</vt:i4>
      </vt:variant>
      <vt:variant>
        <vt:lpwstr/>
      </vt:variant>
      <vt:variant>
        <vt:lpwstr>_Toc228987412</vt:lpwstr>
      </vt:variant>
      <vt:variant>
        <vt:i4>1703990</vt:i4>
      </vt:variant>
      <vt:variant>
        <vt:i4>236</vt:i4>
      </vt:variant>
      <vt:variant>
        <vt:i4>0</vt:i4>
      </vt:variant>
      <vt:variant>
        <vt:i4>5</vt:i4>
      </vt:variant>
      <vt:variant>
        <vt:lpwstr/>
      </vt:variant>
      <vt:variant>
        <vt:lpwstr>_Toc228987411</vt:lpwstr>
      </vt:variant>
      <vt:variant>
        <vt:i4>1703990</vt:i4>
      </vt:variant>
      <vt:variant>
        <vt:i4>230</vt:i4>
      </vt:variant>
      <vt:variant>
        <vt:i4>0</vt:i4>
      </vt:variant>
      <vt:variant>
        <vt:i4>5</vt:i4>
      </vt:variant>
      <vt:variant>
        <vt:lpwstr/>
      </vt:variant>
      <vt:variant>
        <vt:lpwstr>_Toc228987410</vt:lpwstr>
      </vt:variant>
      <vt:variant>
        <vt:i4>1769526</vt:i4>
      </vt:variant>
      <vt:variant>
        <vt:i4>224</vt:i4>
      </vt:variant>
      <vt:variant>
        <vt:i4>0</vt:i4>
      </vt:variant>
      <vt:variant>
        <vt:i4>5</vt:i4>
      </vt:variant>
      <vt:variant>
        <vt:lpwstr/>
      </vt:variant>
      <vt:variant>
        <vt:lpwstr>_Toc228987409</vt:lpwstr>
      </vt:variant>
      <vt:variant>
        <vt:i4>1769526</vt:i4>
      </vt:variant>
      <vt:variant>
        <vt:i4>218</vt:i4>
      </vt:variant>
      <vt:variant>
        <vt:i4>0</vt:i4>
      </vt:variant>
      <vt:variant>
        <vt:i4>5</vt:i4>
      </vt:variant>
      <vt:variant>
        <vt:lpwstr/>
      </vt:variant>
      <vt:variant>
        <vt:lpwstr>_Toc228987408</vt:lpwstr>
      </vt:variant>
      <vt:variant>
        <vt:i4>1769526</vt:i4>
      </vt:variant>
      <vt:variant>
        <vt:i4>212</vt:i4>
      </vt:variant>
      <vt:variant>
        <vt:i4>0</vt:i4>
      </vt:variant>
      <vt:variant>
        <vt:i4>5</vt:i4>
      </vt:variant>
      <vt:variant>
        <vt:lpwstr/>
      </vt:variant>
      <vt:variant>
        <vt:lpwstr>_Toc228987407</vt:lpwstr>
      </vt:variant>
      <vt:variant>
        <vt:i4>1769526</vt:i4>
      </vt:variant>
      <vt:variant>
        <vt:i4>206</vt:i4>
      </vt:variant>
      <vt:variant>
        <vt:i4>0</vt:i4>
      </vt:variant>
      <vt:variant>
        <vt:i4>5</vt:i4>
      </vt:variant>
      <vt:variant>
        <vt:lpwstr/>
      </vt:variant>
      <vt:variant>
        <vt:lpwstr>_Toc228987406</vt:lpwstr>
      </vt:variant>
      <vt:variant>
        <vt:i4>1769526</vt:i4>
      </vt:variant>
      <vt:variant>
        <vt:i4>200</vt:i4>
      </vt:variant>
      <vt:variant>
        <vt:i4>0</vt:i4>
      </vt:variant>
      <vt:variant>
        <vt:i4>5</vt:i4>
      </vt:variant>
      <vt:variant>
        <vt:lpwstr/>
      </vt:variant>
      <vt:variant>
        <vt:lpwstr>_Toc228987405</vt:lpwstr>
      </vt:variant>
      <vt:variant>
        <vt:i4>1769526</vt:i4>
      </vt:variant>
      <vt:variant>
        <vt:i4>194</vt:i4>
      </vt:variant>
      <vt:variant>
        <vt:i4>0</vt:i4>
      </vt:variant>
      <vt:variant>
        <vt:i4>5</vt:i4>
      </vt:variant>
      <vt:variant>
        <vt:lpwstr/>
      </vt:variant>
      <vt:variant>
        <vt:lpwstr>_Toc228987404</vt:lpwstr>
      </vt:variant>
      <vt:variant>
        <vt:i4>1769526</vt:i4>
      </vt:variant>
      <vt:variant>
        <vt:i4>188</vt:i4>
      </vt:variant>
      <vt:variant>
        <vt:i4>0</vt:i4>
      </vt:variant>
      <vt:variant>
        <vt:i4>5</vt:i4>
      </vt:variant>
      <vt:variant>
        <vt:lpwstr/>
      </vt:variant>
      <vt:variant>
        <vt:lpwstr>_Toc228987403</vt:lpwstr>
      </vt:variant>
      <vt:variant>
        <vt:i4>1769526</vt:i4>
      </vt:variant>
      <vt:variant>
        <vt:i4>182</vt:i4>
      </vt:variant>
      <vt:variant>
        <vt:i4>0</vt:i4>
      </vt:variant>
      <vt:variant>
        <vt:i4>5</vt:i4>
      </vt:variant>
      <vt:variant>
        <vt:lpwstr/>
      </vt:variant>
      <vt:variant>
        <vt:lpwstr>_Toc228987402</vt:lpwstr>
      </vt:variant>
      <vt:variant>
        <vt:i4>1769526</vt:i4>
      </vt:variant>
      <vt:variant>
        <vt:i4>176</vt:i4>
      </vt:variant>
      <vt:variant>
        <vt:i4>0</vt:i4>
      </vt:variant>
      <vt:variant>
        <vt:i4>5</vt:i4>
      </vt:variant>
      <vt:variant>
        <vt:lpwstr/>
      </vt:variant>
      <vt:variant>
        <vt:lpwstr>_Toc228987401</vt:lpwstr>
      </vt:variant>
      <vt:variant>
        <vt:i4>1769526</vt:i4>
      </vt:variant>
      <vt:variant>
        <vt:i4>170</vt:i4>
      </vt:variant>
      <vt:variant>
        <vt:i4>0</vt:i4>
      </vt:variant>
      <vt:variant>
        <vt:i4>5</vt:i4>
      </vt:variant>
      <vt:variant>
        <vt:lpwstr/>
      </vt:variant>
      <vt:variant>
        <vt:lpwstr>_Toc228987400</vt:lpwstr>
      </vt:variant>
      <vt:variant>
        <vt:i4>1179697</vt:i4>
      </vt:variant>
      <vt:variant>
        <vt:i4>164</vt:i4>
      </vt:variant>
      <vt:variant>
        <vt:i4>0</vt:i4>
      </vt:variant>
      <vt:variant>
        <vt:i4>5</vt:i4>
      </vt:variant>
      <vt:variant>
        <vt:lpwstr/>
      </vt:variant>
      <vt:variant>
        <vt:lpwstr>_Toc228987399</vt:lpwstr>
      </vt:variant>
      <vt:variant>
        <vt:i4>1179697</vt:i4>
      </vt:variant>
      <vt:variant>
        <vt:i4>158</vt:i4>
      </vt:variant>
      <vt:variant>
        <vt:i4>0</vt:i4>
      </vt:variant>
      <vt:variant>
        <vt:i4>5</vt:i4>
      </vt:variant>
      <vt:variant>
        <vt:lpwstr/>
      </vt:variant>
      <vt:variant>
        <vt:lpwstr>_Toc228987398</vt:lpwstr>
      </vt:variant>
      <vt:variant>
        <vt:i4>1179697</vt:i4>
      </vt:variant>
      <vt:variant>
        <vt:i4>152</vt:i4>
      </vt:variant>
      <vt:variant>
        <vt:i4>0</vt:i4>
      </vt:variant>
      <vt:variant>
        <vt:i4>5</vt:i4>
      </vt:variant>
      <vt:variant>
        <vt:lpwstr/>
      </vt:variant>
      <vt:variant>
        <vt:lpwstr>_Toc228987397</vt:lpwstr>
      </vt:variant>
      <vt:variant>
        <vt:i4>1179697</vt:i4>
      </vt:variant>
      <vt:variant>
        <vt:i4>146</vt:i4>
      </vt:variant>
      <vt:variant>
        <vt:i4>0</vt:i4>
      </vt:variant>
      <vt:variant>
        <vt:i4>5</vt:i4>
      </vt:variant>
      <vt:variant>
        <vt:lpwstr/>
      </vt:variant>
      <vt:variant>
        <vt:lpwstr>_Toc228987396</vt:lpwstr>
      </vt:variant>
      <vt:variant>
        <vt:i4>1179697</vt:i4>
      </vt:variant>
      <vt:variant>
        <vt:i4>140</vt:i4>
      </vt:variant>
      <vt:variant>
        <vt:i4>0</vt:i4>
      </vt:variant>
      <vt:variant>
        <vt:i4>5</vt:i4>
      </vt:variant>
      <vt:variant>
        <vt:lpwstr/>
      </vt:variant>
      <vt:variant>
        <vt:lpwstr>_Toc228987395</vt:lpwstr>
      </vt:variant>
      <vt:variant>
        <vt:i4>1179697</vt:i4>
      </vt:variant>
      <vt:variant>
        <vt:i4>134</vt:i4>
      </vt:variant>
      <vt:variant>
        <vt:i4>0</vt:i4>
      </vt:variant>
      <vt:variant>
        <vt:i4>5</vt:i4>
      </vt:variant>
      <vt:variant>
        <vt:lpwstr/>
      </vt:variant>
      <vt:variant>
        <vt:lpwstr>_Toc228987394</vt:lpwstr>
      </vt:variant>
      <vt:variant>
        <vt:i4>1179697</vt:i4>
      </vt:variant>
      <vt:variant>
        <vt:i4>128</vt:i4>
      </vt:variant>
      <vt:variant>
        <vt:i4>0</vt:i4>
      </vt:variant>
      <vt:variant>
        <vt:i4>5</vt:i4>
      </vt:variant>
      <vt:variant>
        <vt:lpwstr/>
      </vt:variant>
      <vt:variant>
        <vt:lpwstr>_Toc228987393</vt:lpwstr>
      </vt:variant>
      <vt:variant>
        <vt:i4>1179697</vt:i4>
      </vt:variant>
      <vt:variant>
        <vt:i4>122</vt:i4>
      </vt:variant>
      <vt:variant>
        <vt:i4>0</vt:i4>
      </vt:variant>
      <vt:variant>
        <vt:i4>5</vt:i4>
      </vt:variant>
      <vt:variant>
        <vt:lpwstr/>
      </vt:variant>
      <vt:variant>
        <vt:lpwstr>_Toc228987392</vt:lpwstr>
      </vt:variant>
      <vt:variant>
        <vt:i4>1179697</vt:i4>
      </vt:variant>
      <vt:variant>
        <vt:i4>116</vt:i4>
      </vt:variant>
      <vt:variant>
        <vt:i4>0</vt:i4>
      </vt:variant>
      <vt:variant>
        <vt:i4>5</vt:i4>
      </vt:variant>
      <vt:variant>
        <vt:lpwstr/>
      </vt:variant>
      <vt:variant>
        <vt:lpwstr>_Toc228987391</vt:lpwstr>
      </vt:variant>
      <vt:variant>
        <vt:i4>1179697</vt:i4>
      </vt:variant>
      <vt:variant>
        <vt:i4>110</vt:i4>
      </vt:variant>
      <vt:variant>
        <vt:i4>0</vt:i4>
      </vt:variant>
      <vt:variant>
        <vt:i4>5</vt:i4>
      </vt:variant>
      <vt:variant>
        <vt:lpwstr/>
      </vt:variant>
      <vt:variant>
        <vt:lpwstr>_Toc228987390</vt:lpwstr>
      </vt:variant>
      <vt:variant>
        <vt:i4>1245233</vt:i4>
      </vt:variant>
      <vt:variant>
        <vt:i4>104</vt:i4>
      </vt:variant>
      <vt:variant>
        <vt:i4>0</vt:i4>
      </vt:variant>
      <vt:variant>
        <vt:i4>5</vt:i4>
      </vt:variant>
      <vt:variant>
        <vt:lpwstr/>
      </vt:variant>
      <vt:variant>
        <vt:lpwstr>_Toc228987389</vt:lpwstr>
      </vt:variant>
      <vt:variant>
        <vt:i4>1245233</vt:i4>
      </vt:variant>
      <vt:variant>
        <vt:i4>98</vt:i4>
      </vt:variant>
      <vt:variant>
        <vt:i4>0</vt:i4>
      </vt:variant>
      <vt:variant>
        <vt:i4>5</vt:i4>
      </vt:variant>
      <vt:variant>
        <vt:lpwstr/>
      </vt:variant>
      <vt:variant>
        <vt:lpwstr>_Toc228987388</vt:lpwstr>
      </vt:variant>
      <vt:variant>
        <vt:i4>1245233</vt:i4>
      </vt:variant>
      <vt:variant>
        <vt:i4>92</vt:i4>
      </vt:variant>
      <vt:variant>
        <vt:i4>0</vt:i4>
      </vt:variant>
      <vt:variant>
        <vt:i4>5</vt:i4>
      </vt:variant>
      <vt:variant>
        <vt:lpwstr/>
      </vt:variant>
      <vt:variant>
        <vt:lpwstr>_Toc228987387</vt:lpwstr>
      </vt:variant>
      <vt:variant>
        <vt:i4>1245233</vt:i4>
      </vt:variant>
      <vt:variant>
        <vt:i4>86</vt:i4>
      </vt:variant>
      <vt:variant>
        <vt:i4>0</vt:i4>
      </vt:variant>
      <vt:variant>
        <vt:i4>5</vt:i4>
      </vt:variant>
      <vt:variant>
        <vt:lpwstr/>
      </vt:variant>
      <vt:variant>
        <vt:lpwstr>_Toc228987386</vt:lpwstr>
      </vt:variant>
      <vt:variant>
        <vt:i4>1245233</vt:i4>
      </vt:variant>
      <vt:variant>
        <vt:i4>80</vt:i4>
      </vt:variant>
      <vt:variant>
        <vt:i4>0</vt:i4>
      </vt:variant>
      <vt:variant>
        <vt:i4>5</vt:i4>
      </vt:variant>
      <vt:variant>
        <vt:lpwstr/>
      </vt:variant>
      <vt:variant>
        <vt:lpwstr>_Toc228987385</vt:lpwstr>
      </vt:variant>
      <vt:variant>
        <vt:i4>1245233</vt:i4>
      </vt:variant>
      <vt:variant>
        <vt:i4>74</vt:i4>
      </vt:variant>
      <vt:variant>
        <vt:i4>0</vt:i4>
      </vt:variant>
      <vt:variant>
        <vt:i4>5</vt:i4>
      </vt:variant>
      <vt:variant>
        <vt:lpwstr/>
      </vt:variant>
      <vt:variant>
        <vt:lpwstr>_Toc228987384</vt:lpwstr>
      </vt:variant>
      <vt:variant>
        <vt:i4>1245233</vt:i4>
      </vt:variant>
      <vt:variant>
        <vt:i4>68</vt:i4>
      </vt:variant>
      <vt:variant>
        <vt:i4>0</vt:i4>
      </vt:variant>
      <vt:variant>
        <vt:i4>5</vt:i4>
      </vt:variant>
      <vt:variant>
        <vt:lpwstr/>
      </vt:variant>
      <vt:variant>
        <vt:lpwstr>_Toc228987383</vt:lpwstr>
      </vt:variant>
      <vt:variant>
        <vt:i4>1245233</vt:i4>
      </vt:variant>
      <vt:variant>
        <vt:i4>62</vt:i4>
      </vt:variant>
      <vt:variant>
        <vt:i4>0</vt:i4>
      </vt:variant>
      <vt:variant>
        <vt:i4>5</vt:i4>
      </vt:variant>
      <vt:variant>
        <vt:lpwstr/>
      </vt:variant>
      <vt:variant>
        <vt:lpwstr>_Toc228987382</vt:lpwstr>
      </vt:variant>
      <vt:variant>
        <vt:i4>1245233</vt:i4>
      </vt:variant>
      <vt:variant>
        <vt:i4>56</vt:i4>
      </vt:variant>
      <vt:variant>
        <vt:i4>0</vt:i4>
      </vt:variant>
      <vt:variant>
        <vt:i4>5</vt:i4>
      </vt:variant>
      <vt:variant>
        <vt:lpwstr/>
      </vt:variant>
      <vt:variant>
        <vt:lpwstr>_Toc228987381</vt:lpwstr>
      </vt:variant>
      <vt:variant>
        <vt:i4>1245233</vt:i4>
      </vt:variant>
      <vt:variant>
        <vt:i4>50</vt:i4>
      </vt:variant>
      <vt:variant>
        <vt:i4>0</vt:i4>
      </vt:variant>
      <vt:variant>
        <vt:i4>5</vt:i4>
      </vt:variant>
      <vt:variant>
        <vt:lpwstr/>
      </vt:variant>
      <vt:variant>
        <vt:lpwstr>_Toc228987380</vt:lpwstr>
      </vt:variant>
      <vt:variant>
        <vt:i4>1835057</vt:i4>
      </vt:variant>
      <vt:variant>
        <vt:i4>44</vt:i4>
      </vt:variant>
      <vt:variant>
        <vt:i4>0</vt:i4>
      </vt:variant>
      <vt:variant>
        <vt:i4>5</vt:i4>
      </vt:variant>
      <vt:variant>
        <vt:lpwstr/>
      </vt:variant>
      <vt:variant>
        <vt:lpwstr>_Toc228987379</vt:lpwstr>
      </vt:variant>
      <vt:variant>
        <vt:i4>1835057</vt:i4>
      </vt:variant>
      <vt:variant>
        <vt:i4>38</vt:i4>
      </vt:variant>
      <vt:variant>
        <vt:i4>0</vt:i4>
      </vt:variant>
      <vt:variant>
        <vt:i4>5</vt:i4>
      </vt:variant>
      <vt:variant>
        <vt:lpwstr/>
      </vt:variant>
      <vt:variant>
        <vt:lpwstr>_Toc228987378</vt:lpwstr>
      </vt:variant>
      <vt:variant>
        <vt:i4>1835057</vt:i4>
      </vt:variant>
      <vt:variant>
        <vt:i4>32</vt:i4>
      </vt:variant>
      <vt:variant>
        <vt:i4>0</vt:i4>
      </vt:variant>
      <vt:variant>
        <vt:i4>5</vt:i4>
      </vt:variant>
      <vt:variant>
        <vt:lpwstr/>
      </vt:variant>
      <vt:variant>
        <vt:lpwstr>_Toc228987377</vt:lpwstr>
      </vt:variant>
      <vt:variant>
        <vt:i4>1835057</vt:i4>
      </vt:variant>
      <vt:variant>
        <vt:i4>26</vt:i4>
      </vt:variant>
      <vt:variant>
        <vt:i4>0</vt:i4>
      </vt:variant>
      <vt:variant>
        <vt:i4>5</vt:i4>
      </vt:variant>
      <vt:variant>
        <vt:lpwstr/>
      </vt:variant>
      <vt:variant>
        <vt:lpwstr>_Toc228987376</vt:lpwstr>
      </vt:variant>
      <vt:variant>
        <vt:i4>1835057</vt:i4>
      </vt:variant>
      <vt:variant>
        <vt:i4>20</vt:i4>
      </vt:variant>
      <vt:variant>
        <vt:i4>0</vt:i4>
      </vt:variant>
      <vt:variant>
        <vt:i4>5</vt:i4>
      </vt:variant>
      <vt:variant>
        <vt:lpwstr/>
      </vt:variant>
      <vt:variant>
        <vt:lpwstr>_Toc228987375</vt:lpwstr>
      </vt:variant>
      <vt:variant>
        <vt:i4>1835057</vt:i4>
      </vt:variant>
      <vt:variant>
        <vt:i4>14</vt:i4>
      </vt:variant>
      <vt:variant>
        <vt:i4>0</vt:i4>
      </vt:variant>
      <vt:variant>
        <vt:i4>5</vt:i4>
      </vt:variant>
      <vt:variant>
        <vt:lpwstr/>
      </vt:variant>
      <vt:variant>
        <vt:lpwstr>_Toc228987374</vt:lpwstr>
      </vt:variant>
      <vt:variant>
        <vt:i4>1835057</vt:i4>
      </vt:variant>
      <vt:variant>
        <vt:i4>8</vt:i4>
      </vt:variant>
      <vt:variant>
        <vt:i4>0</vt:i4>
      </vt:variant>
      <vt:variant>
        <vt:i4>5</vt:i4>
      </vt:variant>
      <vt:variant>
        <vt:lpwstr/>
      </vt:variant>
      <vt:variant>
        <vt:lpwstr>_Toc228987373</vt:lpwstr>
      </vt:variant>
      <vt:variant>
        <vt:i4>1835057</vt:i4>
      </vt:variant>
      <vt:variant>
        <vt:i4>2</vt:i4>
      </vt:variant>
      <vt:variant>
        <vt:i4>0</vt:i4>
      </vt:variant>
      <vt:variant>
        <vt:i4>5</vt:i4>
      </vt:variant>
      <vt:variant>
        <vt:lpwstr/>
      </vt:variant>
      <vt:variant>
        <vt:lpwstr>_Toc228987372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9: Statement of Risks</dc:subject>
  <dc:creator>Australian Government</dc:creator>
  <cp:keywords/>
  <cp:lastModifiedBy/>
  <cp:revision>1</cp:revision>
  <dcterms:created xsi:type="dcterms:W3CDTF">2026-05-11T05:12:00Z</dcterms:created>
  <dcterms:modified xsi:type="dcterms:W3CDTF">2026-05-11T05:13:00Z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932d64-9ab1-4d9b-81d2-a3a8b82dd47d_Enabled">
    <vt:lpwstr>true</vt:lpwstr>
  </property>
  <property fmtid="{D5CDD505-2E9C-101B-9397-08002B2CF9AE}" pid="3" name="MSIP_Label_4f932d64-9ab1-4d9b-81d2-a3a8b82dd47d_SetDate">
    <vt:lpwstr>2026-05-11T05:13:21Z</vt:lpwstr>
  </property>
  <property fmtid="{D5CDD505-2E9C-101B-9397-08002B2CF9AE}" pid="4" name="MSIP_Label_4f932d64-9ab1-4d9b-81d2-a3a8b82dd47d_Method">
    <vt:lpwstr>Privileged</vt:lpwstr>
  </property>
  <property fmtid="{D5CDD505-2E9C-101B-9397-08002B2CF9AE}" pid="5" name="MSIP_Label_4f932d64-9ab1-4d9b-81d2-a3a8b82dd47d_Name">
    <vt:lpwstr>OFFICIAL No Visual Marking</vt:lpwstr>
  </property>
  <property fmtid="{D5CDD505-2E9C-101B-9397-08002B2CF9AE}" pid="6" name="MSIP_Label_4f932d64-9ab1-4d9b-81d2-a3a8b82dd47d_SiteId">
    <vt:lpwstr>214f1646-2021-47cc-8397-e3d3a7ba7d9d</vt:lpwstr>
  </property>
  <property fmtid="{D5CDD505-2E9C-101B-9397-08002B2CF9AE}" pid="7" name="MSIP_Label_4f932d64-9ab1-4d9b-81d2-a3a8b82dd47d_ActionId">
    <vt:lpwstr>bbeb1ee3-5dd2-4e83-a012-c761bbddc478</vt:lpwstr>
  </property>
  <property fmtid="{D5CDD505-2E9C-101B-9397-08002B2CF9AE}" pid="8" name="MSIP_Label_4f932d64-9ab1-4d9b-81d2-a3a8b82dd47d_ContentBits">
    <vt:lpwstr>0</vt:lpwstr>
  </property>
  <property fmtid="{D5CDD505-2E9C-101B-9397-08002B2CF9AE}" pid="9" name="MSIP_Label_4f932d64-9ab1-4d9b-81d2-a3a8b82dd47d_Tag">
    <vt:lpwstr>10, 0, 1, 1</vt:lpwstr>
  </property>
</Properties>
</file>