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CA0" w:rsidRPr="00FE17FC" w:rsidRDefault="00A31CA0" w:rsidP="00A31CA0">
      <w:pPr>
        <w:pStyle w:val="Heading1"/>
      </w:pPr>
      <w:r w:rsidRPr="00FE17FC">
        <w:t>Part 1: Australian G</w:t>
      </w:r>
      <w:r w:rsidR="0052787E" w:rsidRPr="00FE17FC">
        <w:t>overnment Budget Outcome 2019</w:t>
      </w:r>
      <w:r w:rsidR="00A7636B" w:rsidRPr="00FE17FC">
        <w:noBreakHyphen/>
      </w:r>
      <w:r w:rsidR="0052787E" w:rsidRPr="00FE17FC">
        <w:t>20</w:t>
      </w:r>
    </w:p>
    <w:p w:rsidR="00A31CA0" w:rsidRPr="00FE17FC" w:rsidRDefault="00A31CA0" w:rsidP="00A31CA0">
      <w:pPr>
        <w:pStyle w:val="Heading2"/>
        <w:rPr>
          <w:bCs/>
        </w:rPr>
      </w:pPr>
      <w:r w:rsidRPr="00FE17FC">
        <w:rPr>
          <w:bCs/>
        </w:rPr>
        <w:t>Overview</w:t>
      </w:r>
    </w:p>
    <w:p w:rsidR="00A31CA0" w:rsidRPr="00FE17FC" w:rsidRDefault="001A0581" w:rsidP="00EB0636">
      <w:r w:rsidRPr="00FE17FC">
        <w:t>In 2019</w:t>
      </w:r>
      <w:r w:rsidR="00A7636B" w:rsidRPr="00FE17FC">
        <w:noBreakHyphen/>
      </w:r>
      <w:r w:rsidRPr="00FE17FC">
        <w:t>20</w:t>
      </w:r>
      <w:r w:rsidR="00A31CA0" w:rsidRPr="00FE17FC">
        <w:t>,</w:t>
      </w:r>
      <w:r w:rsidR="00F71A9A" w:rsidRPr="00FE17FC">
        <w:t xml:space="preserve"> </w:t>
      </w:r>
      <w:r w:rsidR="00A31CA0" w:rsidRPr="00FE17FC">
        <w:t>the Australian Government general government sector recorded an underlying cash deficit of</w:t>
      </w:r>
      <w:r w:rsidR="00AC3418" w:rsidRPr="00FE17FC">
        <w:t xml:space="preserve"> $</w:t>
      </w:r>
      <w:r w:rsidR="006E1999" w:rsidRPr="00FE17FC">
        <w:t>85.3</w:t>
      </w:r>
      <w:r w:rsidR="006E1CED" w:rsidRPr="00FE17FC">
        <w:t xml:space="preserve"> </w:t>
      </w:r>
      <w:r w:rsidR="00A31CA0" w:rsidRPr="00EB0636">
        <w:t>billion</w:t>
      </w:r>
      <w:r w:rsidR="00A31CA0" w:rsidRPr="00FE17FC">
        <w:t xml:space="preserve"> (</w:t>
      </w:r>
      <w:r w:rsidR="006E1CED" w:rsidRPr="00FE17FC">
        <w:t xml:space="preserve">4.3 </w:t>
      </w:r>
      <w:r w:rsidR="00A31CA0" w:rsidRPr="00FE17FC">
        <w:t xml:space="preserve">per cent of gross domestic product (GDP)). The net operating balance was in </w:t>
      </w:r>
      <w:r w:rsidR="009135F9" w:rsidRPr="00FE17FC">
        <w:t>deficit</w:t>
      </w:r>
      <w:r w:rsidR="00A31CA0" w:rsidRPr="00FE17FC">
        <w:t xml:space="preserve"> by $</w:t>
      </w:r>
      <w:r w:rsidR="006E1999" w:rsidRPr="00FE17FC">
        <w:t>92.3</w:t>
      </w:r>
      <w:r w:rsidR="006E1CED" w:rsidRPr="00FE17FC">
        <w:t xml:space="preserve"> </w:t>
      </w:r>
      <w:r w:rsidR="00A31CA0" w:rsidRPr="00FE17FC">
        <w:t>billion (</w:t>
      </w:r>
      <w:r w:rsidR="006E1CED" w:rsidRPr="00FE17FC">
        <w:t>4.</w:t>
      </w:r>
      <w:r w:rsidR="006E1999" w:rsidRPr="00FE17FC">
        <w:t>7</w:t>
      </w:r>
      <w:r w:rsidR="006E1CED" w:rsidRPr="00FE17FC">
        <w:t xml:space="preserve"> </w:t>
      </w:r>
      <w:r w:rsidR="00A31CA0" w:rsidRPr="00FE17FC">
        <w:t>per cent of GDP).</w:t>
      </w:r>
      <w:r w:rsidR="004768A0" w:rsidRPr="00FE17FC">
        <w:t xml:space="preserve"> </w:t>
      </w:r>
    </w:p>
    <w:p w:rsidR="00DB73D9" w:rsidRPr="00FE17FC" w:rsidRDefault="001709C6" w:rsidP="00052538">
      <w:r w:rsidRPr="00FE17FC">
        <w:t>The global COVID</w:t>
      </w:r>
      <w:r w:rsidR="00A7636B" w:rsidRPr="00FE17FC">
        <w:noBreakHyphen/>
      </w:r>
      <w:r w:rsidRPr="00FE17FC">
        <w:t xml:space="preserve">19 pandemic has caused severe contractions in economic activity and the Government has provided critical and unprecedented support to Australian households, businesses and industries affected since </w:t>
      </w:r>
      <w:r w:rsidR="000052EA" w:rsidRPr="00FE17FC">
        <w:t>March 2020</w:t>
      </w:r>
      <w:r w:rsidRPr="00FE17FC">
        <w:t>.</w:t>
      </w:r>
    </w:p>
    <w:p w:rsidR="002D203D" w:rsidRPr="00FE17FC" w:rsidRDefault="002D203D" w:rsidP="00052538">
      <w:r w:rsidRPr="00FE17FC">
        <w:t>The Final Budget Outcome for 2019</w:t>
      </w:r>
      <w:r w:rsidR="00A7636B" w:rsidRPr="00FE17FC">
        <w:noBreakHyphen/>
      </w:r>
      <w:r w:rsidRPr="00FE17FC">
        <w:t>20 is broadly consistent with the July 2020 Economic and Fiscal Update (July Update)</w:t>
      </w:r>
      <w:r w:rsidR="00E174C8" w:rsidRPr="00FE17FC">
        <w:t xml:space="preserve">. The </w:t>
      </w:r>
      <w:r w:rsidR="0009186F" w:rsidRPr="00FE17FC">
        <w:t>f</w:t>
      </w:r>
      <w:r w:rsidR="00E174C8" w:rsidRPr="00FE17FC">
        <w:t xml:space="preserve">inal </w:t>
      </w:r>
      <w:r w:rsidR="0009186F" w:rsidRPr="00FE17FC">
        <w:t>o</w:t>
      </w:r>
      <w:r w:rsidR="00E174C8" w:rsidRPr="00FE17FC">
        <w:t xml:space="preserve">utcome for </w:t>
      </w:r>
      <w:r w:rsidR="003230D8" w:rsidRPr="00FE17FC">
        <w:t xml:space="preserve">the </w:t>
      </w:r>
      <w:r w:rsidR="00E174C8" w:rsidRPr="00FE17FC">
        <w:t>2019</w:t>
      </w:r>
      <w:r w:rsidR="00A7636B" w:rsidRPr="00FE17FC">
        <w:noBreakHyphen/>
      </w:r>
      <w:r w:rsidR="00E174C8" w:rsidRPr="00FE17FC">
        <w:t xml:space="preserve">20 </w:t>
      </w:r>
      <w:r w:rsidR="005A125F" w:rsidRPr="00FE17FC">
        <w:t xml:space="preserve">underlying cash balance </w:t>
      </w:r>
      <w:r w:rsidR="00E174C8" w:rsidRPr="00FE17FC">
        <w:t>is a</w:t>
      </w:r>
      <w:r w:rsidR="004E3BF0" w:rsidRPr="00FE17FC">
        <w:t>n improvement</w:t>
      </w:r>
      <w:r w:rsidR="00E174C8" w:rsidRPr="00FE17FC">
        <w:t xml:space="preserve"> of </w:t>
      </w:r>
      <w:r w:rsidR="006E1999" w:rsidRPr="00FE17FC">
        <w:t>$0.5</w:t>
      </w:r>
      <w:r w:rsidR="00E174C8" w:rsidRPr="00FE17FC">
        <w:t xml:space="preserve"> billion </w:t>
      </w:r>
      <w:r w:rsidR="005A125F" w:rsidRPr="00FE17FC">
        <w:t>from the preliminary expected outcome at the July Update.</w:t>
      </w:r>
      <w:r w:rsidR="00840840" w:rsidRPr="00FE17FC">
        <w:t xml:space="preserve"> </w:t>
      </w:r>
      <w:r w:rsidR="00815A5D" w:rsidRPr="00FE17FC">
        <w:t xml:space="preserve">The final outcome for net debt was $491.2 billion at </w:t>
      </w:r>
      <w:r w:rsidR="006F5CCE" w:rsidRPr="00FE17FC">
        <w:t>the end of 2019</w:t>
      </w:r>
      <w:r w:rsidR="00A7636B" w:rsidRPr="00FE17FC">
        <w:noBreakHyphen/>
      </w:r>
      <w:r w:rsidR="006F5CCE" w:rsidRPr="00FE17FC">
        <w:t>20</w:t>
      </w:r>
      <w:r w:rsidR="00815A5D" w:rsidRPr="00FE17FC">
        <w:t>, $3.0</w:t>
      </w:r>
      <w:r w:rsidR="00D17214" w:rsidRPr="00FE17FC">
        <w:t> </w:t>
      </w:r>
      <w:r w:rsidR="00815A5D" w:rsidRPr="00FE17FC">
        <w:t xml:space="preserve">billion higher than the preliminary estimate included in the July Update. </w:t>
      </w:r>
    </w:p>
    <w:p w:rsidR="0077065F" w:rsidRPr="00FE17FC" w:rsidRDefault="00AC708D" w:rsidP="000F3274">
      <w:pPr>
        <w:pStyle w:val="TableHeading"/>
      </w:pPr>
      <w:r w:rsidRPr="00FE17FC">
        <w:t>Table 1</w:t>
      </w:r>
      <w:r w:rsidR="00102CDA" w:rsidRPr="00FE17FC">
        <w:t xml:space="preserve">: </w:t>
      </w:r>
      <w:r w:rsidRPr="00FE17FC">
        <w:t xml:space="preserve">Australian Government general </w:t>
      </w:r>
      <w:r w:rsidRPr="000F3274">
        <w:t>government</w:t>
      </w:r>
      <w:r w:rsidRPr="00FE17FC">
        <w:t xml:space="preserve"> sector </w:t>
      </w:r>
      <w:r w:rsidR="00B0229A" w:rsidRPr="00FE17FC">
        <w:t xml:space="preserve">budget aggregates </w:t>
      </w:r>
      <w:r w:rsidRPr="00FE17FC">
        <w:t xml:space="preserve">since the July 2020 Economic and Fiscal Update </w:t>
      </w:r>
      <w:r w:rsidR="0077065F" w:rsidRPr="00FE17FC">
        <w:fldChar w:fldCharType="begin" w:fldLock="1"/>
      </w:r>
      <w:r w:rsidR="0077065F" w:rsidRPr="00FE17FC">
        <w:instrText xml:space="preserve"> LINK Excel.SheetMacroEnabled.12 "\\\\budget.gov\\budget_shares\\Budget$\\2019-20 FBO\\01 Outcomes\\02 Outcomes charts and tables\\Final FARM tables formatted.xlsm" "Adjusted Table 1!R4C11:R28C17" \a \f 4 \h </w:instrText>
      </w:r>
      <w:r w:rsidR="0077065F" w:rsidRPr="00FE17FC">
        <w:fldChar w:fldCharType="separate"/>
      </w:r>
    </w:p>
    <w:tbl>
      <w:tblPr>
        <w:tblW w:w="5000" w:type="pct"/>
        <w:tblLook w:val="04A0" w:firstRow="1" w:lastRow="0" w:firstColumn="1" w:lastColumn="0" w:noHBand="0" w:noVBand="1"/>
      </w:tblPr>
      <w:tblGrid>
        <w:gridCol w:w="4101"/>
        <w:gridCol w:w="1203"/>
        <w:gridCol w:w="1203"/>
        <w:gridCol w:w="1203"/>
      </w:tblGrid>
      <w:tr w:rsidR="0077065F" w:rsidRPr="00FE17FC" w:rsidTr="00157CFF">
        <w:trPr>
          <w:trHeight w:hRule="exact" w:val="225"/>
        </w:trPr>
        <w:tc>
          <w:tcPr>
            <w:tcW w:w="2660" w:type="pct"/>
            <w:tcBorders>
              <w:top w:val="single" w:sz="4" w:space="0" w:color="000000"/>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780" w:type="pct"/>
            <w:tcBorders>
              <w:top w:val="single" w:sz="4" w:space="0" w:color="000000"/>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Economic</w:t>
            </w:r>
          </w:p>
        </w:tc>
        <w:tc>
          <w:tcPr>
            <w:tcW w:w="780" w:type="pct"/>
            <w:tcBorders>
              <w:top w:val="single" w:sz="4" w:space="0" w:color="000000"/>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780" w:type="pct"/>
            <w:tcBorders>
              <w:top w:val="single" w:sz="4" w:space="0" w:color="000000"/>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Change on</w:t>
            </w:r>
          </w:p>
        </w:tc>
      </w:tr>
      <w:tr w:rsidR="0077065F" w:rsidRPr="00FE17FC" w:rsidTr="00157CFF">
        <w:trPr>
          <w:trHeight w:hRule="exact" w:val="225"/>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and Fiscal</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Outcome</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Economic</w:t>
            </w:r>
          </w:p>
        </w:tc>
      </w:tr>
      <w:tr w:rsidR="0077065F" w:rsidRPr="00FE17FC" w:rsidTr="00157CFF">
        <w:trPr>
          <w:trHeight w:hRule="exact" w:val="225"/>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Update</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and Fiscal</w:t>
            </w:r>
          </w:p>
        </w:tc>
      </w:tr>
      <w:tr w:rsidR="0077065F" w:rsidRPr="00FE17FC" w:rsidTr="00157CFF">
        <w:trPr>
          <w:trHeight w:hRule="exact" w:val="225"/>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Update</w:t>
            </w:r>
          </w:p>
        </w:tc>
      </w:tr>
      <w:tr w:rsidR="0077065F" w:rsidRPr="00FE17FC" w:rsidTr="00157CFF">
        <w:trPr>
          <w:trHeight w:hRule="exact" w:val="225"/>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780" w:type="pct"/>
            <w:tcBorders>
              <w:top w:val="nil"/>
              <w:left w:val="nil"/>
              <w:bottom w:val="single" w:sz="4" w:space="0" w:color="000000"/>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$b</w:t>
            </w:r>
          </w:p>
        </w:tc>
        <w:tc>
          <w:tcPr>
            <w:tcW w:w="780" w:type="pct"/>
            <w:tcBorders>
              <w:top w:val="nil"/>
              <w:left w:val="nil"/>
              <w:bottom w:val="single" w:sz="4" w:space="0" w:color="000000"/>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$b</w:t>
            </w:r>
          </w:p>
        </w:tc>
        <w:tc>
          <w:tcPr>
            <w:tcW w:w="780" w:type="pct"/>
            <w:tcBorders>
              <w:top w:val="nil"/>
              <w:left w:val="nil"/>
              <w:bottom w:val="single" w:sz="4" w:space="0" w:color="000000"/>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$b</w:t>
            </w:r>
          </w:p>
        </w:tc>
      </w:tr>
      <w:tr w:rsidR="0077065F" w:rsidRPr="00FE17FC" w:rsidTr="00157CFF">
        <w:trPr>
          <w:trHeight w:hRule="exact" w:val="225"/>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b/>
                <w:bCs/>
                <w:sz w:val="16"/>
                <w:szCs w:val="16"/>
              </w:rPr>
            </w:pPr>
            <w:r w:rsidRPr="00FE17FC">
              <w:rPr>
                <w:rFonts w:ascii="Arial" w:hAnsi="Arial" w:cs="Arial"/>
                <w:b/>
                <w:bCs/>
                <w:sz w:val="16"/>
                <w:szCs w:val="16"/>
              </w:rPr>
              <w:t>Receipts</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b/>
                <w:bCs/>
                <w:sz w:val="16"/>
                <w:szCs w:val="16"/>
              </w:rPr>
            </w:pPr>
            <w:r w:rsidRPr="00FE17FC">
              <w:rPr>
                <w:rFonts w:ascii="Arial" w:hAnsi="Arial" w:cs="Arial"/>
                <w:b/>
                <w:bCs/>
                <w:sz w:val="16"/>
                <w:szCs w:val="16"/>
              </w:rPr>
              <w:t>469.5</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b/>
                <w:bCs/>
                <w:sz w:val="16"/>
                <w:szCs w:val="16"/>
              </w:rPr>
            </w:pPr>
            <w:r w:rsidRPr="00FE17FC">
              <w:rPr>
                <w:rFonts w:ascii="Arial" w:hAnsi="Arial" w:cs="Arial"/>
                <w:b/>
                <w:bCs/>
                <w:sz w:val="16"/>
                <w:szCs w:val="16"/>
              </w:rPr>
              <w:t>469.4</w:t>
            </w:r>
          </w:p>
        </w:tc>
        <w:tc>
          <w:tcPr>
            <w:tcW w:w="780" w:type="pct"/>
            <w:tcBorders>
              <w:top w:val="nil"/>
              <w:left w:val="nil"/>
              <w:bottom w:val="nil"/>
              <w:right w:val="nil"/>
            </w:tcBorders>
            <w:shd w:val="clear" w:color="000000" w:fill="FFFFFF"/>
            <w:noWrap/>
            <w:vAlign w:val="center"/>
            <w:hideMark/>
          </w:tcPr>
          <w:p w:rsidR="0077065F"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7065F" w:rsidRPr="00FE17FC">
              <w:rPr>
                <w:rFonts w:ascii="Arial" w:hAnsi="Arial" w:cs="Arial"/>
                <w:b/>
                <w:bCs/>
                <w:sz w:val="16"/>
                <w:szCs w:val="16"/>
              </w:rPr>
              <w:t>0.1</w:t>
            </w:r>
          </w:p>
        </w:tc>
      </w:tr>
      <w:tr w:rsidR="0077065F" w:rsidRPr="00FE17FC" w:rsidTr="00157CFF">
        <w:trPr>
          <w:trHeight w:hRule="exact" w:val="225"/>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23.6</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23.7</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7065F" w:rsidRPr="00FE17FC" w:rsidTr="00157CFF">
        <w:trPr>
          <w:trHeight w:hRule="exact" w:val="60"/>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7065F" w:rsidRPr="00FE17FC" w:rsidTr="00157CFF">
        <w:trPr>
          <w:trHeight w:hRule="exact" w:val="225"/>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b/>
                <w:bCs/>
                <w:sz w:val="16"/>
                <w:szCs w:val="16"/>
              </w:rPr>
            </w:pPr>
            <w:r w:rsidRPr="00FE17FC">
              <w:rPr>
                <w:rFonts w:ascii="Arial" w:hAnsi="Arial" w:cs="Arial"/>
                <w:b/>
                <w:bCs/>
                <w:sz w:val="16"/>
                <w:szCs w:val="16"/>
              </w:rPr>
              <w:t>Payments(a)</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b/>
                <w:bCs/>
                <w:sz w:val="16"/>
                <w:szCs w:val="16"/>
              </w:rPr>
            </w:pPr>
            <w:r w:rsidRPr="00FE17FC">
              <w:rPr>
                <w:rFonts w:ascii="Arial" w:hAnsi="Arial" w:cs="Arial"/>
                <w:b/>
                <w:bCs/>
                <w:sz w:val="16"/>
                <w:szCs w:val="16"/>
              </w:rPr>
              <w:t>550.0</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b/>
                <w:bCs/>
                <w:sz w:val="16"/>
                <w:szCs w:val="16"/>
              </w:rPr>
            </w:pPr>
            <w:r w:rsidRPr="00FE17FC">
              <w:rPr>
                <w:rFonts w:ascii="Arial" w:hAnsi="Arial" w:cs="Arial"/>
                <w:b/>
                <w:bCs/>
                <w:sz w:val="16"/>
                <w:szCs w:val="16"/>
              </w:rPr>
              <w:t>549.6</w:t>
            </w:r>
          </w:p>
        </w:tc>
        <w:tc>
          <w:tcPr>
            <w:tcW w:w="780" w:type="pct"/>
            <w:tcBorders>
              <w:top w:val="nil"/>
              <w:left w:val="nil"/>
              <w:bottom w:val="nil"/>
              <w:right w:val="nil"/>
            </w:tcBorders>
            <w:shd w:val="clear" w:color="000000" w:fill="FFFFFF"/>
            <w:noWrap/>
            <w:vAlign w:val="center"/>
            <w:hideMark/>
          </w:tcPr>
          <w:p w:rsidR="0077065F"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7065F" w:rsidRPr="00FE17FC">
              <w:rPr>
                <w:rFonts w:ascii="Arial" w:hAnsi="Arial" w:cs="Arial"/>
                <w:b/>
                <w:bCs/>
                <w:sz w:val="16"/>
                <w:szCs w:val="16"/>
              </w:rPr>
              <w:t>0.3</w:t>
            </w:r>
          </w:p>
        </w:tc>
      </w:tr>
      <w:tr w:rsidR="0077065F" w:rsidRPr="00FE17FC" w:rsidTr="00157CFF">
        <w:trPr>
          <w:trHeight w:hRule="exact" w:val="225"/>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27.7</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27.7</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7065F" w:rsidRPr="00FE17FC" w:rsidTr="00157CFF">
        <w:trPr>
          <w:trHeight w:hRule="exact" w:val="60"/>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7065F" w:rsidRPr="00FE17FC" w:rsidTr="00157CFF">
        <w:trPr>
          <w:trHeight w:hRule="exact" w:val="225"/>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Net Future Fund earnings</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5.3</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5.0</w:t>
            </w:r>
          </w:p>
        </w:tc>
        <w:tc>
          <w:tcPr>
            <w:tcW w:w="780" w:type="pct"/>
            <w:tcBorders>
              <w:top w:val="nil"/>
              <w:left w:val="nil"/>
              <w:bottom w:val="nil"/>
              <w:right w:val="nil"/>
            </w:tcBorders>
            <w:shd w:val="clear" w:color="000000" w:fill="FFFFFF"/>
            <w:noWrap/>
            <w:vAlign w:val="center"/>
            <w:hideMark/>
          </w:tcPr>
          <w:p w:rsidR="0077065F"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7065F" w:rsidRPr="00FE17FC">
              <w:rPr>
                <w:rFonts w:ascii="Arial" w:hAnsi="Arial" w:cs="Arial"/>
                <w:sz w:val="16"/>
                <w:szCs w:val="16"/>
              </w:rPr>
              <w:t>0.3</w:t>
            </w:r>
          </w:p>
        </w:tc>
      </w:tr>
      <w:tr w:rsidR="0077065F" w:rsidRPr="00FE17FC" w:rsidTr="00157CFF">
        <w:trPr>
          <w:trHeight w:hRule="exact" w:val="60"/>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7065F" w:rsidRPr="00FE17FC" w:rsidTr="00157CFF">
        <w:trPr>
          <w:trHeight w:hRule="exact" w:val="225"/>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b/>
                <w:bCs/>
                <w:sz w:val="16"/>
                <w:szCs w:val="16"/>
              </w:rPr>
            </w:pPr>
            <w:r w:rsidRPr="00FE17FC">
              <w:rPr>
                <w:rFonts w:ascii="Arial" w:hAnsi="Arial" w:cs="Arial"/>
                <w:b/>
                <w:bCs/>
                <w:sz w:val="16"/>
                <w:szCs w:val="16"/>
              </w:rPr>
              <w:t>Underlying cash balance(b)</w:t>
            </w:r>
          </w:p>
        </w:tc>
        <w:tc>
          <w:tcPr>
            <w:tcW w:w="780" w:type="pct"/>
            <w:tcBorders>
              <w:top w:val="nil"/>
              <w:left w:val="nil"/>
              <w:bottom w:val="nil"/>
              <w:right w:val="nil"/>
            </w:tcBorders>
            <w:shd w:val="clear" w:color="000000" w:fill="FFFFFF"/>
            <w:noWrap/>
            <w:vAlign w:val="center"/>
            <w:hideMark/>
          </w:tcPr>
          <w:p w:rsidR="0077065F"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7065F" w:rsidRPr="00FE17FC">
              <w:rPr>
                <w:rFonts w:ascii="Arial" w:hAnsi="Arial" w:cs="Arial"/>
                <w:b/>
                <w:bCs/>
                <w:sz w:val="16"/>
                <w:szCs w:val="16"/>
              </w:rPr>
              <w:t>85.8</w:t>
            </w:r>
          </w:p>
        </w:tc>
        <w:tc>
          <w:tcPr>
            <w:tcW w:w="780" w:type="pct"/>
            <w:tcBorders>
              <w:top w:val="nil"/>
              <w:left w:val="nil"/>
              <w:bottom w:val="nil"/>
              <w:right w:val="nil"/>
            </w:tcBorders>
            <w:shd w:val="clear" w:color="000000" w:fill="E6E6E6"/>
            <w:noWrap/>
            <w:vAlign w:val="center"/>
            <w:hideMark/>
          </w:tcPr>
          <w:p w:rsidR="0077065F"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7065F" w:rsidRPr="00FE17FC">
              <w:rPr>
                <w:rFonts w:ascii="Arial" w:hAnsi="Arial" w:cs="Arial"/>
                <w:b/>
                <w:bCs/>
                <w:sz w:val="16"/>
                <w:szCs w:val="16"/>
              </w:rPr>
              <w:t>85.3</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b/>
                <w:bCs/>
                <w:sz w:val="16"/>
                <w:szCs w:val="16"/>
              </w:rPr>
            </w:pPr>
            <w:r w:rsidRPr="00FE17FC">
              <w:rPr>
                <w:rFonts w:ascii="Arial" w:hAnsi="Arial" w:cs="Arial"/>
                <w:b/>
                <w:bCs/>
                <w:sz w:val="16"/>
                <w:szCs w:val="16"/>
              </w:rPr>
              <w:t>0.5</w:t>
            </w:r>
          </w:p>
        </w:tc>
      </w:tr>
      <w:tr w:rsidR="0077065F" w:rsidRPr="00FE17FC" w:rsidTr="00157CFF">
        <w:trPr>
          <w:trHeight w:hRule="exact" w:val="225"/>
        </w:trPr>
        <w:tc>
          <w:tcPr>
            <w:tcW w:w="2660" w:type="pct"/>
            <w:tcBorders>
              <w:top w:val="nil"/>
              <w:left w:val="nil"/>
              <w:bottom w:val="single" w:sz="4" w:space="0" w:color="000000"/>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780" w:type="pct"/>
            <w:tcBorders>
              <w:top w:val="nil"/>
              <w:left w:val="nil"/>
              <w:bottom w:val="single" w:sz="4" w:space="0" w:color="000000"/>
              <w:right w:val="nil"/>
            </w:tcBorders>
            <w:shd w:val="clear" w:color="000000" w:fill="FFFFFF"/>
            <w:noWrap/>
            <w:vAlign w:val="center"/>
            <w:hideMark/>
          </w:tcPr>
          <w:p w:rsidR="0077065F"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7065F" w:rsidRPr="00FE17FC">
              <w:rPr>
                <w:rFonts w:ascii="Arial" w:hAnsi="Arial" w:cs="Arial"/>
                <w:sz w:val="16"/>
                <w:szCs w:val="16"/>
              </w:rPr>
              <w:t>4.3</w:t>
            </w:r>
          </w:p>
        </w:tc>
        <w:tc>
          <w:tcPr>
            <w:tcW w:w="780" w:type="pct"/>
            <w:tcBorders>
              <w:top w:val="nil"/>
              <w:left w:val="nil"/>
              <w:bottom w:val="single" w:sz="4" w:space="0" w:color="000000"/>
              <w:right w:val="nil"/>
            </w:tcBorders>
            <w:shd w:val="clear" w:color="000000" w:fill="E6E6E6"/>
            <w:noWrap/>
            <w:vAlign w:val="center"/>
            <w:hideMark/>
          </w:tcPr>
          <w:p w:rsidR="0077065F"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7065F" w:rsidRPr="00FE17FC">
              <w:rPr>
                <w:rFonts w:ascii="Arial" w:hAnsi="Arial" w:cs="Arial"/>
                <w:sz w:val="16"/>
                <w:szCs w:val="16"/>
              </w:rPr>
              <w:t>4.3</w:t>
            </w:r>
          </w:p>
        </w:tc>
        <w:tc>
          <w:tcPr>
            <w:tcW w:w="780" w:type="pct"/>
            <w:tcBorders>
              <w:top w:val="nil"/>
              <w:left w:val="nil"/>
              <w:bottom w:val="single" w:sz="4" w:space="0" w:color="000000"/>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7065F" w:rsidRPr="00FE17FC" w:rsidTr="00157CFF">
        <w:trPr>
          <w:trHeight w:hRule="exact" w:val="60"/>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7065F" w:rsidRPr="00FE17FC" w:rsidTr="00157CFF">
        <w:trPr>
          <w:trHeight w:hRule="exact" w:val="225"/>
        </w:trPr>
        <w:tc>
          <w:tcPr>
            <w:tcW w:w="266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b/>
                <w:bCs/>
                <w:sz w:val="16"/>
                <w:szCs w:val="16"/>
              </w:rPr>
            </w:pPr>
            <w:r w:rsidRPr="00FE17FC">
              <w:rPr>
                <w:rFonts w:ascii="Arial" w:hAnsi="Arial" w:cs="Arial"/>
                <w:b/>
                <w:bCs/>
                <w:sz w:val="16"/>
                <w:szCs w:val="16"/>
              </w:rPr>
              <w:t>Net debt(c)</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b/>
                <w:bCs/>
                <w:sz w:val="16"/>
                <w:szCs w:val="16"/>
              </w:rPr>
            </w:pPr>
            <w:r w:rsidRPr="00FE17FC">
              <w:rPr>
                <w:rFonts w:ascii="Arial" w:hAnsi="Arial" w:cs="Arial"/>
                <w:b/>
                <w:bCs/>
                <w:sz w:val="16"/>
                <w:szCs w:val="16"/>
              </w:rPr>
              <w:t>488.2</w:t>
            </w:r>
          </w:p>
        </w:tc>
        <w:tc>
          <w:tcPr>
            <w:tcW w:w="780" w:type="pct"/>
            <w:tcBorders>
              <w:top w:val="nil"/>
              <w:left w:val="nil"/>
              <w:bottom w:val="nil"/>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b/>
                <w:bCs/>
                <w:sz w:val="16"/>
                <w:szCs w:val="16"/>
              </w:rPr>
            </w:pPr>
            <w:r w:rsidRPr="00FE17FC">
              <w:rPr>
                <w:rFonts w:ascii="Arial" w:hAnsi="Arial" w:cs="Arial"/>
                <w:b/>
                <w:bCs/>
                <w:sz w:val="16"/>
                <w:szCs w:val="16"/>
              </w:rPr>
              <w:t>491.2</w:t>
            </w:r>
          </w:p>
        </w:tc>
        <w:tc>
          <w:tcPr>
            <w:tcW w:w="780" w:type="pct"/>
            <w:tcBorders>
              <w:top w:val="nil"/>
              <w:left w:val="nil"/>
              <w:bottom w:val="nil"/>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b/>
                <w:bCs/>
                <w:sz w:val="16"/>
                <w:szCs w:val="16"/>
              </w:rPr>
            </w:pPr>
            <w:r w:rsidRPr="00FE17FC">
              <w:rPr>
                <w:rFonts w:ascii="Arial" w:hAnsi="Arial" w:cs="Arial"/>
                <w:b/>
                <w:bCs/>
                <w:sz w:val="16"/>
                <w:szCs w:val="16"/>
              </w:rPr>
              <w:t>3.0</w:t>
            </w:r>
          </w:p>
        </w:tc>
      </w:tr>
      <w:tr w:rsidR="0077065F" w:rsidRPr="00FE17FC" w:rsidTr="00157CFF">
        <w:trPr>
          <w:trHeight w:hRule="exact" w:val="225"/>
        </w:trPr>
        <w:tc>
          <w:tcPr>
            <w:tcW w:w="2660" w:type="pct"/>
            <w:tcBorders>
              <w:top w:val="nil"/>
              <w:left w:val="nil"/>
              <w:bottom w:val="single" w:sz="4" w:space="0" w:color="000000"/>
              <w:right w:val="nil"/>
            </w:tcBorders>
            <w:shd w:val="clear" w:color="000000" w:fill="FFFFFF"/>
            <w:noWrap/>
            <w:vAlign w:val="center"/>
            <w:hideMark/>
          </w:tcPr>
          <w:p w:rsidR="0077065F" w:rsidRPr="00FE17FC" w:rsidRDefault="0077065F"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780" w:type="pct"/>
            <w:tcBorders>
              <w:top w:val="nil"/>
              <w:left w:val="nil"/>
              <w:bottom w:val="single" w:sz="4" w:space="0" w:color="000000"/>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24.6</w:t>
            </w:r>
          </w:p>
        </w:tc>
        <w:tc>
          <w:tcPr>
            <w:tcW w:w="780" w:type="pct"/>
            <w:tcBorders>
              <w:top w:val="nil"/>
              <w:left w:val="nil"/>
              <w:bottom w:val="single" w:sz="4" w:space="0" w:color="000000"/>
              <w:right w:val="nil"/>
            </w:tcBorders>
            <w:shd w:val="clear" w:color="000000" w:fill="E6E6E6"/>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24.8</w:t>
            </w:r>
          </w:p>
        </w:tc>
        <w:tc>
          <w:tcPr>
            <w:tcW w:w="780" w:type="pct"/>
            <w:tcBorders>
              <w:top w:val="nil"/>
              <w:left w:val="nil"/>
              <w:bottom w:val="single" w:sz="4" w:space="0" w:color="000000"/>
              <w:right w:val="nil"/>
            </w:tcBorders>
            <w:shd w:val="clear" w:color="000000" w:fill="FFFFFF"/>
            <w:noWrap/>
            <w:vAlign w:val="center"/>
            <w:hideMark/>
          </w:tcPr>
          <w:p w:rsidR="0077065F" w:rsidRPr="00FE17FC" w:rsidRDefault="0077065F" w:rsidP="000F3274">
            <w:pPr>
              <w:spacing w:after="0" w:line="240" w:lineRule="auto"/>
              <w:jc w:val="right"/>
              <w:rPr>
                <w:rFonts w:ascii="Arial" w:hAnsi="Arial" w:cs="Arial"/>
                <w:sz w:val="16"/>
                <w:szCs w:val="16"/>
              </w:rPr>
            </w:pPr>
            <w:r w:rsidRPr="00FE17FC">
              <w:rPr>
                <w:rFonts w:ascii="Arial" w:hAnsi="Arial" w:cs="Arial"/>
                <w:sz w:val="16"/>
                <w:szCs w:val="16"/>
              </w:rPr>
              <w:t> </w:t>
            </w:r>
          </w:p>
        </w:tc>
      </w:tr>
    </w:tbl>
    <w:p w:rsidR="00102CDA" w:rsidRPr="000F3274" w:rsidRDefault="0077065F" w:rsidP="000F3274">
      <w:pPr>
        <w:pStyle w:val="ChartandTableFootnoteAlpha"/>
      </w:pPr>
      <w:r w:rsidRPr="00FE17FC">
        <w:fldChar w:fldCharType="end"/>
      </w:r>
      <w:r w:rsidR="00102CDA" w:rsidRPr="000F3274">
        <w:t>Equivalent to cash payments for operating activities, purchases of non</w:t>
      </w:r>
      <w:r w:rsidR="00A7636B" w:rsidRPr="000F3274">
        <w:noBreakHyphen/>
      </w:r>
      <w:r w:rsidR="00102CDA" w:rsidRPr="000F3274">
        <w:t>financial assets and net cash flows from financing activities for leases.</w:t>
      </w:r>
    </w:p>
    <w:p w:rsidR="00052538" w:rsidRPr="000F3274" w:rsidRDefault="00102CDA" w:rsidP="000F3274">
      <w:pPr>
        <w:pStyle w:val="ChartandTableFootnoteAlpha"/>
      </w:pPr>
      <w:r w:rsidRPr="000F3274">
        <w:t>Excludes net Future Fund earnings.</w:t>
      </w:r>
      <w:r w:rsidRPr="000F3274">
        <w:tab/>
      </w:r>
    </w:p>
    <w:p w:rsidR="00523562" w:rsidRPr="000F3274" w:rsidRDefault="00125D7F" w:rsidP="000F3274">
      <w:pPr>
        <w:pStyle w:val="ChartandTableFootnoteAlpha"/>
      </w:pPr>
      <w:r w:rsidRPr="000F3274">
        <w:t xml:space="preserve">Net debt is the sum of interest bearing liabilities less the sum of selected financial assets (cash and deposits, advances paid, and investments, loans and placements). </w:t>
      </w:r>
    </w:p>
    <w:p w:rsidR="006F2E81" w:rsidRPr="00FE17FC" w:rsidRDefault="006F2E81" w:rsidP="00523562">
      <w:pPr>
        <w:pStyle w:val="ChartandTableFootnoteAlpha"/>
        <w:numPr>
          <w:ilvl w:val="0"/>
          <w:numId w:val="0"/>
        </w:numPr>
      </w:pPr>
      <w:bookmarkStart w:id="0" w:name="_GoBack"/>
      <w:bookmarkEnd w:id="0"/>
    </w:p>
    <w:p w:rsidR="000C5BAD" w:rsidRPr="00FE17FC" w:rsidRDefault="000C5BAD" w:rsidP="00EB0636">
      <w:r w:rsidRPr="00FE17FC">
        <w:rPr>
          <w:rFonts w:cs="Arial"/>
        </w:rPr>
        <w:t xml:space="preserve">The </w:t>
      </w:r>
      <w:r w:rsidRPr="00FE17FC">
        <w:t>underlying cash deficit</w:t>
      </w:r>
      <w:r w:rsidR="00145212" w:rsidRPr="00FE17FC">
        <w:t xml:space="preserve"> for 2019</w:t>
      </w:r>
      <w:r w:rsidR="00A7636B" w:rsidRPr="00FE17FC">
        <w:noBreakHyphen/>
      </w:r>
      <w:r w:rsidR="00145212" w:rsidRPr="00FE17FC">
        <w:t xml:space="preserve">20 of </w:t>
      </w:r>
      <w:r w:rsidR="006E1999" w:rsidRPr="00FE17FC">
        <w:t>$85.3</w:t>
      </w:r>
      <w:r w:rsidR="00145212" w:rsidRPr="00FE17FC">
        <w:t xml:space="preserve"> billion</w:t>
      </w:r>
      <w:r w:rsidRPr="00FE17FC">
        <w:t xml:space="preserve"> compares with a forecast surplus of $5.0 billion at the time of the 2019</w:t>
      </w:r>
      <w:r w:rsidR="00A7636B" w:rsidRPr="00FE17FC">
        <w:noBreakHyphen/>
      </w:r>
      <w:r w:rsidRPr="00FE17FC">
        <w:t xml:space="preserve">20 </w:t>
      </w:r>
      <w:r w:rsidR="000A3A3D" w:rsidRPr="00FE17FC">
        <w:t>Mid</w:t>
      </w:r>
      <w:r w:rsidR="00A7636B" w:rsidRPr="00FE17FC">
        <w:noBreakHyphen/>
      </w:r>
      <w:r w:rsidR="000A3A3D" w:rsidRPr="00FE17FC">
        <w:t>Year Economic and Fiscal Outlook (</w:t>
      </w:r>
      <w:r w:rsidRPr="00FE17FC">
        <w:t>MYEFO</w:t>
      </w:r>
      <w:r w:rsidR="000A3A3D" w:rsidRPr="00FE17FC">
        <w:t>)</w:t>
      </w:r>
      <w:r w:rsidRPr="00FE17FC">
        <w:t xml:space="preserve">. This deterioration </w:t>
      </w:r>
      <w:r w:rsidR="00C46FCB" w:rsidRPr="00FE17FC">
        <w:t>in the underlying cash</w:t>
      </w:r>
      <w:r w:rsidRPr="00FE17FC">
        <w:t xml:space="preserve"> </w:t>
      </w:r>
      <w:r w:rsidRPr="00EB0636">
        <w:t>balance</w:t>
      </w:r>
      <w:r w:rsidRPr="00FE17FC">
        <w:t xml:space="preserve"> was the result of higher total payments ($</w:t>
      </w:r>
      <w:r w:rsidR="006E1999" w:rsidRPr="00FE17FC">
        <w:t>57.7</w:t>
      </w:r>
      <w:r w:rsidRPr="00FE17FC">
        <w:t xml:space="preserve"> billion) and lower total receipts ($33.1 billion) compared to the MYEFO estimates. Net Future Fund earnings, which are excluded from the underlying cash balance, were $</w:t>
      </w:r>
      <w:r w:rsidR="006E1999" w:rsidRPr="00FE17FC">
        <w:t>0.4</w:t>
      </w:r>
      <w:r w:rsidRPr="00FE17FC">
        <w:t xml:space="preserve"> billion </w:t>
      </w:r>
      <w:r w:rsidR="006E1999" w:rsidRPr="00FE17FC">
        <w:t>lower</w:t>
      </w:r>
      <w:r w:rsidRPr="00FE17FC">
        <w:t xml:space="preserve"> than expected at the time of the 2019</w:t>
      </w:r>
      <w:r w:rsidR="00A7636B" w:rsidRPr="00FE17FC">
        <w:noBreakHyphen/>
      </w:r>
      <w:r w:rsidRPr="00FE17FC">
        <w:t>20 MYEFO</w:t>
      </w:r>
      <w:r w:rsidR="00052538" w:rsidRPr="00FE17FC">
        <w:t xml:space="preserve">. </w:t>
      </w:r>
    </w:p>
    <w:p w:rsidR="00C47F41" w:rsidRPr="00FE17FC" w:rsidRDefault="00C47F41" w:rsidP="00052538">
      <w:r w:rsidRPr="00FE17FC">
        <w:lastRenderedPageBreak/>
        <w:t>In net operating terms, the outcome for 2019</w:t>
      </w:r>
      <w:r w:rsidR="00A7636B" w:rsidRPr="00FE17FC">
        <w:noBreakHyphen/>
      </w:r>
      <w:r w:rsidRPr="00FE17FC">
        <w:t>20 was a deficit of $92.3 billion compared with the surplus of $8.0 billion estimated at the time of the 2019</w:t>
      </w:r>
      <w:r w:rsidR="00A7636B" w:rsidRPr="00FE17FC">
        <w:noBreakHyphen/>
      </w:r>
      <w:r w:rsidRPr="00FE17FC">
        <w:t>20 MYEFO, with expenses $75.4 billion higher and revenue $24.9 billion lower than the 2019</w:t>
      </w:r>
      <w:r w:rsidR="00A7636B" w:rsidRPr="00FE17FC">
        <w:noBreakHyphen/>
      </w:r>
      <w:r w:rsidRPr="00FE17FC">
        <w:t xml:space="preserve">20 MYEFO estimates. </w:t>
      </w:r>
    </w:p>
    <w:p w:rsidR="00EC0C2B" w:rsidRPr="00EB0636" w:rsidRDefault="00EC0C2B" w:rsidP="00EB0636">
      <w:r w:rsidRPr="00EB0636">
        <w:t>As</w:t>
      </w:r>
      <w:r w:rsidR="00190F4B" w:rsidRPr="00EB0636">
        <w:t xml:space="preserve"> outlined in detail in the July Update, economic outcomes deteriorated significantly </w:t>
      </w:r>
      <w:r w:rsidRPr="00EB0636">
        <w:t xml:space="preserve">in the first half of 2020 </w:t>
      </w:r>
      <w:r w:rsidR="000C5BAD" w:rsidRPr="00EB0636">
        <w:t>due</w:t>
      </w:r>
      <w:r w:rsidRPr="00EB0636">
        <w:t xml:space="preserve"> to the COVID</w:t>
      </w:r>
      <w:r w:rsidR="00A7636B" w:rsidRPr="00EB0636">
        <w:noBreakHyphen/>
      </w:r>
      <w:r w:rsidR="00644B7B" w:rsidRPr="00EB0636">
        <w:t>19 pandemic. R</w:t>
      </w:r>
      <w:r w:rsidRPr="00EB0636">
        <w:t>eal GDP fell by 0.2 per cent in 2019</w:t>
      </w:r>
      <w:r w:rsidR="00A7636B" w:rsidRPr="00EB0636">
        <w:noBreakHyphen/>
      </w:r>
      <w:r w:rsidRPr="00EB0636">
        <w:t>20</w:t>
      </w:r>
      <w:r w:rsidR="00190F4B" w:rsidRPr="00EB0636">
        <w:t xml:space="preserve"> with g</w:t>
      </w:r>
      <w:r w:rsidRPr="00EB0636">
        <w:t>rowth in household consumption and business investment substantially lower than forecast at MYEFO</w:t>
      </w:r>
      <w:r w:rsidR="00190F4B" w:rsidRPr="00EB0636">
        <w:t>. In contrast,</w:t>
      </w:r>
      <w:r w:rsidRPr="00EB0636">
        <w:t xml:space="preserve"> public final demand and net exports were stronger than forecast. Higher public final demand reflected increased government spending in response to COVID</w:t>
      </w:r>
      <w:r w:rsidR="00A7636B" w:rsidRPr="00EB0636">
        <w:noBreakHyphen/>
      </w:r>
      <w:r w:rsidRPr="00EB0636">
        <w:t>19, while a key factor in the higher contribution of net exports was international travel bans resulting in a large fall in services imports that exceeded the fall in services exports over the first half of 2020. Nominal GDP grew by 1.7 per cent in 2019</w:t>
      </w:r>
      <w:r w:rsidR="00A7636B" w:rsidRPr="00EB0636">
        <w:noBreakHyphen/>
      </w:r>
      <w:r w:rsidRPr="00EB0636">
        <w:t>20</w:t>
      </w:r>
      <w:r w:rsidR="00190F4B" w:rsidRPr="00EB0636">
        <w:t>.</w:t>
      </w:r>
    </w:p>
    <w:p w:rsidR="00EC0C2B" w:rsidRPr="00FE17FC" w:rsidRDefault="00EC0C2B" w:rsidP="00EC0C2B">
      <w:pPr>
        <w:rPr>
          <w:b/>
          <w:bCs/>
          <w:u w:val="single"/>
        </w:rPr>
      </w:pPr>
      <w:r w:rsidRPr="00FE17FC">
        <w:t xml:space="preserve">Reflecting the contraction in economic activity, labour market conditions weakened substantially </w:t>
      </w:r>
      <w:r w:rsidR="00190F4B" w:rsidRPr="00FE17FC">
        <w:t>in the first half of 2020</w:t>
      </w:r>
      <w:r w:rsidRPr="00FE17FC">
        <w:t>. Employment fell by 4.3 per cent through the year to the June quarter 2020</w:t>
      </w:r>
      <w:r w:rsidR="00190F4B" w:rsidRPr="00FE17FC">
        <w:t xml:space="preserve"> and</w:t>
      </w:r>
      <w:r w:rsidRPr="00FE17FC">
        <w:t xml:space="preserve"> the participation rate fell from a record high of 66.1 per cent i</w:t>
      </w:r>
      <w:r w:rsidR="00CE046E" w:rsidRPr="00FE17FC">
        <w:t xml:space="preserve">n the September quarter 2019 to </w:t>
      </w:r>
      <w:r w:rsidRPr="00FE17FC">
        <w:t>63.4 per cent in the June quarter 2020</w:t>
      </w:r>
      <w:r w:rsidR="00190F4B" w:rsidRPr="00FE17FC">
        <w:t>.</w:t>
      </w:r>
      <w:r w:rsidRPr="00FE17FC">
        <w:t xml:space="preserve"> </w:t>
      </w:r>
      <w:r w:rsidR="00190F4B" w:rsidRPr="00FE17FC">
        <w:t>T</w:t>
      </w:r>
      <w:r w:rsidRPr="00FE17FC">
        <w:t>he unemployment rate increased to 7.0 per cent in the June quarter 2020. The Wage Price Index increased by 1.8 per cent through the year to the June quart</w:t>
      </w:r>
      <w:r w:rsidR="00822A57" w:rsidRPr="00FE17FC">
        <w:t xml:space="preserve">er 2020 </w:t>
      </w:r>
      <w:r w:rsidR="00190F4B" w:rsidRPr="00FE17FC">
        <w:t>and c</w:t>
      </w:r>
      <w:r w:rsidRPr="00FE17FC">
        <w:t>ompensation of employees rose by 3.7 per cent in 2019</w:t>
      </w:r>
      <w:r w:rsidR="00A7636B" w:rsidRPr="00FE17FC">
        <w:noBreakHyphen/>
      </w:r>
      <w:r w:rsidRPr="00FE17FC">
        <w:t>20.</w:t>
      </w:r>
    </w:p>
    <w:p w:rsidR="0002099D" w:rsidRPr="00FE17FC" w:rsidRDefault="00A31CA0" w:rsidP="004B6B56">
      <w:r w:rsidRPr="00FE17FC">
        <w:t>Australian Government general government sector net debt was $</w:t>
      </w:r>
      <w:r w:rsidR="00CC449C" w:rsidRPr="00FE17FC">
        <w:t>491.2</w:t>
      </w:r>
      <w:r w:rsidR="007F7E41" w:rsidRPr="00FE17FC">
        <w:t xml:space="preserve"> </w:t>
      </w:r>
      <w:r w:rsidRPr="00FE17FC">
        <w:t xml:space="preserve">billion </w:t>
      </w:r>
      <w:r w:rsidR="007F7E41" w:rsidRPr="00FE17FC">
        <w:t>(</w:t>
      </w:r>
      <w:r w:rsidR="00CC449C" w:rsidRPr="00FE17FC">
        <w:t>24.8</w:t>
      </w:r>
      <w:r w:rsidR="008433FA" w:rsidRPr="00FE17FC">
        <w:t> </w:t>
      </w:r>
      <w:r w:rsidRPr="00FE17FC">
        <w:t>per </w:t>
      </w:r>
      <w:r w:rsidR="005E3DD1" w:rsidRPr="00FE17FC">
        <w:t>cent of GDP) at the end of 20</w:t>
      </w:r>
      <w:r w:rsidRPr="00FE17FC">
        <w:t>19</w:t>
      </w:r>
      <w:r w:rsidR="00A7636B" w:rsidRPr="00FE17FC">
        <w:noBreakHyphen/>
      </w:r>
      <w:r w:rsidR="005E3DD1" w:rsidRPr="00FE17FC">
        <w:t>20</w:t>
      </w:r>
      <w:r w:rsidRPr="00FE17FC">
        <w:t xml:space="preserve">, which was </w:t>
      </w:r>
      <w:r w:rsidR="00F62104" w:rsidRPr="00FE17FC">
        <w:t>$</w:t>
      </w:r>
      <w:r w:rsidR="007F7E41" w:rsidRPr="00FE17FC">
        <w:t>9</w:t>
      </w:r>
      <w:r w:rsidR="00CC449C" w:rsidRPr="00FE17FC">
        <w:t>8.9</w:t>
      </w:r>
      <w:r w:rsidR="007F7E41" w:rsidRPr="00FE17FC">
        <w:t xml:space="preserve"> </w:t>
      </w:r>
      <w:r w:rsidRPr="00FE17FC">
        <w:t>billion highe</w:t>
      </w:r>
      <w:r w:rsidR="00F62104" w:rsidRPr="00FE17FC">
        <w:t>r</w:t>
      </w:r>
      <w:r w:rsidRPr="00FE17FC">
        <w:t xml:space="preserve"> than e</w:t>
      </w:r>
      <w:r w:rsidR="005E3DD1" w:rsidRPr="00FE17FC">
        <w:t>stimate</w:t>
      </w:r>
      <w:r w:rsidR="008433FA" w:rsidRPr="00FE17FC">
        <w:t>d at</w:t>
      </w:r>
      <w:r w:rsidR="005E3DD1" w:rsidRPr="00FE17FC">
        <w:t xml:space="preserve"> the time of the 2019</w:t>
      </w:r>
      <w:r w:rsidR="00A7636B" w:rsidRPr="00FE17FC">
        <w:noBreakHyphen/>
      </w:r>
      <w:r w:rsidR="005E3DD1" w:rsidRPr="00FE17FC">
        <w:t>20 MYEFO</w:t>
      </w:r>
      <w:r w:rsidR="006F2E81" w:rsidRPr="00FE17FC">
        <w:t xml:space="preserve"> and around t</w:t>
      </w:r>
      <w:r w:rsidR="00FC3285" w:rsidRPr="00FE17FC">
        <w:t xml:space="preserve">he level </w:t>
      </w:r>
      <w:r w:rsidR="00190F4B" w:rsidRPr="00FE17FC">
        <w:t>projected</w:t>
      </w:r>
      <w:r w:rsidR="00FC3285" w:rsidRPr="00FE17FC">
        <w:t xml:space="preserve"> at the July U</w:t>
      </w:r>
      <w:r w:rsidR="006F2E81" w:rsidRPr="00FE17FC">
        <w:t>pdate</w:t>
      </w:r>
      <w:r w:rsidRPr="00FE17FC">
        <w:t>. This primarily reflects</w:t>
      </w:r>
      <w:r w:rsidR="007F26C5" w:rsidRPr="00FE17FC">
        <w:t xml:space="preserve"> the</w:t>
      </w:r>
      <w:r w:rsidRPr="00FE17FC">
        <w:t xml:space="preserve"> </w:t>
      </w:r>
      <w:r w:rsidR="003A024F" w:rsidRPr="00FE17FC">
        <w:t xml:space="preserve">increased borrowing </w:t>
      </w:r>
      <w:r w:rsidR="00963BB9" w:rsidRPr="00FE17FC">
        <w:t xml:space="preserve">requirement </w:t>
      </w:r>
      <w:r w:rsidR="003A024F" w:rsidRPr="00FE17FC">
        <w:t>due to the deterioration in the underlying cash balance</w:t>
      </w:r>
      <w:r w:rsidRPr="00FE17FC">
        <w:t>. Australian Government general government sector net financial worth was negative $</w:t>
      </w:r>
      <w:r w:rsidR="00E44999" w:rsidRPr="00FE17FC">
        <w:t>840.6</w:t>
      </w:r>
      <w:r w:rsidR="007F7E41" w:rsidRPr="00FE17FC">
        <w:t xml:space="preserve"> </w:t>
      </w:r>
      <w:r w:rsidRPr="00FE17FC">
        <w:t>billion and net worth was negative $</w:t>
      </w:r>
      <w:r w:rsidR="00E44999" w:rsidRPr="00FE17FC">
        <w:t>664.9</w:t>
      </w:r>
      <w:r w:rsidR="007F7E41" w:rsidRPr="00FE17FC">
        <w:t xml:space="preserve"> </w:t>
      </w:r>
      <w:r w:rsidR="005E3DD1" w:rsidRPr="00FE17FC">
        <w:t>billion at the end of 2019</w:t>
      </w:r>
      <w:r w:rsidR="00A7636B" w:rsidRPr="00FE17FC">
        <w:noBreakHyphen/>
      </w:r>
      <w:r w:rsidR="005E3DD1" w:rsidRPr="00FE17FC">
        <w:t>20</w:t>
      </w:r>
      <w:r w:rsidRPr="00FE17FC">
        <w:t>.</w:t>
      </w:r>
    </w:p>
    <w:p w:rsidR="00102CDA" w:rsidRPr="00FE17FC" w:rsidRDefault="00102CDA">
      <w:pPr>
        <w:spacing w:after="0"/>
        <w:jc w:val="left"/>
        <w:rPr>
          <w:rFonts w:ascii="Arial" w:hAnsi="Arial"/>
          <w:b/>
        </w:rPr>
      </w:pPr>
      <w:r w:rsidRPr="00FE17FC">
        <w:br w:type="page"/>
      </w:r>
    </w:p>
    <w:p w:rsidR="00037483" w:rsidRPr="00FE17FC" w:rsidRDefault="00102CDA" w:rsidP="00037483">
      <w:pPr>
        <w:pStyle w:val="TableHeading"/>
      </w:pPr>
      <w:r w:rsidRPr="00FE17FC">
        <w:lastRenderedPageBreak/>
        <w:t>Table 2</w:t>
      </w:r>
      <w:r w:rsidR="00A31CA0" w:rsidRPr="00FE17FC">
        <w:t>: Australian Government general government sector budget aggregates</w:t>
      </w:r>
      <w:r w:rsidR="00037483" w:rsidRPr="00FE17FC">
        <w:fldChar w:fldCharType="begin" w:fldLock="1"/>
      </w:r>
      <w:r w:rsidR="00037483" w:rsidRPr="00FE17FC">
        <w:instrText xml:space="preserve"> LINK Excel.SheetMacroEnabled.12 "\\\\budget.gov\\budget_shares\\Budget$\\2019-20 FBO\\01 Outcomes\\02 Outcomes charts and tables\\Final FARM tables formatted.xlsm" "Table 2!R3C11:R40C17" \a \f 4 \h </w:instrText>
      </w:r>
      <w:r w:rsidR="00037483" w:rsidRPr="00FE17FC">
        <w:fldChar w:fldCharType="separate"/>
      </w:r>
    </w:p>
    <w:tbl>
      <w:tblPr>
        <w:tblW w:w="5000" w:type="pct"/>
        <w:tblLook w:val="04A0" w:firstRow="1" w:lastRow="0" w:firstColumn="1" w:lastColumn="0" w:noHBand="0" w:noVBand="1"/>
      </w:tblPr>
      <w:tblGrid>
        <w:gridCol w:w="3532"/>
        <w:gridCol w:w="1025"/>
        <w:gridCol w:w="1025"/>
        <w:gridCol w:w="1106"/>
        <w:gridCol w:w="1022"/>
      </w:tblGrid>
      <w:tr w:rsidR="00037483" w:rsidRPr="00FE17FC" w:rsidTr="00052538">
        <w:trPr>
          <w:trHeight w:hRule="exact" w:val="225"/>
        </w:trPr>
        <w:tc>
          <w:tcPr>
            <w:tcW w:w="2290" w:type="pct"/>
            <w:tcBorders>
              <w:top w:val="single" w:sz="4" w:space="0" w:color="000000"/>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single" w:sz="4" w:space="0" w:color="000000"/>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2018</w:t>
            </w:r>
            <w:r w:rsidR="00A7636B" w:rsidRPr="00FE17FC">
              <w:rPr>
                <w:rFonts w:ascii="Arial" w:hAnsi="Arial" w:cs="Arial"/>
                <w:sz w:val="16"/>
                <w:szCs w:val="16"/>
              </w:rPr>
              <w:noBreakHyphen/>
            </w:r>
            <w:r w:rsidRPr="00FE17FC">
              <w:rPr>
                <w:rFonts w:ascii="Arial" w:hAnsi="Arial" w:cs="Arial"/>
                <w:sz w:val="16"/>
                <w:szCs w:val="16"/>
              </w:rPr>
              <w:t>19</w:t>
            </w:r>
          </w:p>
        </w:tc>
        <w:tc>
          <w:tcPr>
            <w:tcW w:w="665" w:type="pct"/>
            <w:tcBorders>
              <w:top w:val="single" w:sz="4" w:space="0" w:color="000000"/>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717" w:type="pct"/>
            <w:tcBorders>
              <w:top w:val="single" w:sz="4" w:space="0" w:color="000000"/>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663" w:type="pct"/>
            <w:tcBorders>
              <w:top w:val="single" w:sz="4" w:space="0" w:color="000000"/>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Change on</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Outcome</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Estimate at</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Outcome (a)</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MYEFO</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MYEFO (a)</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single" w:sz="4" w:space="0" w:color="000000"/>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$b</w:t>
            </w:r>
          </w:p>
        </w:tc>
        <w:tc>
          <w:tcPr>
            <w:tcW w:w="665" w:type="pct"/>
            <w:tcBorders>
              <w:top w:val="nil"/>
              <w:left w:val="nil"/>
              <w:bottom w:val="single" w:sz="4" w:space="0" w:color="000000"/>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$b</w:t>
            </w:r>
          </w:p>
        </w:tc>
        <w:tc>
          <w:tcPr>
            <w:tcW w:w="717" w:type="pct"/>
            <w:tcBorders>
              <w:top w:val="nil"/>
              <w:left w:val="nil"/>
              <w:bottom w:val="single" w:sz="4" w:space="0" w:color="000000"/>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$b</w:t>
            </w:r>
          </w:p>
        </w:tc>
        <w:tc>
          <w:tcPr>
            <w:tcW w:w="663" w:type="pct"/>
            <w:tcBorders>
              <w:top w:val="nil"/>
              <w:left w:val="nil"/>
              <w:bottom w:val="single" w:sz="4" w:space="0" w:color="000000"/>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$b</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b/>
                <w:bCs/>
                <w:sz w:val="16"/>
                <w:szCs w:val="16"/>
              </w:rPr>
            </w:pPr>
            <w:r w:rsidRPr="00FE17FC">
              <w:rPr>
                <w:rFonts w:ascii="Arial" w:hAnsi="Arial" w:cs="Arial"/>
                <w:b/>
                <w:bCs/>
                <w:sz w:val="16"/>
                <w:szCs w:val="16"/>
              </w:rPr>
              <w:t>Receipts</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485.3</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502.5</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469.4</w:t>
            </w:r>
          </w:p>
        </w:tc>
        <w:tc>
          <w:tcPr>
            <w:tcW w:w="663" w:type="pct"/>
            <w:tcBorders>
              <w:top w:val="nil"/>
              <w:left w:val="nil"/>
              <w:bottom w:val="nil"/>
              <w:right w:val="nil"/>
            </w:tcBorders>
            <w:shd w:val="clear" w:color="000000" w:fill="FFFFFF"/>
            <w:noWrap/>
            <w:vAlign w:val="center"/>
            <w:hideMark/>
          </w:tcPr>
          <w:p w:rsidR="00037483"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037483" w:rsidRPr="00FE17FC">
              <w:rPr>
                <w:rFonts w:ascii="Arial" w:hAnsi="Arial" w:cs="Arial"/>
                <w:b/>
                <w:bCs/>
                <w:sz w:val="16"/>
                <w:szCs w:val="16"/>
              </w:rPr>
              <w:t>33.1</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24.9</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25.0</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23.7</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60"/>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b/>
                <w:bCs/>
                <w:sz w:val="16"/>
                <w:szCs w:val="16"/>
              </w:rPr>
            </w:pPr>
            <w:r w:rsidRPr="00FE17FC">
              <w:rPr>
                <w:rFonts w:ascii="Arial" w:hAnsi="Arial" w:cs="Arial"/>
                <w:b/>
                <w:bCs/>
                <w:sz w:val="16"/>
                <w:szCs w:val="16"/>
              </w:rPr>
              <w:t>Payments(b)</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478.1</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492.0</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549.6</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57.7</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24.6</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24.5</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27.7</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60"/>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Net Future Fund earnings</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7.9</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5.5</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5.0</w:t>
            </w:r>
          </w:p>
        </w:tc>
        <w:tc>
          <w:tcPr>
            <w:tcW w:w="663" w:type="pct"/>
            <w:tcBorders>
              <w:top w:val="nil"/>
              <w:left w:val="nil"/>
              <w:bottom w:val="nil"/>
              <w:right w:val="nil"/>
            </w:tcBorders>
            <w:shd w:val="clear" w:color="000000" w:fill="FFFFFF"/>
            <w:noWrap/>
            <w:vAlign w:val="center"/>
            <w:hideMark/>
          </w:tcPr>
          <w:p w:rsidR="00037483"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037483" w:rsidRPr="00FE17FC">
              <w:rPr>
                <w:rFonts w:ascii="Arial" w:hAnsi="Arial" w:cs="Arial"/>
                <w:sz w:val="16"/>
                <w:szCs w:val="16"/>
              </w:rPr>
              <w:t>0.4</w:t>
            </w:r>
          </w:p>
        </w:tc>
      </w:tr>
      <w:tr w:rsidR="00052538" w:rsidRPr="00FE17FC" w:rsidTr="00052538">
        <w:trPr>
          <w:trHeight w:hRule="exact" w:val="60"/>
        </w:trPr>
        <w:tc>
          <w:tcPr>
            <w:tcW w:w="2290" w:type="pct"/>
            <w:tcBorders>
              <w:top w:val="nil"/>
              <w:left w:val="nil"/>
              <w:bottom w:val="nil"/>
              <w:right w:val="nil"/>
            </w:tcBorders>
            <w:shd w:val="clear" w:color="000000" w:fill="FFFFFF"/>
            <w:noWrap/>
            <w:vAlign w:val="center"/>
            <w:hideMark/>
          </w:tcPr>
          <w:p w:rsidR="00052538" w:rsidRPr="00FE17FC" w:rsidRDefault="00052538"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52538" w:rsidRPr="00FE17FC" w:rsidRDefault="00052538"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52538" w:rsidRPr="00FE17FC" w:rsidRDefault="00052538"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17" w:type="pct"/>
            <w:tcBorders>
              <w:top w:val="nil"/>
              <w:left w:val="nil"/>
              <w:bottom w:val="nil"/>
              <w:right w:val="nil"/>
            </w:tcBorders>
            <w:shd w:val="clear" w:color="000000" w:fill="E6E6E6"/>
            <w:noWrap/>
            <w:vAlign w:val="center"/>
            <w:hideMark/>
          </w:tcPr>
          <w:p w:rsidR="00052538" w:rsidRPr="00FE17FC" w:rsidRDefault="00052538"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3" w:type="pct"/>
            <w:tcBorders>
              <w:top w:val="nil"/>
              <w:left w:val="nil"/>
              <w:bottom w:val="nil"/>
              <w:right w:val="nil"/>
            </w:tcBorders>
            <w:shd w:val="clear" w:color="000000" w:fill="FFFFFF"/>
            <w:noWrap/>
            <w:vAlign w:val="center"/>
            <w:hideMark/>
          </w:tcPr>
          <w:p w:rsidR="00052538" w:rsidRPr="00FE17FC" w:rsidRDefault="00052538"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b/>
                <w:bCs/>
                <w:sz w:val="16"/>
                <w:szCs w:val="16"/>
              </w:rPr>
            </w:pPr>
            <w:r w:rsidRPr="00FE17FC">
              <w:rPr>
                <w:rFonts w:ascii="Arial" w:hAnsi="Arial" w:cs="Arial"/>
                <w:b/>
                <w:bCs/>
                <w:sz w:val="16"/>
                <w:szCs w:val="16"/>
              </w:rPr>
              <w:t>Underlying cash balance(c)</w:t>
            </w:r>
          </w:p>
        </w:tc>
        <w:tc>
          <w:tcPr>
            <w:tcW w:w="665" w:type="pct"/>
            <w:tcBorders>
              <w:top w:val="nil"/>
              <w:left w:val="nil"/>
              <w:bottom w:val="nil"/>
              <w:right w:val="nil"/>
            </w:tcBorders>
            <w:shd w:val="clear" w:color="000000" w:fill="FFFFFF"/>
            <w:noWrap/>
            <w:vAlign w:val="center"/>
            <w:hideMark/>
          </w:tcPr>
          <w:p w:rsidR="00037483"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037483" w:rsidRPr="00FE17FC">
              <w:rPr>
                <w:rFonts w:ascii="Arial" w:hAnsi="Arial" w:cs="Arial"/>
                <w:b/>
                <w:bCs/>
                <w:sz w:val="16"/>
                <w:szCs w:val="16"/>
              </w:rPr>
              <w:t>0.7</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5.0</w:t>
            </w:r>
          </w:p>
        </w:tc>
        <w:tc>
          <w:tcPr>
            <w:tcW w:w="717" w:type="pct"/>
            <w:tcBorders>
              <w:top w:val="nil"/>
              <w:left w:val="nil"/>
              <w:bottom w:val="nil"/>
              <w:right w:val="nil"/>
            </w:tcBorders>
            <w:shd w:val="clear" w:color="000000" w:fill="E6E6E6"/>
            <w:noWrap/>
            <w:vAlign w:val="center"/>
            <w:hideMark/>
          </w:tcPr>
          <w:p w:rsidR="00037483"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037483" w:rsidRPr="00FE17FC">
              <w:rPr>
                <w:rFonts w:ascii="Arial" w:hAnsi="Arial" w:cs="Arial"/>
                <w:b/>
                <w:bCs/>
                <w:sz w:val="16"/>
                <w:szCs w:val="16"/>
              </w:rPr>
              <w:t>85.3</w:t>
            </w:r>
          </w:p>
        </w:tc>
        <w:tc>
          <w:tcPr>
            <w:tcW w:w="663" w:type="pct"/>
            <w:tcBorders>
              <w:top w:val="nil"/>
              <w:left w:val="nil"/>
              <w:bottom w:val="nil"/>
              <w:right w:val="nil"/>
            </w:tcBorders>
            <w:shd w:val="clear" w:color="000000" w:fill="FFFFFF"/>
            <w:noWrap/>
            <w:vAlign w:val="center"/>
            <w:hideMark/>
          </w:tcPr>
          <w:p w:rsidR="00037483"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037483" w:rsidRPr="00FE17FC">
              <w:rPr>
                <w:rFonts w:ascii="Arial" w:hAnsi="Arial" w:cs="Arial"/>
                <w:b/>
                <w:bCs/>
                <w:sz w:val="16"/>
                <w:szCs w:val="16"/>
              </w:rPr>
              <w:t>90.3</w:t>
            </w:r>
          </w:p>
        </w:tc>
      </w:tr>
      <w:tr w:rsidR="00037483" w:rsidRPr="00FE17FC" w:rsidTr="00052538">
        <w:trPr>
          <w:trHeight w:hRule="exact" w:val="225"/>
        </w:trPr>
        <w:tc>
          <w:tcPr>
            <w:tcW w:w="2290" w:type="pct"/>
            <w:tcBorders>
              <w:top w:val="nil"/>
              <w:left w:val="nil"/>
              <w:bottom w:val="single" w:sz="4" w:space="0" w:color="000000"/>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665" w:type="pct"/>
            <w:tcBorders>
              <w:top w:val="nil"/>
              <w:left w:val="nil"/>
              <w:bottom w:val="single" w:sz="4" w:space="0" w:color="auto"/>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0.0</w:t>
            </w:r>
          </w:p>
        </w:tc>
        <w:tc>
          <w:tcPr>
            <w:tcW w:w="665" w:type="pct"/>
            <w:tcBorders>
              <w:top w:val="nil"/>
              <w:left w:val="nil"/>
              <w:bottom w:val="single" w:sz="4" w:space="0" w:color="auto"/>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0.3</w:t>
            </w:r>
          </w:p>
        </w:tc>
        <w:tc>
          <w:tcPr>
            <w:tcW w:w="717" w:type="pct"/>
            <w:tcBorders>
              <w:top w:val="nil"/>
              <w:left w:val="nil"/>
              <w:bottom w:val="single" w:sz="4" w:space="0" w:color="auto"/>
              <w:right w:val="nil"/>
            </w:tcBorders>
            <w:shd w:val="clear" w:color="000000" w:fill="E6E6E6"/>
            <w:noWrap/>
            <w:vAlign w:val="center"/>
            <w:hideMark/>
          </w:tcPr>
          <w:p w:rsidR="00037483"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037483" w:rsidRPr="00FE17FC">
              <w:rPr>
                <w:rFonts w:ascii="Arial" w:hAnsi="Arial" w:cs="Arial"/>
                <w:sz w:val="16"/>
                <w:szCs w:val="16"/>
              </w:rPr>
              <w:t>4.3</w:t>
            </w:r>
          </w:p>
        </w:tc>
        <w:tc>
          <w:tcPr>
            <w:tcW w:w="663" w:type="pct"/>
            <w:tcBorders>
              <w:top w:val="nil"/>
              <w:left w:val="nil"/>
              <w:bottom w:val="single" w:sz="4" w:space="0" w:color="000000"/>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60"/>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b/>
                <w:bCs/>
                <w:sz w:val="16"/>
                <w:szCs w:val="16"/>
              </w:rPr>
            </w:pPr>
            <w:r w:rsidRPr="00FE17FC">
              <w:rPr>
                <w:rFonts w:ascii="Arial" w:hAnsi="Arial" w:cs="Arial"/>
                <w:b/>
                <w:bCs/>
                <w:sz w:val="16"/>
                <w:szCs w:val="16"/>
              </w:rPr>
              <w:t>Revenue</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493.3</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511.1</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486.3</w:t>
            </w:r>
          </w:p>
        </w:tc>
        <w:tc>
          <w:tcPr>
            <w:tcW w:w="663" w:type="pct"/>
            <w:tcBorders>
              <w:top w:val="nil"/>
              <w:left w:val="nil"/>
              <w:bottom w:val="nil"/>
              <w:right w:val="nil"/>
            </w:tcBorders>
            <w:shd w:val="clear" w:color="000000" w:fill="FFFFFF"/>
            <w:noWrap/>
            <w:vAlign w:val="center"/>
            <w:hideMark/>
          </w:tcPr>
          <w:p w:rsidR="00037483"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037483" w:rsidRPr="00FE17FC">
              <w:rPr>
                <w:rFonts w:ascii="Arial" w:hAnsi="Arial" w:cs="Arial"/>
                <w:b/>
                <w:bCs/>
                <w:sz w:val="16"/>
                <w:szCs w:val="16"/>
              </w:rPr>
              <w:t>24.9</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25.3</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25.4</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24.5</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60"/>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b/>
                <w:bCs/>
                <w:sz w:val="16"/>
                <w:szCs w:val="16"/>
              </w:rPr>
            </w:pPr>
            <w:r w:rsidRPr="00FE17FC">
              <w:rPr>
                <w:rFonts w:ascii="Arial" w:hAnsi="Arial" w:cs="Arial"/>
                <w:b/>
                <w:bCs/>
                <w:sz w:val="16"/>
                <w:szCs w:val="16"/>
              </w:rPr>
              <w:t>Expenses</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484.7</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503.2</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578.5</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75.4</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24.9</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25.0</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29.2</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60"/>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b/>
                <w:bCs/>
                <w:sz w:val="16"/>
                <w:szCs w:val="16"/>
              </w:rPr>
            </w:pPr>
            <w:r w:rsidRPr="00FE17FC">
              <w:rPr>
                <w:rFonts w:ascii="Arial" w:hAnsi="Arial" w:cs="Arial"/>
                <w:b/>
                <w:bCs/>
                <w:sz w:val="16"/>
                <w:szCs w:val="16"/>
              </w:rPr>
              <w:t>Net operating balance</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8.7</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8.0</w:t>
            </w:r>
          </w:p>
        </w:tc>
        <w:tc>
          <w:tcPr>
            <w:tcW w:w="717" w:type="pct"/>
            <w:tcBorders>
              <w:top w:val="nil"/>
              <w:left w:val="nil"/>
              <w:bottom w:val="nil"/>
              <w:right w:val="nil"/>
            </w:tcBorders>
            <w:shd w:val="clear" w:color="000000" w:fill="E6E6E6"/>
            <w:noWrap/>
            <w:vAlign w:val="center"/>
            <w:hideMark/>
          </w:tcPr>
          <w:p w:rsidR="00037483"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037483" w:rsidRPr="00FE17FC">
              <w:rPr>
                <w:rFonts w:ascii="Arial" w:hAnsi="Arial" w:cs="Arial"/>
                <w:b/>
                <w:bCs/>
                <w:sz w:val="16"/>
                <w:szCs w:val="16"/>
              </w:rPr>
              <w:t>92.3</w:t>
            </w:r>
          </w:p>
        </w:tc>
        <w:tc>
          <w:tcPr>
            <w:tcW w:w="663" w:type="pct"/>
            <w:tcBorders>
              <w:top w:val="nil"/>
              <w:left w:val="nil"/>
              <w:bottom w:val="nil"/>
              <w:right w:val="nil"/>
            </w:tcBorders>
            <w:shd w:val="clear" w:color="000000" w:fill="FFFFFF"/>
            <w:noWrap/>
            <w:vAlign w:val="center"/>
            <w:hideMark/>
          </w:tcPr>
          <w:p w:rsidR="00037483"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037483" w:rsidRPr="00FE17FC">
              <w:rPr>
                <w:rFonts w:ascii="Arial" w:hAnsi="Arial" w:cs="Arial"/>
                <w:b/>
                <w:bCs/>
                <w:sz w:val="16"/>
                <w:szCs w:val="16"/>
              </w:rPr>
              <w:t>100.2</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0.4</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0.4</w:t>
            </w:r>
          </w:p>
        </w:tc>
        <w:tc>
          <w:tcPr>
            <w:tcW w:w="717" w:type="pct"/>
            <w:tcBorders>
              <w:top w:val="nil"/>
              <w:left w:val="nil"/>
              <w:bottom w:val="nil"/>
              <w:right w:val="nil"/>
            </w:tcBorders>
            <w:shd w:val="clear" w:color="000000" w:fill="E6E6E6"/>
            <w:noWrap/>
            <w:vAlign w:val="center"/>
            <w:hideMark/>
          </w:tcPr>
          <w:p w:rsidR="00037483"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037483" w:rsidRPr="00FE17FC">
              <w:rPr>
                <w:rFonts w:ascii="Arial" w:hAnsi="Arial" w:cs="Arial"/>
                <w:sz w:val="16"/>
                <w:szCs w:val="16"/>
              </w:rPr>
              <w:t>4.7</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10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Net capital investment</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6.1</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4.2</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4.0</w:t>
            </w:r>
          </w:p>
        </w:tc>
        <w:tc>
          <w:tcPr>
            <w:tcW w:w="663" w:type="pct"/>
            <w:tcBorders>
              <w:top w:val="nil"/>
              <w:left w:val="nil"/>
              <w:bottom w:val="nil"/>
              <w:right w:val="nil"/>
            </w:tcBorders>
            <w:shd w:val="clear" w:color="000000" w:fill="FFFFFF"/>
            <w:noWrap/>
            <w:vAlign w:val="center"/>
            <w:hideMark/>
          </w:tcPr>
          <w:p w:rsidR="00037483"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037483" w:rsidRPr="00FE17FC">
              <w:rPr>
                <w:rFonts w:ascii="Arial" w:hAnsi="Arial" w:cs="Arial"/>
                <w:sz w:val="16"/>
                <w:szCs w:val="16"/>
              </w:rPr>
              <w:t>0.2</w:t>
            </w:r>
          </w:p>
        </w:tc>
      </w:tr>
      <w:tr w:rsidR="00037483" w:rsidRPr="00FE17FC" w:rsidTr="00052538">
        <w:trPr>
          <w:trHeight w:hRule="exact" w:val="60"/>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b/>
                <w:bCs/>
                <w:sz w:val="16"/>
                <w:szCs w:val="16"/>
              </w:rPr>
            </w:pPr>
            <w:r w:rsidRPr="00FE17FC">
              <w:rPr>
                <w:rFonts w:ascii="Arial" w:hAnsi="Arial" w:cs="Arial"/>
                <w:b/>
                <w:bCs/>
                <w:sz w:val="16"/>
                <w:szCs w:val="16"/>
              </w:rPr>
              <w:t>Fiscal balance</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2.6</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b/>
                <w:bCs/>
                <w:sz w:val="16"/>
                <w:szCs w:val="16"/>
              </w:rPr>
            </w:pPr>
            <w:r w:rsidRPr="00FE17FC">
              <w:rPr>
                <w:rFonts w:ascii="Arial" w:hAnsi="Arial" w:cs="Arial"/>
                <w:b/>
                <w:bCs/>
                <w:sz w:val="16"/>
                <w:szCs w:val="16"/>
              </w:rPr>
              <w:t>3.8</w:t>
            </w:r>
          </w:p>
        </w:tc>
        <w:tc>
          <w:tcPr>
            <w:tcW w:w="717" w:type="pct"/>
            <w:tcBorders>
              <w:top w:val="nil"/>
              <w:left w:val="nil"/>
              <w:bottom w:val="nil"/>
              <w:right w:val="nil"/>
            </w:tcBorders>
            <w:shd w:val="clear" w:color="000000" w:fill="E6E6E6"/>
            <w:noWrap/>
            <w:vAlign w:val="center"/>
            <w:hideMark/>
          </w:tcPr>
          <w:p w:rsidR="00037483"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037483" w:rsidRPr="00FE17FC">
              <w:rPr>
                <w:rFonts w:ascii="Arial" w:hAnsi="Arial" w:cs="Arial"/>
                <w:b/>
                <w:bCs/>
                <w:sz w:val="16"/>
                <w:szCs w:val="16"/>
              </w:rPr>
              <w:t>96.3</w:t>
            </w:r>
          </w:p>
        </w:tc>
        <w:tc>
          <w:tcPr>
            <w:tcW w:w="663" w:type="pct"/>
            <w:tcBorders>
              <w:top w:val="nil"/>
              <w:left w:val="nil"/>
              <w:bottom w:val="nil"/>
              <w:right w:val="nil"/>
            </w:tcBorders>
            <w:shd w:val="clear" w:color="000000" w:fill="FFFFFF"/>
            <w:noWrap/>
            <w:vAlign w:val="center"/>
            <w:hideMark/>
          </w:tcPr>
          <w:p w:rsidR="00037483"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037483" w:rsidRPr="00FE17FC">
              <w:rPr>
                <w:rFonts w:ascii="Arial" w:hAnsi="Arial" w:cs="Arial"/>
                <w:b/>
                <w:bCs/>
                <w:sz w:val="16"/>
                <w:szCs w:val="16"/>
              </w:rPr>
              <w:t>100.1</w:t>
            </w:r>
          </w:p>
        </w:tc>
      </w:tr>
      <w:tr w:rsidR="00037483" w:rsidRPr="00FE17FC" w:rsidTr="00052538">
        <w:trPr>
          <w:trHeight w:hRule="exact" w:val="225"/>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0.1</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0.2</w:t>
            </w:r>
          </w:p>
        </w:tc>
        <w:tc>
          <w:tcPr>
            <w:tcW w:w="717" w:type="pct"/>
            <w:tcBorders>
              <w:top w:val="nil"/>
              <w:left w:val="nil"/>
              <w:bottom w:val="nil"/>
              <w:right w:val="nil"/>
            </w:tcBorders>
            <w:shd w:val="clear" w:color="000000" w:fill="E6E6E6"/>
            <w:noWrap/>
            <w:vAlign w:val="center"/>
            <w:hideMark/>
          </w:tcPr>
          <w:p w:rsidR="00037483"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037483" w:rsidRPr="00FE17FC">
              <w:rPr>
                <w:rFonts w:ascii="Arial" w:hAnsi="Arial" w:cs="Arial"/>
                <w:sz w:val="16"/>
                <w:szCs w:val="16"/>
              </w:rPr>
              <w:t>4.9</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60"/>
        </w:trPr>
        <w:tc>
          <w:tcPr>
            <w:tcW w:w="2290"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5"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17" w:type="pct"/>
            <w:tcBorders>
              <w:top w:val="nil"/>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63" w:type="pct"/>
            <w:tcBorders>
              <w:top w:val="nil"/>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037483" w:rsidRPr="00FE17FC" w:rsidTr="00052538">
        <w:trPr>
          <w:trHeight w:hRule="exact" w:val="225"/>
        </w:trPr>
        <w:tc>
          <w:tcPr>
            <w:tcW w:w="2290" w:type="pct"/>
            <w:tcBorders>
              <w:top w:val="single" w:sz="4" w:space="0" w:color="000000"/>
              <w:left w:val="nil"/>
              <w:bottom w:val="nil"/>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i/>
                <w:iCs/>
                <w:sz w:val="16"/>
                <w:szCs w:val="16"/>
              </w:rPr>
            </w:pPr>
            <w:r w:rsidRPr="00FE17FC">
              <w:rPr>
                <w:rFonts w:ascii="Arial" w:hAnsi="Arial" w:cs="Arial"/>
                <w:i/>
                <w:iCs/>
                <w:sz w:val="16"/>
                <w:szCs w:val="16"/>
              </w:rPr>
              <w:t>Memorandum item:</w:t>
            </w:r>
          </w:p>
        </w:tc>
        <w:tc>
          <w:tcPr>
            <w:tcW w:w="665" w:type="pct"/>
            <w:tcBorders>
              <w:top w:val="single" w:sz="4" w:space="0" w:color="000000"/>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color w:val="33CCCC"/>
                <w:sz w:val="16"/>
                <w:szCs w:val="16"/>
              </w:rPr>
            </w:pPr>
            <w:r w:rsidRPr="00FE17FC">
              <w:rPr>
                <w:rFonts w:ascii="Arial" w:hAnsi="Arial" w:cs="Arial"/>
                <w:color w:val="33CCCC"/>
                <w:sz w:val="16"/>
                <w:szCs w:val="16"/>
              </w:rPr>
              <w:t> </w:t>
            </w:r>
          </w:p>
        </w:tc>
        <w:tc>
          <w:tcPr>
            <w:tcW w:w="665" w:type="pct"/>
            <w:tcBorders>
              <w:top w:val="single" w:sz="4" w:space="0" w:color="000000"/>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color w:val="33CCCC"/>
                <w:sz w:val="16"/>
                <w:szCs w:val="16"/>
              </w:rPr>
            </w:pPr>
            <w:r w:rsidRPr="00FE17FC">
              <w:rPr>
                <w:rFonts w:ascii="Arial" w:hAnsi="Arial" w:cs="Arial"/>
                <w:color w:val="33CCCC"/>
                <w:sz w:val="16"/>
                <w:szCs w:val="16"/>
              </w:rPr>
              <w:t> </w:t>
            </w:r>
          </w:p>
        </w:tc>
        <w:tc>
          <w:tcPr>
            <w:tcW w:w="717" w:type="pct"/>
            <w:tcBorders>
              <w:top w:val="single" w:sz="4" w:space="0" w:color="000000"/>
              <w:left w:val="nil"/>
              <w:bottom w:val="nil"/>
              <w:right w:val="nil"/>
            </w:tcBorders>
            <w:shd w:val="clear" w:color="000000" w:fill="E6E6E6"/>
            <w:noWrap/>
            <w:vAlign w:val="center"/>
            <w:hideMark/>
          </w:tcPr>
          <w:p w:rsidR="00037483" w:rsidRPr="00FE17FC" w:rsidRDefault="00037483" w:rsidP="000F3274">
            <w:pPr>
              <w:spacing w:after="0" w:line="240" w:lineRule="auto"/>
              <w:jc w:val="right"/>
              <w:rPr>
                <w:rFonts w:ascii="Arial" w:hAnsi="Arial" w:cs="Arial"/>
                <w:color w:val="33CCCC"/>
                <w:sz w:val="16"/>
                <w:szCs w:val="16"/>
              </w:rPr>
            </w:pPr>
            <w:r w:rsidRPr="00FE17FC">
              <w:rPr>
                <w:rFonts w:ascii="Arial" w:hAnsi="Arial" w:cs="Arial"/>
                <w:color w:val="33CCCC"/>
                <w:sz w:val="16"/>
                <w:szCs w:val="16"/>
              </w:rPr>
              <w:t> </w:t>
            </w:r>
          </w:p>
        </w:tc>
        <w:tc>
          <w:tcPr>
            <w:tcW w:w="663" w:type="pct"/>
            <w:tcBorders>
              <w:top w:val="single" w:sz="4" w:space="0" w:color="000000"/>
              <w:left w:val="nil"/>
              <w:bottom w:val="nil"/>
              <w:right w:val="nil"/>
            </w:tcBorders>
            <w:shd w:val="clear" w:color="000000" w:fill="FFFFFF"/>
            <w:noWrap/>
            <w:vAlign w:val="center"/>
            <w:hideMark/>
          </w:tcPr>
          <w:p w:rsidR="00037483" w:rsidRPr="00FE17FC" w:rsidRDefault="00037483" w:rsidP="000F3274">
            <w:pPr>
              <w:spacing w:after="0" w:line="240" w:lineRule="auto"/>
              <w:jc w:val="right"/>
              <w:rPr>
                <w:rFonts w:ascii="Arial" w:hAnsi="Arial" w:cs="Arial"/>
                <w:color w:val="33CCCC"/>
                <w:sz w:val="16"/>
                <w:szCs w:val="16"/>
              </w:rPr>
            </w:pPr>
            <w:r w:rsidRPr="00FE17FC">
              <w:rPr>
                <w:rFonts w:ascii="Arial" w:hAnsi="Arial" w:cs="Arial"/>
                <w:color w:val="33CCCC"/>
                <w:sz w:val="16"/>
                <w:szCs w:val="16"/>
              </w:rPr>
              <w:t> </w:t>
            </w:r>
          </w:p>
        </w:tc>
      </w:tr>
      <w:tr w:rsidR="00037483" w:rsidRPr="00FE17FC" w:rsidTr="00052538">
        <w:trPr>
          <w:trHeight w:hRule="exact" w:val="225"/>
        </w:trPr>
        <w:tc>
          <w:tcPr>
            <w:tcW w:w="2290" w:type="pct"/>
            <w:tcBorders>
              <w:top w:val="nil"/>
              <w:left w:val="nil"/>
              <w:bottom w:val="single" w:sz="4" w:space="0" w:color="000000"/>
              <w:right w:val="nil"/>
            </w:tcBorders>
            <w:shd w:val="clear" w:color="000000" w:fill="FFFFFF"/>
            <w:noWrap/>
            <w:vAlign w:val="center"/>
            <w:hideMark/>
          </w:tcPr>
          <w:p w:rsidR="00037483" w:rsidRPr="00FE17FC" w:rsidRDefault="00037483" w:rsidP="000F3274">
            <w:pPr>
              <w:spacing w:after="0" w:line="240" w:lineRule="auto"/>
              <w:jc w:val="left"/>
              <w:rPr>
                <w:rFonts w:ascii="Arial" w:hAnsi="Arial" w:cs="Arial"/>
                <w:sz w:val="16"/>
                <w:szCs w:val="16"/>
              </w:rPr>
            </w:pPr>
            <w:r w:rsidRPr="00FE17FC">
              <w:rPr>
                <w:rFonts w:ascii="Arial" w:hAnsi="Arial" w:cs="Arial"/>
                <w:sz w:val="16"/>
                <w:szCs w:val="16"/>
              </w:rPr>
              <w:t xml:space="preserve">Headline cash balance </w:t>
            </w:r>
          </w:p>
        </w:tc>
        <w:tc>
          <w:tcPr>
            <w:tcW w:w="665" w:type="pct"/>
            <w:tcBorders>
              <w:top w:val="nil"/>
              <w:left w:val="nil"/>
              <w:bottom w:val="single" w:sz="4" w:space="0" w:color="000000"/>
              <w:right w:val="nil"/>
            </w:tcBorders>
            <w:shd w:val="clear" w:color="000000" w:fill="FFFFFF"/>
            <w:noWrap/>
            <w:vAlign w:val="center"/>
            <w:hideMark/>
          </w:tcPr>
          <w:p w:rsidR="00037483"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037483" w:rsidRPr="00FE17FC">
              <w:rPr>
                <w:rFonts w:ascii="Arial" w:hAnsi="Arial" w:cs="Arial"/>
                <w:sz w:val="16"/>
                <w:szCs w:val="16"/>
              </w:rPr>
              <w:t>7.2</w:t>
            </w:r>
          </w:p>
        </w:tc>
        <w:tc>
          <w:tcPr>
            <w:tcW w:w="665" w:type="pct"/>
            <w:tcBorders>
              <w:top w:val="nil"/>
              <w:left w:val="nil"/>
              <w:bottom w:val="single" w:sz="4" w:space="0" w:color="000000"/>
              <w:right w:val="nil"/>
            </w:tcBorders>
            <w:shd w:val="clear" w:color="000000" w:fill="FFFFFF"/>
            <w:noWrap/>
            <w:vAlign w:val="center"/>
            <w:hideMark/>
          </w:tcPr>
          <w:p w:rsidR="00037483"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037483" w:rsidRPr="00FE17FC">
              <w:rPr>
                <w:rFonts w:ascii="Arial" w:hAnsi="Arial" w:cs="Arial"/>
                <w:sz w:val="16"/>
                <w:szCs w:val="16"/>
              </w:rPr>
              <w:t>2.8</w:t>
            </w:r>
          </w:p>
        </w:tc>
        <w:tc>
          <w:tcPr>
            <w:tcW w:w="717" w:type="pct"/>
            <w:tcBorders>
              <w:top w:val="nil"/>
              <w:left w:val="nil"/>
              <w:bottom w:val="single" w:sz="4" w:space="0" w:color="000000"/>
              <w:right w:val="nil"/>
            </w:tcBorders>
            <w:shd w:val="clear" w:color="000000" w:fill="E6E6E6"/>
            <w:noWrap/>
            <w:vAlign w:val="center"/>
            <w:hideMark/>
          </w:tcPr>
          <w:p w:rsidR="00037483"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037483" w:rsidRPr="00FE17FC">
              <w:rPr>
                <w:rFonts w:ascii="Arial" w:hAnsi="Arial" w:cs="Arial"/>
                <w:sz w:val="16"/>
                <w:szCs w:val="16"/>
              </w:rPr>
              <w:t>93.9</w:t>
            </w:r>
          </w:p>
        </w:tc>
        <w:tc>
          <w:tcPr>
            <w:tcW w:w="663" w:type="pct"/>
            <w:tcBorders>
              <w:top w:val="nil"/>
              <w:left w:val="nil"/>
              <w:bottom w:val="single" w:sz="4" w:space="0" w:color="000000"/>
              <w:right w:val="nil"/>
            </w:tcBorders>
            <w:shd w:val="clear" w:color="000000" w:fill="FFFFFF"/>
            <w:noWrap/>
            <w:vAlign w:val="center"/>
            <w:hideMark/>
          </w:tcPr>
          <w:p w:rsidR="00037483"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037483" w:rsidRPr="00FE17FC">
              <w:rPr>
                <w:rFonts w:ascii="Arial" w:hAnsi="Arial" w:cs="Arial"/>
                <w:sz w:val="16"/>
                <w:szCs w:val="16"/>
              </w:rPr>
              <w:t>91.0</w:t>
            </w:r>
          </w:p>
        </w:tc>
      </w:tr>
    </w:tbl>
    <w:p w:rsidR="001C2546" w:rsidRPr="00FE17FC" w:rsidRDefault="00037483" w:rsidP="00037483">
      <w:pPr>
        <w:pStyle w:val="ChartandTableFootnoteAlpha"/>
        <w:numPr>
          <w:ilvl w:val="0"/>
          <w:numId w:val="46"/>
        </w:numPr>
      </w:pPr>
      <w:r w:rsidRPr="00FE17FC">
        <w:fldChar w:fldCharType="end"/>
      </w:r>
      <w:r w:rsidR="00E55F52" w:rsidRPr="00FE17FC">
        <w:t>Include impacts resulting from the implementation o</w:t>
      </w:r>
      <w:r w:rsidR="002F439D" w:rsidRPr="00FE17FC">
        <w:t>f AASB 16 in the 2019</w:t>
      </w:r>
      <w:r w:rsidR="00A7636B" w:rsidRPr="00FE17FC">
        <w:noBreakHyphen/>
      </w:r>
      <w:r w:rsidR="002F439D" w:rsidRPr="00FE17FC">
        <w:t>20 MYEFO.</w:t>
      </w:r>
    </w:p>
    <w:p w:rsidR="001C2546" w:rsidRPr="00FE17FC" w:rsidRDefault="00A31CA0" w:rsidP="00874171">
      <w:pPr>
        <w:pStyle w:val="ChartandTableFootnoteAlpha"/>
        <w:numPr>
          <w:ilvl w:val="0"/>
          <w:numId w:val="46"/>
        </w:numPr>
      </w:pPr>
      <w:r w:rsidRPr="00FE17FC">
        <w:t>Equivalent to cash payments for operating activities, purchases of non</w:t>
      </w:r>
      <w:r w:rsidR="00A7636B" w:rsidRPr="00FE17FC">
        <w:noBreakHyphen/>
      </w:r>
      <w:r w:rsidRPr="00FE17FC">
        <w:t xml:space="preserve">financial assets and </w:t>
      </w:r>
      <w:r w:rsidR="00CB320D" w:rsidRPr="00FE17FC">
        <w:t>net cash flows from financing activities for leases.</w:t>
      </w:r>
    </w:p>
    <w:p w:rsidR="004544DC" w:rsidRPr="00FE17FC" w:rsidRDefault="00A31CA0" w:rsidP="00874171">
      <w:pPr>
        <w:pStyle w:val="ChartandTableFootnoteAlpha"/>
        <w:numPr>
          <w:ilvl w:val="0"/>
          <w:numId w:val="46"/>
        </w:numPr>
      </w:pPr>
      <w:r w:rsidRPr="00FE17FC">
        <w:t>Excludes net Future Fund earnings.</w:t>
      </w:r>
    </w:p>
    <w:p w:rsidR="00A31CA0" w:rsidRPr="00FE17FC" w:rsidRDefault="00A31CA0" w:rsidP="00A31CA0">
      <w:pPr>
        <w:pStyle w:val="Heading2"/>
        <w:rPr>
          <w:bCs/>
        </w:rPr>
      </w:pPr>
      <w:r w:rsidRPr="00FE17FC">
        <w:rPr>
          <w:bCs/>
        </w:rPr>
        <w:t>Underlying cash balance</w:t>
      </w:r>
    </w:p>
    <w:p w:rsidR="000C5BAD" w:rsidRPr="00FE17FC" w:rsidRDefault="000C5BAD" w:rsidP="000C5BAD">
      <w:pPr>
        <w:pStyle w:val="BoxText"/>
      </w:pPr>
      <w:r w:rsidRPr="00FE17FC">
        <w:t>In 2019</w:t>
      </w:r>
      <w:r w:rsidR="00A7636B" w:rsidRPr="00FE17FC">
        <w:noBreakHyphen/>
      </w:r>
      <w:r w:rsidRPr="00FE17FC">
        <w:t>20</w:t>
      </w:r>
      <w:r w:rsidR="00036595" w:rsidRPr="00FE17FC">
        <w:t>,</w:t>
      </w:r>
      <w:r w:rsidRPr="00FE17FC">
        <w:t xml:space="preserve"> the underlying cash deficit was $</w:t>
      </w:r>
      <w:r w:rsidR="000F76C3" w:rsidRPr="00FE17FC">
        <w:t>85.3</w:t>
      </w:r>
      <w:r w:rsidRPr="00FE17FC">
        <w:t xml:space="preserve"> billion, an improvement of </w:t>
      </w:r>
      <w:r w:rsidR="000F76C3" w:rsidRPr="00FE17FC">
        <w:t>$0.5</w:t>
      </w:r>
      <w:r w:rsidRPr="00FE17FC">
        <w:t> billion since the July Update</w:t>
      </w:r>
      <w:r w:rsidR="00983D0A" w:rsidRPr="00FE17FC">
        <w:t>, with this improvement incorporating changes flowing from the preparation of financial statements</w:t>
      </w:r>
      <w:r w:rsidRPr="00FE17FC">
        <w:t>. Net Future Fund earnings, which are excluded from the underlying cash balance</w:t>
      </w:r>
      <w:r w:rsidR="00036595" w:rsidRPr="00FE17FC">
        <w:t>,</w:t>
      </w:r>
      <w:r w:rsidRPr="00FE17FC">
        <w:t xml:space="preserve"> were </w:t>
      </w:r>
      <w:r w:rsidR="000F76C3" w:rsidRPr="00FE17FC">
        <w:t>$5.0</w:t>
      </w:r>
      <w:r w:rsidRPr="00FE17FC">
        <w:t xml:space="preserve"> billion in 2019</w:t>
      </w:r>
      <w:r w:rsidR="00A7636B" w:rsidRPr="00FE17FC">
        <w:noBreakHyphen/>
      </w:r>
      <w:r w:rsidRPr="00FE17FC">
        <w:t xml:space="preserve">20, </w:t>
      </w:r>
      <w:r w:rsidR="000F76C3" w:rsidRPr="00FE17FC">
        <w:t>$0.3</w:t>
      </w:r>
      <w:r w:rsidRPr="00FE17FC">
        <w:t xml:space="preserve"> billion </w:t>
      </w:r>
      <w:r w:rsidR="000F76C3" w:rsidRPr="00FE17FC">
        <w:t>lower</w:t>
      </w:r>
      <w:r w:rsidRPr="00FE17FC">
        <w:t xml:space="preserve"> compared to the July Update</w:t>
      </w:r>
      <w:r w:rsidR="00052538" w:rsidRPr="00FE17FC">
        <w:t xml:space="preserve">. </w:t>
      </w:r>
    </w:p>
    <w:p w:rsidR="000C5BAD" w:rsidRPr="00FE17FC" w:rsidRDefault="000C5BAD" w:rsidP="00052538">
      <w:pPr>
        <w:rPr>
          <w:rFonts w:ascii="Arial" w:hAnsi="Arial"/>
          <w:b/>
        </w:rPr>
      </w:pPr>
      <w:r w:rsidRPr="00FE17FC">
        <w:rPr>
          <w:rFonts w:cs="Arial"/>
        </w:rPr>
        <w:t xml:space="preserve">The </w:t>
      </w:r>
      <w:r w:rsidRPr="00FE17FC">
        <w:t>underlying cash deficit for 2019</w:t>
      </w:r>
      <w:r w:rsidR="00A7636B" w:rsidRPr="00FE17FC">
        <w:noBreakHyphen/>
      </w:r>
      <w:r w:rsidRPr="00FE17FC">
        <w:t xml:space="preserve">20 of </w:t>
      </w:r>
      <w:r w:rsidR="00DD5AB2" w:rsidRPr="00FE17FC">
        <w:t>$85.3</w:t>
      </w:r>
      <w:r w:rsidRPr="00FE17FC">
        <w:t xml:space="preserve"> billion compares with a forecast surplus of $5.0 billion at the time of the 2019</w:t>
      </w:r>
      <w:r w:rsidR="00A7636B" w:rsidRPr="00FE17FC">
        <w:noBreakHyphen/>
      </w:r>
      <w:r w:rsidRPr="00FE17FC">
        <w:t>20 MYEFO. This deterioration was driven by the response to and effects of the COVID</w:t>
      </w:r>
      <w:r w:rsidR="00A7636B" w:rsidRPr="00FE17FC">
        <w:noBreakHyphen/>
      </w:r>
      <w:r w:rsidRPr="00FE17FC">
        <w:t>19 pandemic, with total payments higher by $</w:t>
      </w:r>
      <w:r w:rsidR="00EC25B8" w:rsidRPr="00FE17FC">
        <w:t>57.7 </w:t>
      </w:r>
      <w:r w:rsidRPr="00FE17FC">
        <w:t>billion and total receipts lower by $</w:t>
      </w:r>
      <w:r w:rsidR="00EC25B8" w:rsidRPr="00FE17FC">
        <w:t>33.1</w:t>
      </w:r>
      <w:r w:rsidRPr="00FE17FC">
        <w:t> billion compared to the 2019</w:t>
      </w:r>
      <w:r w:rsidR="00A7636B" w:rsidRPr="00FE17FC">
        <w:noBreakHyphen/>
      </w:r>
      <w:r w:rsidRPr="00FE17FC">
        <w:t>20 MYEFO estimates. Net Future Fund earnings were $</w:t>
      </w:r>
      <w:r w:rsidR="00146628" w:rsidRPr="00FE17FC">
        <w:t>0.4</w:t>
      </w:r>
      <w:r w:rsidRPr="00FE17FC">
        <w:t xml:space="preserve"> billion </w:t>
      </w:r>
      <w:r w:rsidR="00146628" w:rsidRPr="00FE17FC">
        <w:t>lower</w:t>
      </w:r>
      <w:r w:rsidRPr="00FE17FC">
        <w:t xml:space="preserve"> than expected at the time of the 2019</w:t>
      </w:r>
      <w:r w:rsidR="00A7636B" w:rsidRPr="00FE17FC">
        <w:noBreakHyphen/>
      </w:r>
      <w:r w:rsidRPr="00FE17FC">
        <w:t xml:space="preserve">20 MYEFO. </w:t>
      </w:r>
    </w:p>
    <w:p w:rsidR="00532942" w:rsidRPr="00FE17FC" w:rsidRDefault="00532942">
      <w:pPr>
        <w:spacing w:after="0"/>
        <w:jc w:val="left"/>
        <w:rPr>
          <w:rFonts w:ascii="Arial" w:hAnsi="Arial"/>
          <w:b/>
        </w:rPr>
      </w:pPr>
      <w:r w:rsidRPr="00FE17FC">
        <w:br w:type="page"/>
      </w:r>
    </w:p>
    <w:p w:rsidR="00732420" w:rsidRPr="00FE17FC" w:rsidRDefault="000F2F5B" w:rsidP="005B59C0">
      <w:pPr>
        <w:pStyle w:val="TableHeading"/>
      </w:pPr>
      <w:r w:rsidRPr="00FE17FC">
        <w:lastRenderedPageBreak/>
        <w:t>Table 3: Summary of Australian Government general government sector cash flows</w:t>
      </w:r>
      <w:r w:rsidR="00732420" w:rsidRPr="00FE17FC">
        <w:fldChar w:fldCharType="begin" w:fldLock="1"/>
      </w:r>
      <w:r w:rsidR="00732420" w:rsidRPr="00FE17FC">
        <w:instrText xml:space="preserve"> LINK Excel.SheetMacroEnabled.12 "\\\\budget.gov\\budget_shares\\Budget$\\2019-20 FBO\\01 Outcomes\\02 Outcomes charts and tables\\Final FARM tables formatted.xlsm" "Table 3!R3C11:R38C16" \a \f 4 \h </w:instrText>
      </w:r>
      <w:r w:rsidR="00F407DD" w:rsidRPr="00FE17FC">
        <w:instrText xml:space="preserve"> \* MERGEFORMAT </w:instrText>
      </w:r>
      <w:r w:rsidR="00732420" w:rsidRPr="00FE17FC">
        <w:fldChar w:fldCharType="separate"/>
      </w:r>
    </w:p>
    <w:tbl>
      <w:tblPr>
        <w:tblW w:w="5000" w:type="pct"/>
        <w:tblLook w:val="04A0" w:firstRow="1" w:lastRow="0" w:firstColumn="1" w:lastColumn="0" w:noHBand="0" w:noVBand="1"/>
      </w:tblPr>
      <w:tblGrid>
        <w:gridCol w:w="4722"/>
        <w:gridCol w:w="1017"/>
        <w:gridCol w:w="972"/>
        <w:gridCol w:w="999"/>
      </w:tblGrid>
      <w:tr w:rsidR="00732420" w:rsidRPr="00FE17FC" w:rsidTr="00732420">
        <w:trPr>
          <w:trHeight w:hRule="exact" w:val="225"/>
        </w:trPr>
        <w:tc>
          <w:tcPr>
            <w:tcW w:w="3073" w:type="pct"/>
            <w:tcBorders>
              <w:top w:val="single" w:sz="4" w:space="0" w:color="000000"/>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42" w:type="pct"/>
            <w:tcBorders>
              <w:top w:val="single" w:sz="4" w:space="0" w:color="000000"/>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642" w:type="pct"/>
            <w:tcBorders>
              <w:top w:val="single" w:sz="4" w:space="0" w:color="000000"/>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642" w:type="pct"/>
            <w:tcBorders>
              <w:top w:val="single" w:sz="4" w:space="0" w:color="000000"/>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Change on</w:t>
            </w:r>
          </w:p>
        </w:tc>
      </w:tr>
      <w:tr w:rsidR="00732420" w:rsidRPr="00FE17FC" w:rsidTr="00732420">
        <w:trPr>
          <w:trHeight w:hRule="exact" w:val="225"/>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Estimate at</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Outcome</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r>
      <w:tr w:rsidR="00732420" w:rsidRPr="00FE17FC" w:rsidTr="00732420">
        <w:trPr>
          <w:trHeight w:hRule="exact" w:val="225"/>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MYEFO</w:t>
            </w:r>
          </w:p>
        </w:tc>
      </w:tr>
      <w:tr w:rsidR="00732420" w:rsidRPr="00FE17FC" w:rsidTr="00732420">
        <w:trPr>
          <w:trHeight w:hRule="exact" w:val="225"/>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MYEFO</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25"/>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$b</w:t>
            </w:r>
          </w:p>
        </w:tc>
        <w:tc>
          <w:tcPr>
            <w:tcW w:w="642"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$b</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$b</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Cash receipts</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Operating cash receipts</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500.8</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467.7</w:t>
            </w:r>
          </w:p>
        </w:tc>
        <w:tc>
          <w:tcPr>
            <w:tcW w:w="64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33.1</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Capital cash receipts(a)</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1.7</w:t>
            </w:r>
          </w:p>
        </w:tc>
        <w:tc>
          <w:tcPr>
            <w:tcW w:w="642"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1.7</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0.1</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Total cash receipts</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502.5</w:t>
            </w:r>
          </w:p>
        </w:tc>
        <w:tc>
          <w:tcPr>
            <w:tcW w:w="642"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469.4</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33.1</w:t>
            </w:r>
          </w:p>
        </w:tc>
      </w:tr>
      <w:tr w:rsidR="00732420" w:rsidRPr="00FE17FC" w:rsidTr="00732420">
        <w:trPr>
          <w:trHeight w:hRule="exact" w:val="6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340"/>
              <w:jc w:val="lef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Cash payments</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Operating cash payments</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475.3</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534.2</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58.9</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 xml:space="preserve">Capital cash payments(b) </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14.3</w:t>
            </w:r>
          </w:p>
        </w:tc>
        <w:tc>
          <w:tcPr>
            <w:tcW w:w="642"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13.0</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1.3</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Total cash payments</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489.6</w:t>
            </w:r>
          </w:p>
        </w:tc>
        <w:tc>
          <w:tcPr>
            <w:tcW w:w="642"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547.3</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57.6</w:t>
            </w:r>
          </w:p>
        </w:tc>
      </w:tr>
      <w:tr w:rsidR="00732420" w:rsidRPr="00FE17FC" w:rsidTr="00732420">
        <w:trPr>
          <w:trHeight w:hRule="exact" w:val="6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GFS cash surplus(+)/deficit(</w:t>
            </w:r>
            <w:r w:rsidR="00A7636B" w:rsidRPr="00FE17FC">
              <w:rPr>
                <w:rFonts w:ascii="Arial" w:hAnsi="Arial" w:cs="Arial"/>
                <w:b/>
                <w:bCs/>
                <w:sz w:val="16"/>
                <w:szCs w:val="16"/>
              </w:rPr>
              <w:noBreakHyphen/>
            </w:r>
            <w:r w:rsidRPr="00FE17FC">
              <w:rPr>
                <w:rFonts w:ascii="Arial" w:hAnsi="Arial" w:cs="Arial"/>
                <w:b/>
                <w:bCs/>
                <w:sz w:val="16"/>
                <w:szCs w:val="16"/>
              </w:rPr>
              <w:t>)</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12.8</w:t>
            </w:r>
          </w:p>
        </w:tc>
        <w:tc>
          <w:tcPr>
            <w:tcW w:w="642" w:type="pct"/>
            <w:tcBorders>
              <w:top w:val="nil"/>
              <w:left w:val="nil"/>
              <w:bottom w:val="nil"/>
              <w:right w:val="nil"/>
            </w:tcBorders>
            <w:shd w:val="clear" w:color="000000" w:fill="E6E6E6"/>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77.9</w:t>
            </w:r>
          </w:p>
        </w:tc>
        <w:tc>
          <w:tcPr>
            <w:tcW w:w="64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90.7</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0.6</w:t>
            </w:r>
          </w:p>
        </w:tc>
        <w:tc>
          <w:tcPr>
            <w:tcW w:w="642" w:type="pct"/>
            <w:tcBorders>
              <w:top w:val="nil"/>
              <w:left w:val="nil"/>
              <w:bottom w:val="nil"/>
              <w:right w:val="nil"/>
            </w:tcBorders>
            <w:shd w:val="clear" w:color="000000" w:fill="E6E6E6"/>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3.9</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75"/>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i/>
                <w:iCs/>
                <w:sz w:val="16"/>
                <w:szCs w:val="16"/>
              </w:rPr>
            </w:pPr>
            <w:r w:rsidRPr="00FE17FC">
              <w:rPr>
                <w:rFonts w:ascii="Arial" w:hAnsi="Arial" w:cs="Arial"/>
                <w:i/>
                <w:iCs/>
                <w:sz w:val="16"/>
                <w:szCs w:val="16"/>
              </w:rPr>
              <w:t xml:space="preserve">plus </w:t>
            </w:r>
            <w:r w:rsidRPr="00FE17FC">
              <w:rPr>
                <w:rFonts w:ascii="Arial" w:hAnsi="Arial" w:cs="Arial"/>
                <w:sz w:val="16"/>
                <w:szCs w:val="16"/>
              </w:rPr>
              <w:t>Net cash flows from financing activities for leases(c)</w:t>
            </w:r>
          </w:p>
        </w:tc>
        <w:tc>
          <w:tcPr>
            <w:tcW w:w="64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2.3</w:t>
            </w:r>
          </w:p>
        </w:tc>
        <w:tc>
          <w:tcPr>
            <w:tcW w:w="642" w:type="pct"/>
            <w:tcBorders>
              <w:top w:val="nil"/>
              <w:left w:val="nil"/>
              <w:bottom w:val="nil"/>
              <w:right w:val="nil"/>
            </w:tcBorders>
            <w:shd w:val="clear" w:color="000000" w:fill="E6E6E6"/>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2.4</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0.0</w:t>
            </w:r>
          </w:p>
        </w:tc>
      </w:tr>
      <w:tr w:rsidR="00732420" w:rsidRPr="00FE17FC" w:rsidTr="00732420">
        <w:trPr>
          <w:trHeight w:hRule="exact" w:val="45"/>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i/>
                <w:iCs/>
                <w:sz w:val="16"/>
                <w:szCs w:val="16"/>
              </w:rPr>
            </w:pPr>
            <w:r w:rsidRPr="00FE17FC">
              <w:rPr>
                <w:rFonts w:ascii="Arial" w:hAnsi="Arial" w:cs="Arial"/>
                <w:i/>
                <w:iCs/>
                <w:sz w:val="16"/>
                <w:szCs w:val="16"/>
              </w:rPr>
              <w:t xml:space="preserve">less </w:t>
            </w:r>
            <w:r w:rsidRPr="00FE17FC">
              <w:rPr>
                <w:rFonts w:ascii="Arial" w:hAnsi="Arial" w:cs="Arial"/>
                <w:iCs/>
                <w:sz w:val="16"/>
                <w:szCs w:val="16"/>
              </w:rPr>
              <w:t>Net Future Fund earnings</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5.5</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5.0</w:t>
            </w:r>
          </w:p>
        </w:tc>
        <w:tc>
          <w:tcPr>
            <w:tcW w:w="64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0.4</w:t>
            </w:r>
          </w:p>
        </w:tc>
      </w:tr>
      <w:tr w:rsidR="00732420" w:rsidRPr="00FE17FC" w:rsidTr="00732420">
        <w:trPr>
          <w:trHeight w:hRule="exact" w:val="6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i/>
                <w:iCs/>
                <w:sz w:val="16"/>
                <w:szCs w:val="16"/>
              </w:rPr>
            </w:pPr>
            <w:r w:rsidRPr="00FE17FC">
              <w:rPr>
                <w:rFonts w:ascii="Arial" w:hAnsi="Arial" w:cs="Arial"/>
                <w:i/>
                <w:iCs/>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Underlying cash balance(d)</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5.0</w:t>
            </w:r>
          </w:p>
        </w:tc>
        <w:tc>
          <w:tcPr>
            <w:tcW w:w="642" w:type="pct"/>
            <w:tcBorders>
              <w:top w:val="nil"/>
              <w:left w:val="nil"/>
              <w:bottom w:val="nil"/>
              <w:right w:val="nil"/>
            </w:tcBorders>
            <w:shd w:val="clear" w:color="000000" w:fill="E6E6E6"/>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85.3</w:t>
            </w:r>
          </w:p>
        </w:tc>
        <w:tc>
          <w:tcPr>
            <w:tcW w:w="64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90.3</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0.3</w:t>
            </w:r>
          </w:p>
        </w:tc>
        <w:tc>
          <w:tcPr>
            <w:tcW w:w="642" w:type="pct"/>
            <w:tcBorders>
              <w:top w:val="nil"/>
              <w:left w:val="nil"/>
              <w:bottom w:val="nil"/>
              <w:right w:val="nil"/>
            </w:tcBorders>
            <w:shd w:val="clear" w:color="000000" w:fill="E6E6E6"/>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4.3</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60"/>
        </w:trPr>
        <w:tc>
          <w:tcPr>
            <w:tcW w:w="3073"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642"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i/>
                <w:iCs/>
                <w:sz w:val="16"/>
                <w:szCs w:val="16"/>
              </w:rPr>
            </w:pPr>
            <w:r w:rsidRPr="00FE17FC">
              <w:rPr>
                <w:rFonts w:ascii="Arial" w:hAnsi="Arial" w:cs="Arial"/>
                <w:i/>
                <w:iCs/>
                <w:sz w:val="16"/>
                <w:szCs w:val="16"/>
              </w:rPr>
              <w:t>Memorandum items:</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Net cash flows from investments in financial</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assets for policy purposes</w:t>
            </w:r>
          </w:p>
        </w:tc>
        <w:tc>
          <w:tcPr>
            <w:tcW w:w="64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13.3</w:t>
            </w:r>
          </w:p>
        </w:tc>
        <w:tc>
          <w:tcPr>
            <w:tcW w:w="642" w:type="pct"/>
            <w:tcBorders>
              <w:top w:val="nil"/>
              <w:left w:val="nil"/>
              <w:bottom w:val="nil"/>
              <w:right w:val="nil"/>
            </w:tcBorders>
            <w:shd w:val="clear" w:color="000000" w:fill="E6E6E6"/>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13.6</w:t>
            </w:r>
          </w:p>
        </w:tc>
        <w:tc>
          <w:tcPr>
            <w:tcW w:w="64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0.3</w:t>
            </w:r>
          </w:p>
        </w:tc>
      </w:tr>
      <w:tr w:rsidR="00732420" w:rsidRPr="00FE17FC" w:rsidTr="00732420">
        <w:trPr>
          <w:trHeight w:hRule="exact" w:val="75"/>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i/>
                <w:iCs/>
                <w:sz w:val="16"/>
                <w:szCs w:val="16"/>
              </w:rPr>
            </w:pPr>
            <w:r w:rsidRPr="00FE17FC">
              <w:rPr>
                <w:rFonts w:ascii="Arial" w:hAnsi="Arial" w:cs="Arial"/>
                <w:i/>
                <w:iCs/>
                <w:sz w:val="16"/>
                <w:szCs w:val="16"/>
              </w:rPr>
              <w:t xml:space="preserve">plus </w:t>
            </w:r>
            <w:r w:rsidRPr="00FE17FC">
              <w:rPr>
                <w:rFonts w:ascii="Arial" w:hAnsi="Arial" w:cs="Arial"/>
                <w:iCs/>
                <w:sz w:val="16"/>
                <w:szCs w:val="16"/>
              </w:rPr>
              <w:t>Net Future Fund earnings</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5.5</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5.0</w:t>
            </w:r>
          </w:p>
        </w:tc>
        <w:tc>
          <w:tcPr>
            <w:tcW w:w="64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0.4</w:t>
            </w:r>
          </w:p>
        </w:tc>
      </w:tr>
      <w:tr w:rsidR="00732420" w:rsidRPr="00FE17FC" w:rsidTr="00732420">
        <w:trPr>
          <w:trHeight w:hRule="exact" w:val="60"/>
        </w:trPr>
        <w:tc>
          <w:tcPr>
            <w:tcW w:w="307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642"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64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r>
      <w:tr w:rsidR="00732420" w:rsidRPr="00FE17FC" w:rsidTr="00732420">
        <w:trPr>
          <w:trHeight w:hRule="exact" w:val="210"/>
        </w:trPr>
        <w:tc>
          <w:tcPr>
            <w:tcW w:w="3073"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Headline cash balance</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2.8</w:t>
            </w:r>
          </w:p>
        </w:tc>
        <w:tc>
          <w:tcPr>
            <w:tcW w:w="642" w:type="pct"/>
            <w:tcBorders>
              <w:top w:val="nil"/>
              <w:left w:val="nil"/>
              <w:bottom w:val="single" w:sz="4" w:space="0" w:color="000000"/>
              <w:right w:val="nil"/>
            </w:tcBorders>
            <w:shd w:val="clear" w:color="000000" w:fill="E6E6E6"/>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93.9</w:t>
            </w:r>
          </w:p>
        </w:tc>
        <w:tc>
          <w:tcPr>
            <w:tcW w:w="642"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91.0</w:t>
            </w:r>
          </w:p>
        </w:tc>
      </w:tr>
    </w:tbl>
    <w:p w:rsidR="00732420" w:rsidRPr="00FE17FC" w:rsidRDefault="00732420" w:rsidP="00732420">
      <w:pPr>
        <w:pStyle w:val="ChartandTableFootnoteAlpha"/>
        <w:numPr>
          <w:ilvl w:val="0"/>
          <w:numId w:val="43"/>
        </w:numPr>
        <w:rPr>
          <w:b/>
        </w:rPr>
      </w:pPr>
      <w:r w:rsidRPr="00FE17FC">
        <w:fldChar w:fldCharType="end"/>
      </w:r>
      <w:r w:rsidR="009578E2" w:rsidRPr="00FE17FC">
        <w:t>Equivalent to cash receipts from the sale of non</w:t>
      </w:r>
      <w:r w:rsidR="00A7636B" w:rsidRPr="00FE17FC">
        <w:noBreakHyphen/>
      </w:r>
      <w:r w:rsidR="009578E2" w:rsidRPr="00FE17FC">
        <w:t>financial assets in the cash flow statement.</w:t>
      </w:r>
    </w:p>
    <w:p w:rsidR="00732420" w:rsidRPr="00FE17FC" w:rsidRDefault="009578E2" w:rsidP="00732420">
      <w:pPr>
        <w:pStyle w:val="ChartandTableFootnoteAlpha"/>
        <w:numPr>
          <w:ilvl w:val="0"/>
          <w:numId w:val="43"/>
        </w:numPr>
        <w:rPr>
          <w:b/>
        </w:rPr>
      </w:pPr>
      <w:r w:rsidRPr="00FE17FC">
        <w:t>Equivalent to cash payments for purchases of non</w:t>
      </w:r>
      <w:r w:rsidR="00A7636B" w:rsidRPr="00FE17FC">
        <w:noBreakHyphen/>
      </w:r>
      <w:r w:rsidRPr="00FE17FC">
        <w:t>financial assets in the cash flow statement.</w:t>
      </w:r>
    </w:p>
    <w:p w:rsidR="00732420" w:rsidRPr="00FE17FC" w:rsidRDefault="009578E2" w:rsidP="00732420">
      <w:pPr>
        <w:pStyle w:val="ChartandTableFootnoteAlpha"/>
        <w:numPr>
          <w:ilvl w:val="0"/>
          <w:numId w:val="43"/>
        </w:numPr>
        <w:rPr>
          <w:b/>
        </w:rPr>
      </w:pPr>
      <w:r w:rsidRPr="00FE17FC">
        <w:t>Principal payments on lease liabilities, which are cash flows from financing activities, are deducted in the calculation of the underlying cash balance to maintain consistency of measure</w:t>
      </w:r>
      <w:r w:rsidRPr="00FE17FC">
        <w:rPr>
          <w:b/>
        </w:rPr>
        <w:t xml:space="preserve"> </w:t>
      </w:r>
      <w:r w:rsidRPr="00FE17FC">
        <w:t>following the implementation of AASB 16.</w:t>
      </w:r>
    </w:p>
    <w:p w:rsidR="00A31CA0" w:rsidRPr="00FE17FC" w:rsidRDefault="009578E2" w:rsidP="00732420">
      <w:pPr>
        <w:pStyle w:val="ChartandTableFootnoteAlpha"/>
        <w:numPr>
          <w:ilvl w:val="0"/>
          <w:numId w:val="43"/>
        </w:numPr>
        <w:rPr>
          <w:b/>
        </w:rPr>
      </w:pPr>
      <w:r w:rsidRPr="00FE17FC">
        <w:t>Excludes net Future Fund earnings.</w:t>
      </w:r>
      <w:r w:rsidR="004128F7" w:rsidRPr="00FE17FC">
        <w:t xml:space="preserve"> </w:t>
      </w:r>
      <w:r w:rsidR="00A31CA0" w:rsidRPr="00FE17FC">
        <w:br w:type="page"/>
      </w:r>
    </w:p>
    <w:p w:rsidR="00A31CA0" w:rsidRPr="00FE17FC" w:rsidRDefault="00A31CA0" w:rsidP="00A31CA0">
      <w:pPr>
        <w:pStyle w:val="Heading3"/>
        <w:spacing w:before="0" w:after="160"/>
        <w:rPr>
          <w:bCs/>
        </w:rPr>
      </w:pPr>
      <w:r w:rsidRPr="00FE17FC">
        <w:rPr>
          <w:bCs/>
        </w:rPr>
        <w:lastRenderedPageBreak/>
        <w:t>Receipts</w:t>
      </w:r>
    </w:p>
    <w:p w:rsidR="00A31CA0" w:rsidRPr="00FE17FC" w:rsidRDefault="002A43EB" w:rsidP="00052538">
      <w:r w:rsidRPr="00FE17FC">
        <w:t>Total receipts for 2019</w:t>
      </w:r>
      <w:r w:rsidR="00A7636B" w:rsidRPr="00FE17FC">
        <w:noBreakHyphen/>
      </w:r>
      <w:r w:rsidRPr="00FE17FC">
        <w:t xml:space="preserve">20 were $469.4 billion, </w:t>
      </w:r>
      <w:r w:rsidR="00FD59B9" w:rsidRPr="00FE17FC">
        <w:t>$</w:t>
      </w:r>
      <w:r w:rsidR="00500EDA" w:rsidRPr="00FE17FC">
        <w:t>0.1</w:t>
      </w:r>
      <w:r w:rsidR="00FD59B9" w:rsidRPr="00FE17FC">
        <w:t xml:space="preserve"> billion lower than</w:t>
      </w:r>
      <w:r w:rsidR="004F0CCA" w:rsidRPr="00FE17FC">
        <w:t xml:space="preserve"> the</w:t>
      </w:r>
      <w:r w:rsidR="00535ED0" w:rsidRPr="00FE17FC">
        <w:t xml:space="preserve"> preliminary estimate included in the</w:t>
      </w:r>
      <w:r w:rsidR="004F0CCA" w:rsidRPr="00FE17FC">
        <w:t xml:space="preserve"> July Update </w:t>
      </w:r>
      <w:r w:rsidR="00535ED0" w:rsidRPr="00FE17FC">
        <w:t>of</w:t>
      </w:r>
      <w:r w:rsidR="004F0CCA" w:rsidRPr="00FE17FC">
        <w:t xml:space="preserve"> </w:t>
      </w:r>
      <w:r w:rsidR="00802D51" w:rsidRPr="00FE17FC">
        <w:t>$469.5</w:t>
      </w:r>
      <w:r w:rsidR="004F0CCA" w:rsidRPr="00FE17FC">
        <w:t xml:space="preserve"> billion</w:t>
      </w:r>
      <w:r w:rsidR="00CD74D2" w:rsidRPr="00FE17FC">
        <w:t xml:space="preserve">, and </w:t>
      </w:r>
      <w:r w:rsidR="004F0CCA" w:rsidRPr="00FE17FC">
        <w:t>$</w:t>
      </w:r>
      <w:r w:rsidR="009E186F" w:rsidRPr="00FE17FC">
        <w:t>33.1</w:t>
      </w:r>
      <w:r w:rsidR="004F0CCA" w:rsidRPr="00FE17FC">
        <w:t xml:space="preserve"> billion</w:t>
      </w:r>
      <w:r w:rsidR="00A31CA0" w:rsidRPr="00FE17FC">
        <w:t xml:space="preserve"> </w:t>
      </w:r>
      <w:r w:rsidR="00577ABC" w:rsidRPr="00FE17FC">
        <w:t>lowe</w:t>
      </w:r>
      <w:r w:rsidR="00A31CA0" w:rsidRPr="00FE17FC">
        <w:t xml:space="preserve">r than forecast in the </w:t>
      </w:r>
      <w:r w:rsidR="00A76EFD" w:rsidRPr="00FE17FC">
        <w:t>2019</w:t>
      </w:r>
      <w:r w:rsidR="00A7636B" w:rsidRPr="00FE17FC">
        <w:noBreakHyphen/>
      </w:r>
      <w:r w:rsidR="00A76EFD" w:rsidRPr="00FE17FC">
        <w:t>20 MYEFO</w:t>
      </w:r>
      <w:r w:rsidR="00A31CA0" w:rsidRPr="00FE17FC">
        <w:t xml:space="preserve">. </w:t>
      </w:r>
    </w:p>
    <w:p w:rsidR="0085121D" w:rsidRPr="00FE17FC" w:rsidRDefault="0085121D" w:rsidP="00052538">
      <w:r w:rsidRPr="00FE17FC">
        <w:t>Tax receipts were $431.8 billion, $32.0 billion lower than the estimate at the 2019</w:t>
      </w:r>
      <w:r w:rsidR="00A7636B" w:rsidRPr="00FE17FC">
        <w:noBreakHyphen/>
      </w:r>
      <w:r w:rsidRPr="00FE17FC">
        <w:t>20 MYEFO. Compared with the 2019</w:t>
      </w:r>
      <w:r w:rsidR="00A7636B" w:rsidRPr="00FE17FC">
        <w:noBreakHyphen/>
      </w:r>
      <w:r w:rsidRPr="00FE17FC">
        <w:t>20 MYEFO</w:t>
      </w:r>
      <w:r w:rsidR="001C237A" w:rsidRPr="00FE17FC">
        <w:t xml:space="preserve"> and</w:t>
      </w:r>
      <w:r w:rsidRPr="00FE17FC">
        <w:t xml:space="preserve"> </w:t>
      </w:r>
      <w:r w:rsidR="00CD74D2" w:rsidRPr="00FE17FC">
        <w:t>consistent with the July Update</w:t>
      </w:r>
      <w:r w:rsidR="001C237A" w:rsidRPr="00FE17FC">
        <w:t>,</w:t>
      </w:r>
      <w:r w:rsidR="00CD74D2" w:rsidRPr="00FE17FC">
        <w:t xml:space="preserve"> </w:t>
      </w:r>
      <w:r w:rsidRPr="00FE17FC">
        <w:t>the weakness was across almost all heads of revenue but largely driven by lower</w:t>
      </w:r>
      <w:r w:rsidR="00A7636B" w:rsidRPr="00FE17FC">
        <w:noBreakHyphen/>
      </w:r>
      <w:r w:rsidRPr="00FE17FC">
        <w:t>than</w:t>
      </w:r>
      <w:r w:rsidR="00A7636B" w:rsidRPr="00FE17FC">
        <w:noBreakHyphen/>
      </w:r>
      <w:r w:rsidRPr="00FE17FC">
        <w:t xml:space="preserve">expected company, total individuals and other withholding taxes, and GST. </w:t>
      </w:r>
    </w:p>
    <w:p w:rsidR="00AB14A5" w:rsidRPr="00FE17FC" w:rsidRDefault="00AB14A5" w:rsidP="00AB14A5">
      <w:pPr>
        <w:pStyle w:val="Bullet"/>
      </w:pPr>
      <w:r w:rsidRPr="00FE17FC">
        <w:t>Company tax receipts were $13.4 billion (13.7 per cent) below the 2019</w:t>
      </w:r>
      <w:r w:rsidRPr="00FE17FC">
        <w:noBreakHyphen/>
        <w:t>20 MYEFO estimate. This was driven</w:t>
      </w:r>
      <w:r w:rsidR="00906A50" w:rsidRPr="00FE17FC">
        <w:t xml:space="preserve"> in large part</w:t>
      </w:r>
      <w:r w:rsidRPr="00FE17FC">
        <w:t xml:space="preserve"> by the impact of health restrictions, which have reduced taxable incomes</w:t>
      </w:r>
      <w:r w:rsidR="00763F64" w:rsidRPr="00FE17FC">
        <w:t>.</w:t>
      </w:r>
      <w:r w:rsidRPr="00FE17FC">
        <w:t xml:space="preserve"> </w:t>
      </w:r>
    </w:p>
    <w:p w:rsidR="00AB14A5" w:rsidRPr="00FE17FC" w:rsidRDefault="00AB14A5" w:rsidP="00AB14A5">
      <w:pPr>
        <w:pStyle w:val="Bullet"/>
      </w:pPr>
      <w:r w:rsidRPr="00FE17FC">
        <w:t>Receipts from total individuals and other withholding taxes were $9.0 billion (3.9 per cent) below the 2019</w:t>
      </w:r>
      <w:r w:rsidRPr="00FE17FC">
        <w:noBreakHyphen/>
        <w:t>20 MYEFO estimate, largely reflecting</w:t>
      </w:r>
      <w:r w:rsidR="00906A50" w:rsidRPr="00FE17FC">
        <w:t xml:space="preserve"> the COVID-19 pandemic resulting in</w:t>
      </w:r>
      <w:r w:rsidRPr="00FE17FC">
        <w:t xml:space="preserve"> weaker collections from small, medium and large withholders in line with a deterioration in labour market conditions and lodgement and payment deferrals granted </w:t>
      </w:r>
      <w:r w:rsidR="00906A50" w:rsidRPr="00FE17FC">
        <w:t>by the ATO</w:t>
      </w:r>
      <w:r w:rsidR="002103BB" w:rsidRPr="00FE17FC">
        <w:t>.</w:t>
      </w:r>
    </w:p>
    <w:p w:rsidR="00AB14A5" w:rsidRPr="00FE17FC" w:rsidRDefault="00AB14A5" w:rsidP="00AB14A5">
      <w:pPr>
        <w:pStyle w:val="Bullet"/>
      </w:pPr>
      <w:r w:rsidRPr="00FE17FC">
        <w:t>Receipts from the GST were $5.3 billion (8.1 per cent) below the 2019</w:t>
      </w:r>
      <w:r w:rsidRPr="00FE17FC">
        <w:noBreakHyphen/>
        <w:t>20 MYEFO estimate, reflecting lower</w:t>
      </w:r>
      <w:r w:rsidRPr="00FE17FC">
        <w:noBreakHyphen/>
        <w:t>than</w:t>
      </w:r>
      <w:r w:rsidRPr="00FE17FC">
        <w:noBreakHyphen/>
        <w:t>expected household consumption and private dwelling investment. There has been an increase in unpaid debt in 2019</w:t>
      </w:r>
      <w:r w:rsidRPr="00FE17FC">
        <w:noBreakHyphen/>
        <w:t xml:space="preserve">20, in part due to payment deferrals offered to businesses experiencing financial hardship. </w:t>
      </w:r>
    </w:p>
    <w:p w:rsidR="00AB14A5" w:rsidRPr="00FE17FC" w:rsidRDefault="00AB14A5" w:rsidP="00AB14A5">
      <w:pPr>
        <w:pStyle w:val="Bullet"/>
      </w:pPr>
      <w:r w:rsidRPr="00FE17FC">
        <w:t>Receipts from excise and customs duty were $2.2 billion (4.8 per cent) below the 2019</w:t>
      </w:r>
      <w:r w:rsidRPr="00FE17FC">
        <w:noBreakHyphen/>
        <w:t>20 MYEFO estimate, also reflecting lower</w:t>
      </w:r>
      <w:r w:rsidRPr="00FE17FC">
        <w:noBreakHyphen/>
        <w:t>than</w:t>
      </w:r>
      <w:r w:rsidRPr="00FE17FC">
        <w:noBreakHyphen/>
        <w:t>expected household consumption, particularly through tobacco and petrol excise.</w:t>
      </w:r>
    </w:p>
    <w:p w:rsidR="00AB14A5" w:rsidRPr="00FE17FC" w:rsidRDefault="00AB14A5" w:rsidP="00AB14A5">
      <w:pPr>
        <w:pStyle w:val="Bullet"/>
      </w:pPr>
      <w:r w:rsidRPr="00FE17FC">
        <w:t>Receipts from superannuation fund taxes were $1.9 billion (23.7 per cent) below the 2019</w:t>
      </w:r>
      <w:r w:rsidRPr="00FE17FC">
        <w:noBreakHyphen/>
        <w:t>20 MYEFO estimate,</w:t>
      </w:r>
      <w:r w:rsidR="00906A50" w:rsidRPr="00FE17FC">
        <w:t xml:space="preserve"> largely</w:t>
      </w:r>
      <w:r w:rsidRPr="00FE17FC">
        <w:t xml:space="preserve"> </w:t>
      </w:r>
      <w:r w:rsidR="00906A50" w:rsidRPr="00FE17FC">
        <w:t>due to impacts from the COVID-19 pandemic on superannuation funds</w:t>
      </w:r>
      <w:r w:rsidR="00C37BE0" w:rsidRPr="00FE17FC">
        <w:t>.</w:t>
      </w:r>
      <w:r w:rsidR="00906A50" w:rsidRPr="00FE17FC">
        <w:t xml:space="preserve"> </w:t>
      </w:r>
    </w:p>
    <w:p w:rsidR="008E3F9C" w:rsidRPr="00FE17FC" w:rsidRDefault="008E3F9C" w:rsidP="00052538">
      <w:r w:rsidRPr="00FE17FC">
        <w:t>Non</w:t>
      </w:r>
      <w:r w:rsidR="00A7636B" w:rsidRPr="00FE17FC">
        <w:noBreakHyphen/>
      </w:r>
      <w:r w:rsidRPr="00FE17FC">
        <w:t>tax receipts were $37.</w:t>
      </w:r>
      <w:r w:rsidR="00983D0A" w:rsidRPr="00FE17FC">
        <w:t>6</w:t>
      </w:r>
      <w:r w:rsidRPr="00FE17FC">
        <w:t xml:space="preserve"> billion in 2019</w:t>
      </w:r>
      <w:r w:rsidR="00A7636B" w:rsidRPr="00FE17FC">
        <w:noBreakHyphen/>
      </w:r>
      <w:r w:rsidRPr="00FE17FC">
        <w:t>20, $1.</w:t>
      </w:r>
      <w:r w:rsidR="00983D0A" w:rsidRPr="00FE17FC">
        <w:t>1</w:t>
      </w:r>
      <w:r w:rsidRPr="00FE17FC">
        <w:t xml:space="preserve"> billion lower than estimated at the time of the 2019</w:t>
      </w:r>
      <w:r w:rsidR="00A7636B" w:rsidRPr="00FE17FC">
        <w:noBreakHyphen/>
      </w:r>
      <w:r w:rsidRPr="00FE17FC">
        <w:t>20 MYEFO. This decrease largely reflects lower</w:t>
      </w:r>
      <w:r w:rsidR="00A7636B" w:rsidRPr="00FE17FC">
        <w:noBreakHyphen/>
      </w:r>
      <w:r w:rsidRPr="00FE17FC">
        <w:t>than</w:t>
      </w:r>
      <w:r w:rsidR="00A7636B" w:rsidRPr="00FE17FC">
        <w:noBreakHyphen/>
      </w:r>
      <w:r w:rsidRPr="00FE17FC">
        <w:t xml:space="preserve">estimated receipts related to the Higher Education Loan Program </w:t>
      </w:r>
      <w:r w:rsidR="005A044E" w:rsidRPr="00FE17FC">
        <w:t>($0.6 billion)</w:t>
      </w:r>
      <w:r w:rsidRPr="00FE17FC">
        <w:t xml:space="preserve"> and the Unclaimed Superannuation Monies program</w:t>
      </w:r>
      <w:r w:rsidR="007B76C5" w:rsidRPr="00FE17FC">
        <w:t xml:space="preserve"> ($0.5 billion)</w:t>
      </w:r>
      <w:r w:rsidRPr="00FE17FC">
        <w:t xml:space="preserve">. </w:t>
      </w:r>
    </w:p>
    <w:p w:rsidR="00F303D7" w:rsidRPr="00FE17FC" w:rsidRDefault="008E3F9C" w:rsidP="00052538">
      <w:r w:rsidRPr="00FE17FC">
        <w:t>Total cash receipts in 2019</w:t>
      </w:r>
      <w:r w:rsidR="00A7636B" w:rsidRPr="00FE17FC">
        <w:noBreakHyphen/>
      </w:r>
      <w:r w:rsidRPr="00FE17FC">
        <w:t>20 of $469.4 billion included $</w:t>
      </w:r>
      <w:r w:rsidR="00966146" w:rsidRPr="00FE17FC">
        <w:t>5.4</w:t>
      </w:r>
      <w:r w:rsidRPr="00FE17FC">
        <w:t xml:space="preserve"> billion in Future Fund receipts, which were $0.</w:t>
      </w:r>
      <w:r w:rsidR="00966146" w:rsidRPr="00FE17FC">
        <w:t>4</w:t>
      </w:r>
      <w:r w:rsidRPr="00FE17FC">
        <w:t xml:space="preserve"> billion </w:t>
      </w:r>
      <w:r w:rsidR="00983D0A" w:rsidRPr="00FE17FC">
        <w:t>lower</w:t>
      </w:r>
      <w:r w:rsidRPr="00FE17FC">
        <w:t xml:space="preserve"> than estimated in the 2019</w:t>
      </w:r>
      <w:r w:rsidR="00A7636B" w:rsidRPr="00FE17FC">
        <w:noBreakHyphen/>
      </w:r>
      <w:r w:rsidRPr="00FE17FC">
        <w:t xml:space="preserve">20 MYEFO. </w:t>
      </w:r>
    </w:p>
    <w:p w:rsidR="006568A7" w:rsidRPr="00FE17FC" w:rsidRDefault="006568A7">
      <w:pPr>
        <w:spacing w:after="0"/>
        <w:jc w:val="left"/>
      </w:pPr>
      <w:r w:rsidRPr="00FE17FC">
        <w:br w:type="page"/>
      </w:r>
    </w:p>
    <w:p w:rsidR="00FB1CD2" w:rsidRPr="00FE17FC" w:rsidRDefault="000679E7" w:rsidP="00E31C06">
      <w:pPr>
        <w:pStyle w:val="TableHeading"/>
        <w:spacing w:before="0"/>
        <w:rPr>
          <w:rFonts w:ascii="Calibri" w:eastAsia="Calibri" w:hAnsi="Calibri"/>
          <w:b w:val="0"/>
        </w:rPr>
      </w:pPr>
      <w:r w:rsidRPr="00FE17FC">
        <w:lastRenderedPageBreak/>
        <w:t>Table 4:  Australian Government general government (cash) receipts</w:t>
      </w:r>
      <w:r w:rsidR="00FB1CD2" w:rsidRPr="00FE17FC">
        <w:fldChar w:fldCharType="begin" w:fldLock="1"/>
      </w:r>
      <w:r w:rsidR="00FB1CD2" w:rsidRPr="00FE17FC">
        <w:instrText xml:space="preserve"> LINK Excel.Sheet.12 "\\\\budget.gov\\budget_shares\\Budget$\\2019-20 FBO\\01 Outcomes\\02 Outcomes charts and tables\\Table 4 - TAD.xlsx" "Table 4 1920 FBO!R3C1:R55C4" \a \f 4 \h </w:instrText>
      </w:r>
      <w:r w:rsidR="00FB1CD2" w:rsidRPr="00FE17FC">
        <w:fldChar w:fldCharType="separate"/>
      </w:r>
    </w:p>
    <w:tbl>
      <w:tblPr>
        <w:tblW w:w="5000" w:type="pct"/>
        <w:tblLook w:val="04A0" w:firstRow="1" w:lastRow="0" w:firstColumn="1" w:lastColumn="0" w:noHBand="0" w:noVBand="1"/>
      </w:tblPr>
      <w:tblGrid>
        <w:gridCol w:w="3830"/>
        <w:gridCol w:w="1294"/>
        <w:gridCol w:w="1294"/>
        <w:gridCol w:w="1292"/>
      </w:tblGrid>
      <w:tr w:rsidR="00FB1CD2" w:rsidRPr="00FE17FC" w:rsidTr="00E31C06">
        <w:trPr>
          <w:trHeight w:hRule="exact" w:val="227"/>
        </w:trPr>
        <w:tc>
          <w:tcPr>
            <w:tcW w:w="2484" w:type="pct"/>
            <w:tcBorders>
              <w:top w:val="single" w:sz="4" w:space="0" w:color="000000"/>
              <w:left w:val="nil"/>
              <w:bottom w:val="nil"/>
              <w:right w:val="nil"/>
            </w:tcBorders>
            <w:shd w:val="clear" w:color="auto" w:fill="auto"/>
            <w:noWrap/>
            <w:vAlign w:val="center"/>
            <w:hideMark/>
          </w:tcPr>
          <w:p w:rsidR="00FB1CD2" w:rsidRPr="00FE17FC" w:rsidRDefault="00FB1CD2" w:rsidP="000F3274">
            <w:pPr>
              <w:spacing w:after="0" w:line="240" w:lineRule="auto"/>
              <w:rPr>
                <w:rFonts w:ascii="Arial" w:hAnsi="Arial" w:cs="Arial"/>
                <w:sz w:val="16"/>
                <w:szCs w:val="16"/>
              </w:rPr>
            </w:pPr>
            <w:r w:rsidRPr="00FE17FC">
              <w:rPr>
                <w:rFonts w:ascii="Arial" w:hAnsi="Arial" w:cs="Arial"/>
                <w:sz w:val="16"/>
                <w:szCs w:val="16"/>
              </w:rPr>
              <w:t> </w:t>
            </w:r>
          </w:p>
        </w:tc>
        <w:tc>
          <w:tcPr>
            <w:tcW w:w="839" w:type="pct"/>
            <w:tcBorders>
              <w:top w:val="single" w:sz="4" w:space="0" w:color="000000"/>
              <w:left w:val="nil"/>
              <w:bottom w:val="nil"/>
              <w:right w:val="nil"/>
            </w:tcBorders>
            <w:shd w:val="clear" w:color="auto" w:fill="auto"/>
            <w:noWrap/>
            <w:vAlign w:val="bottom"/>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839" w:type="pct"/>
            <w:tcBorders>
              <w:top w:val="single" w:sz="4" w:space="0" w:color="000000"/>
              <w:left w:val="nil"/>
              <w:bottom w:val="nil"/>
              <w:right w:val="nil"/>
            </w:tcBorders>
            <w:shd w:val="clear" w:color="000000" w:fill="E6E6E6"/>
            <w:noWrap/>
            <w:vAlign w:val="bottom"/>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839" w:type="pct"/>
            <w:tcBorders>
              <w:top w:val="single" w:sz="4" w:space="0" w:color="000000"/>
              <w:left w:val="nil"/>
              <w:bottom w:val="nil"/>
              <w:right w:val="nil"/>
            </w:tcBorders>
            <w:shd w:val="clear" w:color="auto" w:fill="auto"/>
            <w:noWrap/>
            <w:vAlign w:val="bottom"/>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Change on</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Estimate at</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Outcome</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839" w:type="pct"/>
            <w:tcBorders>
              <w:top w:val="nil"/>
              <w:left w:val="nil"/>
              <w:bottom w:val="nil"/>
              <w:right w:val="nil"/>
            </w:tcBorders>
            <w:shd w:val="clear" w:color="auto" w:fill="auto"/>
            <w:noWrap/>
            <w:vAlign w:val="bottom"/>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MYEFO</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MYEFO</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839" w:type="pct"/>
            <w:tcBorders>
              <w:top w:val="nil"/>
              <w:left w:val="nil"/>
              <w:bottom w:val="nil"/>
              <w:right w:val="nil"/>
            </w:tcBorders>
            <w:shd w:val="clear" w:color="auto" w:fill="auto"/>
            <w:noWrap/>
            <w:vAlign w:val="bottom"/>
            <w:hideMark/>
          </w:tcPr>
          <w:p w:rsidR="00FB1CD2" w:rsidRPr="00FE17FC" w:rsidRDefault="00FB1CD2" w:rsidP="000F3274">
            <w:pPr>
              <w:spacing w:after="0" w:line="240" w:lineRule="auto"/>
              <w:jc w:val="right"/>
              <w:rPr>
                <w:rFonts w:ascii="Arial" w:hAnsi="Arial" w:cs="Arial"/>
                <w:sz w:val="16"/>
                <w:szCs w:val="16"/>
              </w:rPr>
            </w:pP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Times New Roman" w:hAnsi="Times New Roman"/>
              </w:rPr>
            </w:pPr>
          </w:p>
        </w:tc>
        <w:tc>
          <w:tcPr>
            <w:tcW w:w="839" w:type="pct"/>
            <w:tcBorders>
              <w:top w:val="nil"/>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$m</w:t>
            </w:r>
          </w:p>
        </w:tc>
        <w:tc>
          <w:tcPr>
            <w:tcW w:w="839" w:type="pct"/>
            <w:tcBorders>
              <w:top w:val="nil"/>
              <w:left w:val="nil"/>
              <w:bottom w:val="single" w:sz="4" w:space="0" w:color="000000"/>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$m</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$m</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Individuals and other withholding taxes</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170"/>
              <w:jc w:val="left"/>
              <w:rPr>
                <w:rFonts w:ascii="Arial" w:hAnsi="Arial" w:cs="Arial"/>
                <w:sz w:val="16"/>
                <w:szCs w:val="16"/>
              </w:rPr>
            </w:pPr>
            <w:r w:rsidRPr="00FE17FC">
              <w:rPr>
                <w:rFonts w:ascii="Arial" w:hAnsi="Arial" w:cs="Arial"/>
                <w:sz w:val="16"/>
                <w:szCs w:val="16"/>
              </w:rPr>
              <w:t>Gross income tax withholding</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218,100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214,426</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3,674</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170"/>
              <w:jc w:val="left"/>
              <w:rPr>
                <w:rFonts w:ascii="Arial" w:hAnsi="Arial" w:cs="Arial"/>
                <w:sz w:val="16"/>
                <w:szCs w:val="16"/>
              </w:rPr>
            </w:pPr>
            <w:r w:rsidRPr="00FE17FC">
              <w:rPr>
                <w:rFonts w:ascii="Arial" w:hAnsi="Arial" w:cs="Arial"/>
                <w:sz w:val="16"/>
                <w:szCs w:val="16"/>
              </w:rPr>
              <w:t>Gross other individuals</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49,600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43,713</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5,887</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170"/>
              <w:jc w:val="left"/>
              <w:rPr>
                <w:rFonts w:ascii="Arial" w:hAnsi="Arial" w:cs="Arial"/>
                <w:i/>
                <w:iCs/>
                <w:sz w:val="16"/>
                <w:szCs w:val="16"/>
              </w:rPr>
            </w:pPr>
            <w:r w:rsidRPr="00FE17FC">
              <w:rPr>
                <w:rFonts w:ascii="Arial" w:hAnsi="Arial" w:cs="Arial"/>
                <w:i/>
                <w:iCs/>
                <w:sz w:val="16"/>
                <w:szCs w:val="16"/>
              </w:rPr>
              <w:t xml:space="preserve">less: </w:t>
            </w:r>
            <w:r w:rsidRPr="00FE17FC">
              <w:rPr>
                <w:rFonts w:ascii="Arial" w:hAnsi="Arial" w:cs="Arial"/>
                <w:sz w:val="16"/>
                <w:szCs w:val="16"/>
              </w:rPr>
              <w:t>Refunds</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36,800</w:t>
            </w:r>
          </w:p>
        </w:tc>
        <w:tc>
          <w:tcPr>
            <w:tcW w:w="839" w:type="pct"/>
            <w:tcBorders>
              <w:top w:val="nil"/>
              <w:left w:val="nil"/>
              <w:bottom w:val="single" w:sz="4" w:space="0" w:color="000000"/>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36,219</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581</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Total individuals and other withholding tax</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230,900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221,920</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8,980</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Fringe benefits tax</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3,940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3,850</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90</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Company tax</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98,200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84,781</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13,419</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Superannuation fund taxes</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8,210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6,267</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1,943</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Petroleum resource rent tax(a)</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1,150</w:t>
            </w:r>
          </w:p>
        </w:tc>
        <w:tc>
          <w:tcPr>
            <w:tcW w:w="839" w:type="pct"/>
            <w:tcBorders>
              <w:top w:val="nil"/>
              <w:left w:val="nil"/>
              <w:bottom w:val="single" w:sz="4" w:space="0" w:color="000000"/>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1,052</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98</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b/>
                <w:bCs/>
                <w:sz w:val="16"/>
                <w:szCs w:val="16"/>
              </w:rPr>
            </w:pPr>
            <w:r w:rsidRPr="00FE17FC">
              <w:rPr>
                <w:rFonts w:ascii="Arial" w:hAnsi="Arial" w:cs="Arial"/>
                <w:b/>
                <w:bCs/>
                <w:sz w:val="16"/>
                <w:szCs w:val="16"/>
              </w:rPr>
              <w:t>Income taxation receipts</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b/>
                <w:bCs/>
                <w:sz w:val="16"/>
                <w:szCs w:val="16"/>
              </w:rPr>
            </w:pPr>
            <w:r w:rsidRPr="00FE17FC">
              <w:rPr>
                <w:rFonts w:ascii="Arial" w:hAnsi="Arial" w:cs="Arial"/>
                <w:b/>
                <w:bCs/>
                <w:sz w:val="16"/>
                <w:szCs w:val="16"/>
              </w:rPr>
              <w:t>342,400</w:t>
            </w:r>
          </w:p>
        </w:tc>
        <w:tc>
          <w:tcPr>
            <w:tcW w:w="839" w:type="pct"/>
            <w:tcBorders>
              <w:top w:val="nil"/>
              <w:left w:val="nil"/>
              <w:bottom w:val="single" w:sz="4" w:space="0" w:color="000000"/>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b/>
                <w:bCs/>
                <w:sz w:val="16"/>
                <w:szCs w:val="16"/>
              </w:rPr>
            </w:pPr>
            <w:r w:rsidRPr="00FE17FC">
              <w:rPr>
                <w:rFonts w:ascii="Arial" w:hAnsi="Arial" w:cs="Arial"/>
                <w:b/>
                <w:bCs/>
                <w:sz w:val="16"/>
                <w:szCs w:val="16"/>
              </w:rPr>
              <w:t>317,870</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FB1CD2" w:rsidRPr="00FE17FC">
              <w:rPr>
                <w:rFonts w:ascii="Arial" w:hAnsi="Arial" w:cs="Arial"/>
                <w:b/>
                <w:bCs/>
                <w:sz w:val="16"/>
                <w:szCs w:val="16"/>
              </w:rPr>
              <w:t>24,530</w:t>
            </w:r>
          </w:p>
        </w:tc>
      </w:tr>
      <w:tr w:rsidR="00FB1CD2" w:rsidRPr="00FE17FC" w:rsidTr="00E31C06">
        <w:trPr>
          <w:trHeight w:hRule="exact" w:val="60"/>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b/>
                <w:bCs/>
                <w:sz w:val="16"/>
                <w:szCs w:val="16"/>
              </w:rPr>
            </w:pP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Times New Roman" w:hAnsi="Times New Roman"/>
              </w:rPr>
            </w:pP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Goods and services tax</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65,558</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60,263</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5,294</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Wine equalisation tax</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1,090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959</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131</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Luxury car tax</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670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570</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100</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 xml:space="preserve">Excise and customs duty  </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170"/>
              <w:jc w:val="left"/>
              <w:rPr>
                <w:rFonts w:ascii="Arial" w:hAnsi="Arial" w:cs="Arial"/>
                <w:sz w:val="16"/>
                <w:szCs w:val="16"/>
              </w:rPr>
            </w:pPr>
            <w:r w:rsidRPr="00FE17FC">
              <w:rPr>
                <w:rFonts w:ascii="Arial" w:hAnsi="Arial" w:cs="Arial"/>
                <w:sz w:val="16"/>
                <w:szCs w:val="16"/>
              </w:rPr>
              <w:t>Petrol</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6,200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5,734</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466</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170"/>
              <w:jc w:val="left"/>
              <w:rPr>
                <w:rFonts w:ascii="Arial" w:hAnsi="Arial" w:cs="Arial"/>
                <w:sz w:val="16"/>
                <w:szCs w:val="16"/>
              </w:rPr>
            </w:pPr>
            <w:r w:rsidRPr="00FE17FC">
              <w:rPr>
                <w:rFonts w:ascii="Arial" w:hAnsi="Arial" w:cs="Arial"/>
                <w:sz w:val="16"/>
                <w:szCs w:val="16"/>
              </w:rPr>
              <w:t>Diesel</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12,280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12,046</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234</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170"/>
              <w:jc w:val="left"/>
              <w:rPr>
                <w:rFonts w:ascii="Arial" w:hAnsi="Arial" w:cs="Arial"/>
                <w:sz w:val="16"/>
                <w:szCs w:val="16"/>
              </w:rPr>
            </w:pPr>
            <w:r w:rsidRPr="00FE17FC">
              <w:rPr>
                <w:rFonts w:ascii="Arial" w:hAnsi="Arial" w:cs="Arial"/>
                <w:sz w:val="16"/>
                <w:szCs w:val="16"/>
              </w:rPr>
              <w:t>Other fuel products</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2,200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1,923</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277</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170"/>
              <w:jc w:val="left"/>
              <w:rPr>
                <w:rFonts w:ascii="Arial" w:hAnsi="Arial" w:cs="Arial"/>
                <w:sz w:val="16"/>
                <w:szCs w:val="16"/>
              </w:rPr>
            </w:pPr>
            <w:r w:rsidRPr="00FE17FC">
              <w:rPr>
                <w:rFonts w:ascii="Arial" w:hAnsi="Arial" w:cs="Arial"/>
                <w:sz w:val="16"/>
                <w:szCs w:val="16"/>
              </w:rPr>
              <w:t>Tobacco</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17,210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16,270</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940</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170"/>
              <w:jc w:val="left"/>
              <w:rPr>
                <w:rFonts w:ascii="Arial" w:hAnsi="Arial" w:cs="Arial"/>
                <w:sz w:val="16"/>
                <w:szCs w:val="16"/>
              </w:rPr>
            </w:pPr>
            <w:r w:rsidRPr="00FE17FC">
              <w:rPr>
                <w:rFonts w:ascii="Arial" w:hAnsi="Arial" w:cs="Arial"/>
                <w:sz w:val="16"/>
                <w:szCs w:val="16"/>
              </w:rPr>
              <w:t>Beer</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2,520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2,455</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65</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170"/>
              <w:jc w:val="left"/>
              <w:rPr>
                <w:rFonts w:ascii="Arial" w:hAnsi="Arial" w:cs="Arial"/>
                <w:sz w:val="16"/>
                <w:szCs w:val="16"/>
              </w:rPr>
            </w:pPr>
            <w:r w:rsidRPr="00FE17FC">
              <w:rPr>
                <w:rFonts w:ascii="Arial" w:hAnsi="Arial" w:cs="Arial"/>
                <w:sz w:val="16"/>
                <w:szCs w:val="16"/>
              </w:rPr>
              <w:t>Spirits</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2,510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2,648</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138</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170"/>
              <w:jc w:val="left"/>
              <w:rPr>
                <w:rFonts w:ascii="Arial" w:hAnsi="Arial" w:cs="Arial"/>
                <w:sz w:val="16"/>
                <w:szCs w:val="16"/>
              </w:rPr>
            </w:pPr>
            <w:r w:rsidRPr="00FE17FC">
              <w:rPr>
                <w:rFonts w:ascii="Arial" w:hAnsi="Arial" w:cs="Arial"/>
                <w:sz w:val="16"/>
                <w:szCs w:val="16"/>
              </w:rPr>
              <w:t>Other alcoholic beverages(b)</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1,040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1,059</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19</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170"/>
              <w:jc w:val="left"/>
              <w:rPr>
                <w:rFonts w:ascii="Arial" w:hAnsi="Arial" w:cs="Arial"/>
                <w:sz w:val="16"/>
                <w:szCs w:val="16"/>
              </w:rPr>
            </w:pPr>
            <w:r w:rsidRPr="00FE17FC">
              <w:rPr>
                <w:rFonts w:ascii="Arial" w:hAnsi="Arial" w:cs="Arial"/>
                <w:sz w:val="16"/>
                <w:szCs w:val="16"/>
              </w:rPr>
              <w:t>Other customs duty</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firstLine="160"/>
              <w:jc w:val="left"/>
              <w:rPr>
                <w:rFonts w:ascii="Arial" w:hAnsi="Arial" w:cs="Arial"/>
                <w:sz w:val="16"/>
                <w:szCs w:val="16"/>
              </w:rPr>
            </w:pP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340"/>
              <w:jc w:val="left"/>
              <w:rPr>
                <w:rFonts w:ascii="Arial" w:hAnsi="Arial" w:cs="Arial"/>
                <w:sz w:val="16"/>
                <w:szCs w:val="16"/>
              </w:rPr>
            </w:pPr>
            <w:r w:rsidRPr="00FE17FC">
              <w:rPr>
                <w:rFonts w:ascii="Arial" w:hAnsi="Arial" w:cs="Arial"/>
                <w:sz w:val="16"/>
                <w:szCs w:val="16"/>
              </w:rPr>
              <w:t>Textiles, clothing and footwear</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200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169</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31</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340"/>
              <w:jc w:val="left"/>
              <w:rPr>
                <w:rFonts w:ascii="Arial" w:hAnsi="Arial" w:cs="Arial"/>
                <w:sz w:val="16"/>
                <w:szCs w:val="16"/>
              </w:rPr>
            </w:pPr>
            <w:r w:rsidRPr="00FE17FC">
              <w:rPr>
                <w:rFonts w:ascii="Arial" w:hAnsi="Arial" w:cs="Arial"/>
                <w:sz w:val="16"/>
                <w:szCs w:val="16"/>
              </w:rPr>
              <w:t>Passenger motor vehicles</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400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369</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31</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340"/>
              <w:jc w:val="left"/>
              <w:rPr>
                <w:rFonts w:ascii="Arial" w:hAnsi="Arial" w:cs="Arial"/>
                <w:sz w:val="16"/>
                <w:szCs w:val="16"/>
              </w:rPr>
            </w:pPr>
            <w:r w:rsidRPr="00FE17FC">
              <w:rPr>
                <w:rFonts w:ascii="Arial" w:hAnsi="Arial" w:cs="Arial"/>
                <w:sz w:val="16"/>
                <w:szCs w:val="16"/>
              </w:rPr>
              <w:t>Other imports</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1,260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1,142</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118</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ind w:left="170"/>
              <w:jc w:val="left"/>
              <w:rPr>
                <w:rFonts w:ascii="Arial" w:hAnsi="Arial" w:cs="Arial"/>
                <w:i/>
                <w:iCs/>
                <w:sz w:val="16"/>
                <w:szCs w:val="16"/>
              </w:rPr>
            </w:pPr>
            <w:r w:rsidRPr="00FE17FC">
              <w:rPr>
                <w:rFonts w:ascii="Arial" w:hAnsi="Arial" w:cs="Arial"/>
                <w:i/>
                <w:iCs/>
                <w:sz w:val="16"/>
                <w:szCs w:val="16"/>
              </w:rPr>
              <w:t xml:space="preserve">less: </w:t>
            </w:r>
            <w:r w:rsidRPr="00FE17FC">
              <w:rPr>
                <w:rFonts w:ascii="Arial" w:hAnsi="Arial" w:cs="Arial"/>
                <w:sz w:val="16"/>
                <w:szCs w:val="16"/>
              </w:rPr>
              <w:t>Refunds and drawbacks</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500</w:t>
            </w:r>
          </w:p>
        </w:tc>
        <w:tc>
          <w:tcPr>
            <w:tcW w:w="839" w:type="pct"/>
            <w:tcBorders>
              <w:top w:val="nil"/>
              <w:left w:val="nil"/>
              <w:bottom w:val="single" w:sz="4" w:space="0" w:color="000000"/>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669</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169</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Total excise and customs duty</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45,320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43,147</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2,173</w:t>
            </w:r>
          </w:p>
        </w:tc>
      </w:tr>
      <w:tr w:rsidR="00FB1CD2" w:rsidRPr="00FE17FC" w:rsidTr="00E31C06">
        <w:trPr>
          <w:trHeight w:hRule="exact" w:val="60"/>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Times New Roman" w:hAnsi="Times New Roman"/>
              </w:rPr>
            </w:pP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Major bank levy</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1,600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1,612</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12</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Agricultural levies</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520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469</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52</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Other taxes</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6,633</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6,885</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251</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b/>
                <w:bCs/>
                <w:sz w:val="16"/>
                <w:szCs w:val="16"/>
              </w:rPr>
            </w:pPr>
            <w:r w:rsidRPr="00FE17FC">
              <w:rPr>
                <w:rFonts w:ascii="Arial" w:hAnsi="Arial" w:cs="Arial"/>
                <w:b/>
                <w:bCs/>
                <w:sz w:val="16"/>
                <w:szCs w:val="16"/>
              </w:rPr>
              <w:t>Indirect taxation receipts</w:t>
            </w:r>
          </w:p>
        </w:tc>
        <w:tc>
          <w:tcPr>
            <w:tcW w:w="839" w:type="pct"/>
            <w:tcBorders>
              <w:top w:val="single" w:sz="4" w:space="0" w:color="000000"/>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b/>
                <w:bCs/>
                <w:sz w:val="16"/>
                <w:szCs w:val="16"/>
              </w:rPr>
            </w:pPr>
            <w:r w:rsidRPr="00FE17FC">
              <w:rPr>
                <w:rFonts w:ascii="Arial" w:hAnsi="Arial" w:cs="Arial"/>
                <w:b/>
                <w:bCs/>
                <w:sz w:val="16"/>
                <w:szCs w:val="16"/>
              </w:rPr>
              <w:t>121,391</w:t>
            </w:r>
          </w:p>
        </w:tc>
        <w:tc>
          <w:tcPr>
            <w:tcW w:w="839" w:type="pct"/>
            <w:tcBorders>
              <w:top w:val="single" w:sz="4" w:space="0" w:color="auto"/>
              <w:left w:val="nil"/>
              <w:bottom w:val="single" w:sz="4" w:space="0" w:color="000000"/>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b/>
                <w:bCs/>
                <w:sz w:val="16"/>
                <w:szCs w:val="16"/>
              </w:rPr>
            </w:pPr>
            <w:r w:rsidRPr="00FE17FC">
              <w:rPr>
                <w:rFonts w:ascii="Arial" w:hAnsi="Arial" w:cs="Arial"/>
                <w:b/>
                <w:bCs/>
                <w:sz w:val="16"/>
                <w:szCs w:val="16"/>
              </w:rPr>
              <w:t>113,905</w:t>
            </w:r>
          </w:p>
        </w:tc>
        <w:tc>
          <w:tcPr>
            <w:tcW w:w="839" w:type="pct"/>
            <w:tcBorders>
              <w:top w:val="single" w:sz="4" w:space="0" w:color="000000"/>
              <w:left w:val="nil"/>
              <w:bottom w:val="single" w:sz="4" w:space="0" w:color="000000"/>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FB1CD2" w:rsidRPr="00FE17FC">
              <w:rPr>
                <w:rFonts w:ascii="Arial" w:hAnsi="Arial" w:cs="Arial"/>
                <w:b/>
                <w:bCs/>
                <w:sz w:val="16"/>
                <w:szCs w:val="16"/>
              </w:rPr>
              <w:t>7,487</w:t>
            </w:r>
          </w:p>
        </w:tc>
      </w:tr>
      <w:tr w:rsidR="00FB1CD2" w:rsidRPr="00FE17FC" w:rsidTr="00E31C06">
        <w:trPr>
          <w:trHeight w:hRule="exact" w:val="60"/>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b/>
                <w:bCs/>
                <w:sz w:val="16"/>
                <w:szCs w:val="16"/>
              </w:rPr>
            </w:pP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Times New Roman" w:hAnsi="Times New Roman"/>
              </w:rPr>
            </w:pP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b/>
                <w:bCs/>
                <w:sz w:val="16"/>
                <w:szCs w:val="16"/>
              </w:rPr>
            </w:pPr>
            <w:r w:rsidRPr="00FE17FC">
              <w:rPr>
                <w:rFonts w:ascii="Arial" w:hAnsi="Arial" w:cs="Arial"/>
                <w:b/>
                <w:bCs/>
                <w:sz w:val="16"/>
                <w:szCs w:val="16"/>
              </w:rPr>
              <w:t>Taxation receipts</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b/>
                <w:bCs/>
                <w:sz w:val="16"/>
                <w:szCs w:val="16"/>
              </w:rPr>
            </w:pPr>
            <w:r w:rsidRPr="00FE17FC">
              <w:rPr>
                <w:rFonts w:ascii="Arial" w:hAnsi="Arial" w:cs="Arial"/>
                <w:b/>
                <w:bCs/>
                <w:sz w:val="16"/>
                <w:szCs w:val="16"/>
              </w:rPr>
              <w:t>463,791</w:t>
            </w:r>
          </w:p>
        </w:tc>
        <w:tc>
          <w:tcPr>
            <w:tcW w:w="839" w:type="pct"/>
            <w:tcBorders>
              <w:top w:val="nil"/>
              <w:left w:val="nil"/>
              <w:bottom w:val="single" w:sz="4" w:space="0" w:color="000000"/>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b/>
                <w:bCs/>
                <w:sz w:val="16"/>
                <w:szCs w:val="16"/>
              </w:rPr>
            </w:pPr>
            <w:r w:rsidRPr="00FE17FC">
              <w:rPr>
                <w:rFonts w:ascii="Arial" w:hAnsi="Arial" w:cs="Arial"/>
                <w:b/>
                <w:bCs/>
                <w:sz w:val="16"/>
                <w:szCs w:val="16"/>
              </w:rPr>
              <w:t>431,775</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FB1CD2" w:rsidRPr="00FE17FC">
              <w:rPr>
                <w:rFonts w:ascii="Arial" w:hAnsi="Arial" w:cs="Arial"/>
                <w:b/>
                <w:bCs/>
                <w:sz w:val="16"/>
                <w:szCs w:val="16"/>
              </w:rPr>
              <w:t>32,016</w:t>
            </w:r>
          </w:p>
        </w:tc>
      </w:tr>
      <w:tr w:rsidR="00FB1CD2" w:rsidRPr="00FE17FC" w:rsidTr="00E31C06">
        <w:trPr>
          <w:trHeight w:hRule="exact" w:val="60"/>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b/>
                <w:bCs/>
                <w:sz w:val="16"/>
                <w:szCs w:val="16"/>
              </w:rPr>
            </w:pP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Times New Roman" w:hAnsi="Times New Roman"/>
              </w:rPr>
            </w:pP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b/>
                <w:bCs/>
                <w:sz w:val="16"/>
                <w:szCs w:val="16"/>
              </w:rPr>
            </w:pP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Sales of goods and services</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15,142</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15,490</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347</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Interest received</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5,134</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3,244</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FB1CD2" w:rsidRPr="00FE17FC">
              <w:rPr>
                <w:rFonts w:ascii="Arial" w:hAnsi="Arial" w:cs="Arial"/>
                <w:sz w:val="16"/>
                <w:szCs w:val="16"/>
              </w:rPr>
              <w:t>1,890</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Dividends</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6,792</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7,007</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215</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sz w:val="16"/>
                <w:szCs w:val="16"/>
              </w:rPr>
            </w:pPr>
            <w:r w:rsidRPr="00FE17FC">
              <w:rPr>
                <w:rFonts w:ascii="Arial" w:hAnsi="Arial" w:cs="Arial"/>
                <w:sz w:val="16"/>
                <w:szCs w:val="16"/>
              </w:rPr>
              <w:t>Other non</w:t>
            </w:r>
            <w:r w:rsidR="00A7636B" w:rsidRPr="00FE17FC">
              <w:rPr>
                <w:rFonts w:ascii="Arial" w:hAnsi="Arial" w:cs="Arial"/>
                <w:sz w:val="16"/>
                <w:szCs w:val="16"/>
              </w:rPr>
              <w:noBreakHyphen/>
            </w:r>
            <w:r w:rsidRPr="00FE17FC">
              <w:rPr>
                <w:rFonts w:ascii="Arial" w:hAnsi="Arial" w:cs="Arial"/>
                <w:sz w:val="16"/>
                <w:szCs w:val="16"/>
              </w:rPr>
              <w:t>taxation receipts</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11,612</w:t>
            </w:r>
          </w:p>
        </w:tc>
        <w:tc>
          <w:tcPr>
            <w:tcW w:w="839" w:type="pct"/>
            <w:tcBorders>
              <w:top w:val="nil"/>
              <w:left w:val="nil"/>
              <w:bottom w:val="single" w:sz="4" w:space="0" w:color="000000"/>
              <w:right w:val="nil"/>
            </w:tcBorders>
            <w:shd w:val="clear" w:color="000000" w:fill="E7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11,883</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271</w:t>
            </w:r>
          </w:p>
        </w:tc>
      </w:tr>
      <w:tr w:rsidR="00FB1CD2" w:rsidRPr="00FE17FC" w:rsidTr="00E31C06">
        <w:trPr>
          <w:trHeight w:hRule="exact" w:val="227"/>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b/>
                <w:bCs/>
                <w:sz w:val="16"/>
                <w:szCs w:val="16"/>
              </w:rPr>
            </w:pPr>
            <w:r w:rsidRPr="00FE17FC">
              <w:rPr>
                <w:rFonts w:ascii="Arial" w:hAnsi="Arial" w:cs="Arial"/>
                <w:b/>
                <w:bCs/>
                <w:sz w:val="16"/>
                <w:szCs w:val="16"/>
              </w:rPr>
              <w:t>Non</w:t>
            </w:r>
            <w:r w:rsidR="00A7636B" w:rsidRPr="00FE17FC">
              <w:rPr>
                <w:rFonts w:ascii="Arial" w:hAnsi="Arial" w:cs="Arial"/>
                <w:b/>
                <w:bCs/>
                <w:sz w:val="16"/>
                <w:szCs w:val="16"/>
              </w:rPr>
              <w:noBreakHyphen/>
            </w:r>
            <w:r w:rsidRPr="00FE17FC">
              <w:rPr>
                <w:rFonts w:ascii="Arial" w:hAnsi="Arial" w:cs="Arial"/>
                <w:b/>
                <w:bCs/>
                <w:sz w:val="16"/>
                <w:szCs w:val="16"/>
              </w:rPr>
              <w:t>taxation receipts</w:t>
            </w:r>
          </w:p>
        </w:tc>
        <w:tc>
          <w:tcPr>
            <w:tcW w:w="839" w:type="pct"/>
            <w:tcBorders>
              <w:top w:val="single" w:sz="4" w:space="0" w:color="000000"/>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b/>
                <w:bCs/>
                <w:sz w:val="16"/>
                <w:szCs w:val="16"/>
              </w:rPr>
            </w:pPr>
            <w:r w:rsidRPr="00FE17FC">
              <w:rPr>
                <w:rFonts w:ascii="Arial" w:hAnsi="Arial" w:cs="Arial"/>
                <w:b/>
                <w:bCs/>
                <w:sz w:val="16"/>
                <w:szCs w:val="16"/>
              </w:rPr>
              <w:t>38,680</w:t>
            </w:r>
          </w:p>
        </w:tc>
        <w:tc>
          <w:tcPr>
            <w:tcW w:w="839" w:type="pct"/>
            <w:tcBorders>
              <w:top w:val="nil"/>
              <w:left w:val="nil"/>
              <w:bottom w:val="single" w:sz="4" w:space="0" w:color="000000"/>
              <w:right w:val="nil"/>
            </w:tcBorders>
            <w:shd w:val="clear" w:color="000000" w:fill="E7E6E6"/>
            <w:noWrap/>
            <w:vAlign w:val="center"/>
            <w:hideMark/>
          </w:tcPr>
          <w:p w:rsidR="00FB1CD2" w:rsidRPr="00FE17FC" w:rsidRDefault="00FB1CD2" w:rsidP="000F3274">
            <w:pPr>
              <w:spacing w:after="0" w:line="240" w:lineRule="auto"/>
              <w:jc w:val="right"/>
              <w:rPr>
                <w:rFonts w:ascii="Arial" w:hAnsi="Arial" w:cs="Arial"/>
                <w:b/>
                <w:bCs/>
                <w:sz w:val="16"/>
                <w:szCs w:val="16"/>
              </w:rPr>
            </w:pPr>
            <w:r w:rsidRPr="00FE17FC">
              <w:rPr>
                <w:rFonts w:ascii="Arial" w:hAnsi="Arial" w:cs="Arial"/>
                <w:b/>
                <w:bCs/>
                <w:sz w:val="16"/>
                <w:szCs w:val="16"/>
              </w:rPr>
              <w:t>37,623</w:t>
            </w:r>
          </w:p>
        </w:tc>
        <w:tc>
          <w:tcPr>
            <w:tcW w:w="839" w:type="pct"/>
            <w:tcBorders>
              <w:top w:val="single" w:sz="4" w:space="0" w:color="000000"/>
              <w:left w:val="nil"/>
              <w:bottom w:val="single" w:sz="4" w:space="0" w:color="000000"/>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FB1CD2" w:rsidRPr="00FE17FC">
              <w:rPr>
                <w:rFonts w:ascii="Arial" w:hAnsi="Arial" w:cs="Arial"/>
                <w:b/>
                <w:bCs/>
                <w:sz w:val="16"/>
                <w:szCs w:val="16"/>
              </w:rPr>
              <w:t>1,057</w:t>
            </w:r>
          </w:p>
        </w:tc>
      </w:tr>
      <w:tr w:rsidR="00FB1CD2" w:rsidRPr="00FE17FC" w:rsidTr="00E31C06">
        <w:trPr>
          <w:trHeight w:hRule="exact" w:val="60"/>
        </w:trPr>
        <w:tc>
          <w:tcPr>
            <w:tcW w:w="2484"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b/>
                <w:bCs/>
                <w:sz w:val="16"/>
                <w:szCs w:val="16"/>
              </w:rPr>
            </w:pP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Times New Roman" w:hAnsi="Times New Roman"/>
              </w:rPr>
            </w:pPr>
          </w:p>
        </w:tc>
        <w:tc>
          <w:tcPr>
            <w:tcW w:w="839" w:type="pct"/>
            <w:tcBorders>
              <w:top w:val="nil"/>
              <w:left w:val="nil"/>
              <w:bottom w:val="nil"/>
              <w:right w:val="nil"/>
            </w:tcBorders>
            <w:shd w:val="clear" w:color="000000" w:fill="E7E6E6"/>
            <w:noWrap/>
            <w:vAlign w:val="center"/>
            <w:hideMark/>
          </w:tcPr>
          <w:p w:rsidR="00FB1CD2" w:rsidRPr="00FE17FC" w:rsidRDefault="00FB1CD2"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sz w:val="16"/>
                <w:szCs w:val="16"/>
              </w:rPr>
            </w:pPr>
          </w:p>
        </w:tc>
      </w:tr>
      <w:tr w:rsidR="00FB1CD2" w:rsidRPr="00FE17FC" w:rsidTr="00E31C06">
        <w:trPr>
          <w:trHeight w:hRule="exact" w:val="227"/>
        </w:trPr>
        <w:tc>
          <w:tcPr>
            <w:tcW w:w="2484" w:type="pct"/>
            <w:tcBorders>
              <w:top w:val="nil"/>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b/>
                <w:bCs/>
                <w:sz w:val="16"/>
                <w:szCs w:val="16"/>
              </w:rPr>
            </w:pPr>
            <w:r w:rsidRPr="00FE17FC">
              <w:rPr>
                <w:rFonts w:ascii="Arial" w:hAnsi="Arial" w:cs="Arial"/>
                <w:b/>
                <w:bCs/>
                <w:sz w:val="16"/>
                <w:szCs w:val="16"/>
              </w:rPr>
              <w:t>Total receipts</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b/>
                <w:bCs/>
                <w:sz w:val="16"/>
                <w:szCs w:val="16"/>
              </w:rPr>
            </w:pPr>
            <w:r w:rsidRPr="00FE17FC">
              <w:rPr>
                <w:rFonts w:ascii="Arial" w:hAnsi="Arial" w:cs="Arial"/>
                <w:b/>
                <w:bCs/>
                <w:sz w:val="16"/>
                <w:szCs w:val="16"/>
              </w:rPr>
              <w:t>502,472</w:t>
            </w:r>
          </w:p>
        </w:tc>
        <w:tc>
          <w:tcPr>
            <w:tcW w:w="839" w:type="pct"/>
            <w:tcBorders>
              <w:top w:val="nil"/>
              <w:left w:val="nil"/>
              <w:bottom w:val="single" w:sz="4" w:space="0" w:color="000000"/>
              <w:right w:val="nil"/>
            </w:tcBorders>
            <w:shd w:val="clear" w:color="000000" w:fill="E7E6E6"/>
            <w:noWrap/>
            <w:vAlign w:val="center"/>
            <w:hideMark/>
          </w:tcPr>
          <w:p w:rsidR="00FB1CD2" w:rsidRPr="00FE17FC" w:rsidRDefault="00FB1CD2" w:rsidP="000F3274">
            <w:pPr>
              <w:spacing w:after="0" w:line="240" w:lineRule="auto"/>
              <w:jc w:val="right"/>
              <w:rPr>
                <w:rFonts w:ascii="Arial" w:hAnsi="Arial" w:cs="Arial"/>
                <w:b/>
                <w:bCs/>
                <w:sz w:val="16"/>
                <w:szCs w:val="16"/>
              </w:rPr>
            </w:pPr>
            <w:r w:rsidRPr="00FE17FC">
              <w:rPr>
                <w:rFonts w:ascii="Arial" w:hAnsi="Arial" w:cs="Arial"/>
                <w:b/>
                <w:bCs/>
                <w:sz w:val="16"/>
                <w:szCs w:val="16"/>
              </w:rPr>
              <w:t>469,398</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FB1CD2" w:rsidRPr="00FE17FC">
              <w:rPr>
                <w:rFonts w:ascii="Arial" w:hAnsi="Arial" w:cs="Arial"/>
                <w:b/>
                <w:bCs/>
                <w:sz w:val="16"/>
                <w:szCs w:val="16"/>
              </w:rPr>
              <w:t>33,073</w:t>
            </w:r>
          </w:p>
        </w:tc>
      </w:tr>
      <w:tr w:rsidR="00FB1CD2" w:rsidRPr="00FE17FC" w:rsidTr="00E31C06">
        <w:trPr>
          <w:trHeight w:hRule="exact" w:val="227"/>
        </w:trPr>
        <w:tc>
          <w:tcPr>
            <w:tcW w:w="2484" w:type="pct"/>
            <w:tcBorders>
              <w:top w:val="nil"/>
              <w:left w:val="nil"/>
              <w:bottom w:val="nil"/>
              <w:right w:val="nil"/>
            </w:tcBorders>
            <w:shd w:val="clear" w:color="auto" w:fill="auto"/>
            <w:noWrap/>
            <w:vAlign w:val="bottom"/>
            <w:hideMark/>
          </w:tcPr>
          <w:p w:rsidR="00FB1CD2" w:rsidRPr="00FE17FC" w:rsidRDefault="00FB1CD2" w:rsidP="000F3274">
            <w:pPr>
              <w:spacing w:after="0" w:line="240" w:lineRule="auto"/>
              <w:jc w:val="left"/>
              <w:rPr>
                <w:rFonts w:ascii="Arial" w:hAnsi="Arial" w:cs="Arial"/>
                <w:i/>
                <w:iCs/>
                <w:sz w:val="16"/>
                <w:szCs w:val="16"/>
              </w:rPr>
            </w:pPr>
            <w:r w:rsidRPr="00FE17FC">
              <w:rPr>
                <w:rFonts w:ascii="Arial" w:hAnsi="Arial" w:cs="Arial"/>
                <w:i/>
                <w:iCs/>
                <w:sz w:val="16"/>
                <w:szCs w:val="16"/>
              </w:rPr>
              <w:t>Memorandum:</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left"/>
              <w:rPr>
                <w:rFonts w:ascii="Arial" w:hAnsi="Arial" w:cs="Arial"/>
                <w:i/>
                <w:iCs/>
                <w:sz w:val="16"/>
                <w:szCs w:val="16"/>
              </w:rPr>
            </w:pP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b/>
                <w:bCs/>
                <w:sz w:val="16"/>
                <w:szCs w:val="16"/>
              </w:rPr>
            </w:pPr>
          </w:p>
        </w:tc>
      </w:tr>
      <w:tr w:rsidR="00FB1CD2" w:rsidRPr="00FE17FC" w:rsidTr="00E31C06">
        <w:trPr>
          <w:trHeight w:hRule="exact" w:val="227"/>
        </w:trPr>
        <w:tc>
          <w:tcPr>
            <w:tcW w:w="2484" w:type="pct"/>
            <w:tcBorders>
              <w:top w:val="nil"/>
              <w:left w:val="nil"/>
              <w:bottom w:val="nil"/>
              <w:right w:val="nil"/>
            </w:tcBorders>
            <w:shd w:val="clear" w:color="auto" w:fill="auto"/>
            <w:noWrap/>
            <w:vAlign w:val="bottom"/>
            <w:hideMark/>
          </w:tcPr>
          <w:p w:rsidR="00FB1CD2" w:rsidRPr="00FE17FC" w:rsidRDefault="00FB1CD2" w:rsidP="000F3274">
            <w:pPr>
              <w:spacing w:after="0" w:line="240" w:lineRule="auto"/>
              <w:ind w:left="170"/>
              <w:jc w:val="left"/>
              <w:rPr>
                <w:rFonts w:ascii="Arial" w:hAnsi="Arial" w:cs="Arial"/>
                <w:i/>
                <w:iCs/>
                <w:sz w:val="16"/>
                <w:szCs w:val="16"/>
              </w:rPr>
            </w:pPr>
            <w:r w:rsidRPr="00FE17FC">
              <w:rPr>
                <w:rFonts w:ascii="Arial" w:hAnsi="Arial" w:cs="Arial"/>
                <w:i/>
                <w:iCs/>
                <w:sz w:val="16"/>
                <w:szCs w:val="16"/>
              </w:rPr>
              <w:t>Total excise</w:t>
            </w:r>
          </w:p>
        </w:tc>
        <w:tc>
          <w:tcPr>
            <w:tcW w:w="839" w:type="pct"/>
            <w:tcBorders>
              <w:top w:val="nil"/>
              <w:left w:val="nil"/>
              <w:bottom w:val="nil"/>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i/>
                <w:iCs/>
                <w:sz w:val="16"/>
                <w:szCs w:val="16"/>
              </w:rPr>
            </w:pPr>
            <w:r w:rsidRPr="00FE17FC">
              <w:rPr>
                <w:rFonts w:ascii="Arial" w:hAnsi="Arial" w:cs="Arial"/>
                <w:i/>
                <w:iCs/>
                <w:sz w:val="16"/>
                <w:szCs w:val="16"/>
              </w:rPr>
              <w:t>24,290</w:t>
            </w:r>
          </w:p>
        </w:tc>
        <w:tc>
          <w:tcPr>
            <w:tcW w:w="839" w:type="pct"/>
            <w:tcBorders>
              <w:top w:val="nil"/>
              <w:left w:val="nil"/>
              <w:bottom w:val="nil"/>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i/>
                <w:iCs/>
                <w:sz w:val="16"/>
                <w:szCs w:val="16"/>
              </w:rPr>
            </w:pPr>
            <w:r w:rsidRPr="00FE17FC">
              <w:rPr>
                <w:rFonts w:ascii="Arial" w:hAnsi="Arial" w:cs="Arial"/>
                <w:i/>
                <w:iCs/>
                <w:sz w:val="16"/>
                <w:szCs w:val="16"/>
              </w:rPr>
              <w:t>23,352</w:t>
            </w:r>
          </w:p>
        </w:tc>
        <w:tc>
          <w:tcPr>
            <w:tcW w:w="839" w:type="pct"/>
            <w:tcBorders>
              <w:top w:val="nil"/>
              <w:left w:val="nil"/>
              <w:bottom w:val="nil"/>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i/>
                <w:iCs/>
                <w:sz w:val="16"/>
                <w:szCs w:val="16"/>
              </w:rPr>
            </w:pPr>
            <w:r w:rsidRPr="00FE17FC">
              <w:rPr>
                <w:rFonts w:ascii="Arial" w:hAnsi="Arial" w:cs="Arial"/>
                <w:i/>
                <w:iCs/>
                <w:sz w:val="16"/>
                <w:szCs w:val="16"/>
              </w:rPr>
              <w:noBreakHyphen/>
            </w:r>
            <w:r w:rsidR="00FB1CD2" w:rsidRPr="00FE17FC">
              <w:rPr>
                <w:rFonts w:ascii="Arial" w:hAnsi="Arial" w:cs="Arial"/>
                <w:i/>
                <w:iCs/>
                <w:sz w:val="16"/>
                <w:szCs w:val="16"/>
              </w:rPr>
              <w:t>938</w:t>
            </w:r>
          </w:p>
        </w:tc>
      </w:tr>
      <w:tr w:rsidR="00FB1CD2" w:rsidRPr="00FE17FC" w:rsidTr="00E31C06">
        <w:trPr>
          <w:trHeight w:hRule="exact" w:val="227"/>
        </w:trPr>
        <w:tc>
          <w:tcPr>
            <w:tcW w:w="2484" w:type="pct"/>
            <w:tcBorders>
              <w:top w:val="nil"/>
              <w:left w:val="nil"/>
              <w:bottom w:val="single" w:sz="4" w:space="0" w:color="000000"/>
              <w:right w:val="nil"/>
            </w:tcBorders>
            <w:shd w:val="clear" w:color="auto" w:fill="auto"/>
            <w:noWrap/>
            <w:vAlign w:val="bottom"/>
            <w:hideMark/>
          </w:tcPr>
          <w:p w:rsidR="00FB1CD2" w:rsidRPr="00FE17FC" w:rsidRDefault="00FB1CD2" w:rsidP="000F3274">
            <w:pPr>
              <w:spacing w:after="0" w:line="240" w:lineRule="auto"/>
              <w:ind w:left="170"/>
              <w:jc w:val="left"/>
              <w:rPr>
                <w:rFonts w:ascii="Arial" w:hAnsi="Arial" w:cs="Arial"/>
                <w:i/>
                <w:iCs/>
                <w:sz w:val="16"/>
                <w:szCs w:val="16"/>
              </w:rPr>
            </w:pPr>
            <w:r w:rsidRPr="00FE17FC">
              <w:rPr>
                <w:rFonts w:ascii="Arial" w:hAnsi="Arial" w:cs="Arial"/>
                <w:i/>
                <w:iCs/>
                <w:sz w:val="16"/>
                <w:szCs w:val="16"/>
              </w:rPr>
              <w:t>Total customs duty</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FB1CD2" w:rsidP="000F3274">
            <w:pPr>
              <w:spacing w:after="0" w:line="240" w:lineRule="auto"/>
              <w:jc w:val="right"/>
              <w:rPr>
                <w:rFonts w:ascii="Arial" w:hAnsi="Arial" w:cs="Arial"/>
                <w:i/>
                <w:iCs/>
                <w:sz w:val="16"/>
                <w:szCs w:val="16"/>
              </w:rPr>
            </w:pPr>
            <w:r w:rsidRPr="00FE17FC">
              <w:rPr>
                <w:rFonts w:ascii="Arial" w:hAnsi="Arial" w:cs="Arial"/>
                <w:i/>
                <w:iCs/>
                <w:sz w:val="16"/>
                <w:szCs w:val="16"/>
              </w:rPr>
              <w:t>21,030</w:t>
            </w:r>
          </w:p>
        </w:tc>
        <w:tc>
          <w:tcPr>
            <w:tcW w:w="839" w:type="pct"/>
            <w:tcBorders>
              <w:top w:val="nil"/>
              <w:left w:val="nil"/>
              <w:bottom w:val="single" w:sz="4" w:space="0" w:color="000000"/>
              <w:right w:val="nil"/>
            </w:tcBorders>
            <w:shd w:val="clear" w:color="000000" w:fill="E6E6E6"/>
            <w:noWrap/>
            <w:vAlign w:val="center"/>
            <w:hideMark/>
          </w:tcPr>
          <w:p w:rsidR="00FB1CD2" w:rsidRPr="00FE17FC" w:rsidRDefault="00FB1CD2" w:rsidP="000F3274">
            <w:pPr>
              <w:spacing w:after="0" w:line="240" w:lineRule="auto"/>
              <w:jc w:val="right"/>
              <w:rPr>
                <w:rFonts w:ascii="Arial" w:hAnsi="Arial" w:cs="Arial"/>
                <w:i/>
                <w:iCs/>
                <w:sz w:val="16"/>
                <w:szCs w:val="16"/>
              </w:rPr>
            </w:pPr>
            <w:r w:rsidRPr="00FE17FC">
              <w:rPr>
                <w:rFonts w:ascii="Arial" w:hAnsi="Arial" w:cs="Arial"/>
                <w:i/>
                <w:iCs/>
                <w:sz w:val="16"/>
                <w:szCs w:val="16"/>
              </w:rPr>
              <w:t>19,795</w:t>
            </w:r>
          </w:p>
        </w:tc>
        <w:tc>
          <w:tcPr>
            <w:tcW w:w="839" w:type="pct"/>
            <w:tcBorders>
              <w:top w:val="nil"/>
              <w:left w:val="nil"/>
              <w:bottom w:val="single" w:sz="4" w:space="0" w:color="000000"/>
              <w:right w:val="nil"/>
            </w:tcBorders>
            <w:shd w:val="clear" w:color="auto" w:fill="auto"/>
            <w:noWrap/>
            <w:vAlign w:val="center"/>
            <w:hideMark/>
          </w:tcPr>
          <w:p w:rsidR="00FB1CD2" w:rsidRPr="00FE17FC" w:rsidRDefault="00A7636B" w:rsidP="000F3274">
            <w:pPr>
              <w:spacing w:after="0" w:line="240" w:lineRule="auto"/>
              <w:jc w:val="right"/>
              <w:rPr>
                <w:rFonts w:ascii="Arial" w:hAnsi="Arial" w:cs="Arial"/>
                <w:i/>
                <w:iCs/>
                <w:sz w:val="16"/>
                <w:szCs w:val="16"/>
              </w:rPr>
            </w:pPr>
            <w:r w:rsidRPr="00FE17FC">
              <w:rPr>
                <w:rFonts w:ascii="Arial" w:hAnsi="Arial" w:cs="Arial"/>
                <w:i/>
                <w:iCs/>
                <w:sz w:val="16"/>
                <w:szCs w:val="16"/>
              </w:rPr>
              <w:noBreakHyphen/>
            </w:r>
            <w:r w:rsidR="00FB1CD2" w:rsidRPr="00FE17FC">
              <w:rPr>
                <w:rFonts w:ascii="Arial" w:hAnsi="Arial" w:cs="Arial"/>
                <w:i/>
                <w:iCs/>
                <w:sz w:val="16"/>
                <w:szCs w:val="16"/>
              </w:rPr>
              <w:t>1,235</w:t>
            </w:r>
          </w:p>
        </w:tc>
      </w:tr>
    </w:tbl>
    <w:p w:rsidR="00F303D7" w:rsidRPr="00FE17FC" w:rsidRDefault="00FB1CD2" w:rsidP="00E31C06">
      <w:pPr>
        <w:pStyle w:val="ChartandTableFootnoteAlpha"/>
        <w:numPr>
          <w:ilvl w:val="0"/>
          <w:numId w:val="47"/>
        </w:numPr>
      </w:pPr>
      <w:r w:rsidRPr="00FE17FC">
        <w:rPr>
          <w:color w:val="auto"/>
        </w:rPr>
        <w:fldChar w:fldCharType="end"/>
      </w:r>
      <w:r w:rsidR="00F303D7" w:rsidRPr="00FE17FC">
        <w:t xml:space="preserve">This item includes an amount of MRRT receipts which has not been separately disclosed owing to taxpayer confidentiality. </w:t>
      </w:r>
    </w:p>
    <w:p w:rsidR="00A31CA0" w:rsidRPr="00FE17FC" w:rsidRDefault="00A7636B" w:rsidP="00C1107F">
      <w:pPr>
        <w:pStyle w:val="ChartandTableFootnoteAlpha"/>
      </w:pPr>
      <w:r w:rsidRPr="00FE17FC">
        <w:t>‘</w:t>
      </w:r>
      <w:r w:rsidR="00F303D7" w:rsidRPr="00FE17FC">
        <w:t>Other alcoholic beverages</w:t>
      </w:r>
      <w:r w:rsidRPr="00FE17FC">
        <w:t>’</w:t>
      </w:r>
      <w:r w:rsidR="00F303D7" w:rsidRPr="00FE17FC">
        <w:t xml:space="preserve"> are those not exceeding 10 per cent by volume of alcohol (excluding beer, brandy and wine).</w:t>
      </w:r>
      <w:r w:rsidR="007E4895" w:rsidRPr="00FE17FC">
        <w:t xml:space="preserve"> </w:t>
      </w:r>
    </w:p>
    <w:p w:rsidR="00A31CA0" w:rsidRPr="00FE17FC" w:rsidRDefault="00A31CA0" w:rsidP="00A31CA0">
      <w:pPr>
        <w:pStyle w:val="Heading3"/>
        <w:spacing w:before="0" w:after="160"/>
        <w:rPr>
          <w:b w:val="0"/>
          <w:bCs/>
        </w:rPr>
      </w:pPr>
      <w:r w:rsidRPr="00FE17FC">
        <w:rPr>
          <w:bCs/>
        </w:rPr>
        <w:lastRenderedPageBreak/>
        <w:t>Payments</w:t>
      </w:r>
    </w:p>
    <w:p w:rsidR="008E3F9C" w:rsidRPr="00FE17FC" w:rsidRDefault="008E3F9C">
      <w:r w:rsidRPr="00FE17FC">
        <w:t>Total cash payments in 2019</w:t>
      </w:r>
      <w:r w:rsidR="00A7636B" w:rsidRPr="00FE17FC">
        <w:noBreakHyphen/>
      </w:r>
      <w:r w:rsidRPr="00FE17FC">
        <w:t xml:space="preserve">20 were </w:t>
      </w:r>
      <w:r w:rsidR="00500EDA" w:rsidRPr="00FE17FC">
        <w:t>$549.6</w:t>
      </w:r>
      <w:r w:rsidRPr="00FE17FC">
        <w:t xml:space="preserve"> billion, </w:t>
      </w:r>
      <w:r w:rsidR="00500EDA" w:rsidRPr="00FE17FC">
        <w:t>$0.3</w:t>
      </w:r>
      <w:r w:rsidR="001E3A45" w:rsidRPr="00FE17FC">
        <w:t xml:space="preserve"> billion lower than the preliminary estimate of $550.0 billion included in the July Update</w:t>
      </w:r>
      <w:r w:rsidR="00802658" w:rsidRPr="00FE17FC">
        <w:t xml:space="preserve">, and </w:t>
      </w:r>
      <w:r w:rsidR="00500EDA" w:rsidRPr="00FE17FC">
        <w:t>$57.7</w:t>
      </w:r>
      <w:r w:rsidRPr="00FE17FC">
        <w:t> billion higher than estimated at the time of the 2019</w:t>
      </w:r>
      <w:r w:rsidR="00A7636B" w:rsidRPr="00FE17FC">
        <w:noBreakHyphen/>
      </w:r>
      <w:r w:rsidRPr="00FE17FC">
        <w:t xml:space="preserve">20 MYEFO. </w:t>
      </w:r>
      <w:r w:rsidR="000C5BAD" w:rsidRPr="00FE17FC">
        <w:t>Higher</w:t>
      </w:r>
      <w:r w:rsidR="00A7636B" w:rsidRPr="00FE17FC">
        <w:noBreakHyphen/>
      </w:r>
      <w:r w:rsidR="000C5BAD" w:rsidRPr="00FE17FC">
        <w:t>tha</w:t>
      </w:r>
      <w:r w:rsidR="00C05368" w:rsidRPr="00FE17FC">
        <w:t>n</w:t>
      </w:r>
      <w:r w:rsidR="00A7636B" w:rsidRPr="00FE17FC">
        <w:noBreakHyphen/>
      </w:r>
      <w:r w:rsidR="000C5BAD" w:rsidRPr="00FE17FC">
        <w:t>estimated payments are</w:t>
      </w:r>
      <w:r w:rsidRPr="00FE17FC">
        <w:t xml:space="preserve"> driven by the Government</w:t>
      </w:r>
      <w:r w:rsidR="00A7636B" w:rsidRPr="00FE17FC">
        <w:t>’</w:t>
      </w:r>
      <w:r w:rsidRPr="00FE17FC">
        <w:t>s response to the COVID</w:t>
      </w:r>
      <w:r w:rsidR="00A7636B" w:rsidRPr="00FE17FC">
        <w:noBreakHyphen/>
      </w:r>
      <w:r w:rsidRPr="00FE17FC">
        <w:t>19 pandemic. Key changes since the 2019</w:t>
      </w:r>
      <w:r w:rsidR="00A7636B" w:rsidRPr="00FE17FC">
        <w:noBreakHyphen/>
      </w:r>
      <w:r w:rsidRPr="00FE17FC">
        <w:t>20 MYEFO include:</w:t>
      </w:r>
    </w:p>
    <w:p w:rsidR="008E3F9C" w:rsidRPr="00FE17FC" w:rsidRDefault="008E3F9C" w:rsidP="001E3A45">
      <w:pPr>
        <w:pStyle w:val="Bullet"/>
      </w:pPr>
      <w:r w:rsidRPr="00FE17FC">
        <w:t xml:space="preserve">the introduction of the </w:t>
      </w:r>
      <w:proofErr w:type="spellStart"/>
      <w:r w:rsidRPr="00FE17FC">
        <w:t>JobKeeper</w:t>
      </w:r>
      <w:proofErr w:type="spellEnd"/>
      <w:r w:rsidRPr="00FE17FC">
        <w:t xml:space="preserve"> Payment to help businesses and not</w:t>
      </w:r>
      <w:r w:rsidR="00A7636B" w:rsidRPr="00FE17FC">
        <w:noBreakHyphen/>
      </w:r>
      <w:r w:rsidRPr="00FE17FC">
        <w:t>for</w:t>
      </w:r>
      <w:r w:rsidR="00A7636B" w:rsidRPr="00FE17FC">
        <w:noBreakHyphen/>
      </w:r>
      <w:r w:rsidRPr="00FE17FC">
        <w:t>profits significantly impacted by COVID</w:t>
      </w:r>
      <w:r w:rsidR="00A7636B" w:rsidRPr="00FE17FC">
        <w:noBreakHyphen/>
      </w:r>
      <w:r w:rsidRPr="00FE17FC">
        <w:t>19 cover the cost of their employees</w:t>
      </w:r>
      <w:r w:rsidR="00A7636B" w:rsidRPr="00FE17FC">
        <w:t>’</w:t>
      </w:r>
      <w:r w:rsidRPr="00FE17FC">
        <w:t xml:space="preserve"> wages and the provision of temporary tax</w:t>
      </w:r>
      <w:r w:rsidR="00A7636B" w:rsidRPr="00FE17FC">
        <w:noBreakHyphen/>
      </w:r>
      <w:r w:rsidRPr="00FE17FC">
        <w:t>free cash flow boosts to help entities continue to operate through the economic downturn associated with COVID</w:t>
      </w:r>
      <w:r w:rsidR="00A7636B" w:rsidRPr="00FE17FC">
        <w:noBreakHyphen/>
      </w:r>
      <w:r w:rsidR="00052538" w:rsidRPr="00FE17FC">
        <w:t>19 ($35.0 billion)</w:t>
      </w:r>
    </w:p>
    <w:p w:rsidR="008E3F9C" w:rsidRPr="00FE17FC" w:rsidRDefault="008E3F9C" w:rsidP="001E3A45">
      <w:pPr>
        <w:pStyle w:val="Bullet"/>
      </w:pPr>
      <w:r w:rsidRPr="00FE17FC">
        <w:t>higher</w:t>
      </w:r>
      <w:r w:rsidR="00A7636B" w:rsidRPr="00FE17FC">
        <w:noBreakHyphen/>
      </w:r>
      <w:r w:rsidRPr="00FE17FC">
        <w:t>than</w:t>
      </w:r>
      <w:r w:rsidR="00A7636B" w:rsidRPr="00FE17FC">
        <w:noBreakHyphen/>
      </w:r>
      <w:r w:rsidRPr="00FE17FC">
        <w:t>estimated</w:t>
      </w:r>
      <w:r w:rsidRPr="00FE17FC">
        <w:rPr>
          <w:b/>
          <w:bCs/>
        </w:rPr>
        <w:t xml:space="preserve"> </w:t>
      </w:r>
      <w:r w:rsidRPr="00FE17FC">
        <w:t>payments across social welfare payment programs, largely reflecting the introduction of the time limited Coronavirus Supplement to new and existing income support recipients and payment of the $750 Economic Stimulus Payment to eligible pensioners, income support recipients, carers and student payment recipients, together with changes in recipient and average payment numbers reflecting the automatic stabiliser eff</w:t>
      </w:r>
      <w:r w:rsidR="00052538" w:rsidRPr="00FE17FC">
        <w:t>ect of social welfare payments ($13.1 billion)</w:t>
      </w:r>
    </w:p>
    <w:p w:rsidR="008E3F9C" w:rsidRPr="00FE17FC" w:rsidRDefault="008E3F9C" w:rsidP="001E3A45">
      <w:pPr>
        <w:pStyle w:val="Bullet"/>
      </w:pPr>
      <w:r w:rsidRPr="00FE17FC">
        <w:t>higher</w:t>
      </w:r>
      <w:r w:rsidR="00A7636B" w:rsidRPr="00FE17FC">
        <w:noBreakHyphen/>
      </w:r>
      <w:r w:rsidRPr="00FE17FC">
        <w:t>than</w:t>
      </w:r>
      <w:r w:rsidR="00A7636B" w:rsidRPr="00FE17FC">
        <w:noBreakHyphen/>
      </w:r>
      <w:r w:rsidRPr="00FE17FC">
        <w:t>estimated</w:t>
      </w:r>
      <w:r w:rsidRPr="00FE17FC">
        <w:rPr>
          <w:b/>
        </w:rPr>
        <w:t xml:space="preserve"> </w:t>
      </w:r>
      <w:r w:rsidRPr="00FE17FC">
        <w:t>payments to the states and territories as a result of the commencement of the National Partnership on COVID</w:t>
      </w:r>
      <w:r w:rsidR="00A7636B" w:rsidRPr="00FE17FC">
        <w:noBreakHyphen/>
      </w:r>
      <w:r w:rsidRPr="00FE17FC">
        <w:t>19 Response to support the costs to diagnose and treat patients with, or suspected of having COVID</w:t>
      </w:r>
      <w:r w:rsidR="00A7636B" w:rsidRPr="00FE17FC">
        <w:noBreakHyphen/>
      </w:r>
      <w:r w:rsidR="00052538" w:rsidRPr="00FE17FC">
        <w:t>19 ($2.9 billion)</w:t>
      </w:r>
    </w:p>
    <w:p w:rsidR="008E3F9C" w:rsidRPr="00FE17FC" w:rsidRDefault="008E3F9C" w:rsidP="001E3A45">
      <w:pPr>
        <w:pStyle w:val="Bullet"/>
      </w:pPr>
      <w:r w:rsidRPr="00FE17FC">
        <w:t>higher</w:t>
      </w:r>
      <w:r w:rsidR="00A7636B" w:rsidRPr="00FE17FC">
        <w:noBreakHyphen/>
      </w:r>
      <w:r w:rsidRPr="00FE17FC">
        <w:t>than</w:t>
      </w:r>
      <w:r w:rsidR="00A7636B" w:rsidRPr="00FE17FC">
        <w:noBreakHyphen/>
      </w:r>
      <w:r w:rsidRPr="00FE17FC">
        <w:t>estimated</w:t>
      </w:r>
      <w:r w:rsidRPr="00FE17FC">
        <w:rPr>
          <w:b/>
        </w:rPr>
        <w:t xml:space="preserve"> </w:t>
      </w:r>
      <w:r w:rsidRPr="00FE17FC">
        <w:t>payments under the</w:t>
      </w:r>
      <w:r w:rsidRPr="00FE17FC">
        <w:rPr>
          <w:b/>
        </w:rPr>
        <w:t xml:space="preserve"> </w:t>
      </w:r>
      <w:r w:rsidRPr="00FE17FC">
        <w:t>Health Protection and Emergency Response program largely reflecting the Government</w:t>
      </w:r>
      <w:r w:rsidR="00A7636B" w:rsidRPr="00FE17FC">
        <w:t>’</w:t>
      </w:r>
      <w:r w:rsidRPr="00FE17FC">
        <w:t>s response to the COVID</w:t>
      </w:r>
      <w:r w:rsidR="00A7636B" w:rsidRPr="00FE17FC">
        <w:noBreakHyphen/>
      </w:r>
      <w:r w:rsidRPr="00FE17FC">
        <w:t>19 pandemic, including for the procurement of personal protecti</w:t>
      </w:r>
      <w:r w:rsidR="00052538" w:rsidRPr="00FE17FC">
        <w:t>ve equipment ($2.1 billion)</w:t>
      </w:r>
    </w:p>
    <w:p w:rsidR="00966146" w:rsidRPr="00FE17FC" w:rsidRDefault="00966146" w:rsidP="00966146">
      <w:pPr>
        <w:pStyle w:val="Bullet"/>
      </w:pPr>
      <w:r w:rsidRPr="00FE17FC">
        <w:t>higher</w:t>
      </w:r>
      <w:r w:rsidR="00A7636B" w:rsidRPr="00FE17FC">
        <w:noBreakHyphen/>
      </w:r>
      <w:r w:rsidRPr="00FE17FC">
        <w:t>than</w:t>
      </w:r>
      <w:r w:rsidR="00A7636B" w:rsidRPr="00FE17FC">
        <w:noBreakHyphen/>
      </w:r>
      <w:r w:rsidRPr="00FE17FC">
        <w:t>estimated payments under the NDIS largely reflecting higher</w:t>
      </w:r>
      <w:r w:rsidR="00A7636B" w:rsidRPr="00FE17FC">
        <w:noBreakHyphen/>
      </w:r>
      <w:r w:rsidRPr="00FE17FC">
        <w:t>than</w:t>
      </w:r>
      <w:r w:rsidR="00A7636B" w:rsidRPr="00FE17FC">
        <w:noBreakHyphen/>
      </w:r>
      <w:r w:rsidRPr="00FE17FC">
        <w:t>expected average package costs and advance payments to providers to provide cash flow relief and keep services going through the COVID</w:t>
      </w:r>
      <w:r w:rsidR="00A7636B" w:rsidRPr="00FE17FC">
        <w:noBreakHyphen/>
      </w:r>
      <w:r w:rsidR="00052538" w:rsidRPr="00FE17FC">
        <w:t>19 pandemic ($2.1 billion)</w:t>
      </w:r>
    </w:p>
    <w:p w:rsidR="000E34B7" w:rsidRPr="00FE17FC" w:rsidRDefault="000E34B7" w:rsidP="000E34B7">
      <w:pPr>
        <w:pStyle w:val="Bullet"/>
      </w:pPr>
      <w:proofErr w:type="gramStart"/>
      <w:r w:rsidRPr="00FE17FC">
        <w:t>higher</w:t>
      </w:r>
      <w:r w:rsidR="00A7636B" w:rsidRPr="00FE17FC">
        <w:noBreakHyphen/>
      </w:r>
      <w:r w:rsidRPr="00FE17FC">
        <w:t>than</w:t>
      </w:r>
      <w:r w:rsidR="00A7636B" w:rsidRPr="00FE17FC">
        <w:noBreakHyphen/>
      </w:r>
      <w:r w:rsidRPr="00FE17FC">
        <w:t>estimated</w:t>
      </w:r>
      <w:proofErr w:type="gramEnd"/>
      <w:r w:rsidRPr="00FE17FC">
        <w:t xml:space="preserve"> payments to the states and territories under the Natural Disaster Relief program and to individuals under the Australian Government Disaster Financial Support Payments program, largely reflecting support in response to the 2019</w:t>
      </w:r>
      <w:r w:rsidR="00A7636B" w:rsidRPr="00FE17FC">
        <w:noBreakHyphen/>
      </w:r>
      <w:r w:rsidRPr="00FE17FC">
        <w:t>20 bushfires ($1.0 billion).</w:t>
      </w:r>
    </w:p>
    <w:p w:rsidR="008E3F9C" w:rsidRPr="00FE17FC" w:rsidRDefault="008E3F9C" w:rsidP="001E3A45">
      <w:r w:rsidRPr="00FE17FC">
        <w:t>The outcome also reflects decreases in payments across a number of programs including lower</w:t>
      </w:r>
      <w:r w:rsidR="00A7636B" w:rsidRPr="00FE17FC">
        <w:noBreakHyphen/>
      </w:r>
      <w:r w:rsidRPr="00FE17FC">
        <w:t>than</w:t>
      </w:r>
      <w:r w:rsidR="00A7636B" w:rsidRPr="00FE17FC">
        <w:noBreakHyphen/>
      </w:r>
      <w:r w:rsidRPr="00FE17FC">
        <w:t>estimated payments to the states and territories for road and rail infrastructure reflecting the slower than anticipated progress on relevant projects</w:t>
      </w:r>
      <w:r w:rsidR="004A0F1D" w:rsidRPr="00FE17FC">
        <w:t>,</w:t>
      </w:r>
      <w:r w:rsidRPr="00FE17FC">
        <w:t xml:space="preserve"> </w:t>
      </w:r>
      <w:r w:rsidR="004A0F1D" w:rsidRPr="00FE17FC">
        <w:t>largely due to</w:t>
      </w:r>
      <w:r w:rsidRPr="00FE17FC">
        <w:t xml:space="preserve"> the COVID</w:t>
      </w:r>
      <w:r w:rsidR="00A7636B" w:rsidRPr="00FE17FC">
        <w:noBreakHyphen/>
      </w:r>
      <w:r w:rsidRPr="00FE17FC">
        <w:t>19 pandemic and the</w:t>
      </w:r>
      <w:r w:rsidR="00025872">
        <w:t xml:space="preserve"> 2019-20</w:t>
      </w:r>
      <w:r w:rsidRPr="00FE17FC">
        <w:t xml:space="preserve"> bushfires (</w:t>
      </w:r>
      <w:r w:rsidR="00364800" w:rsidRPr="00FE17FC">
        <w:t>$</w:t>
      </w:r>
      <w:r w:rsidRPr="00FE17FC">
        <w:t xml:space="preserve">1.7 billion). </w:t>
      </w:r>
    </w:p>
    <w:p w:rsidR="00A31CA0" w:rsidRPr="00FE17FC" w:rsidRDefault="008E3F9C" w:rsidP="00052538">
      <w:r w:rsidRPr="00FE17FC">
        <w:lastRenderedPageBreak/>
        <w:t>Total cash payments in 2019</w:t>
      </w:r>
      <w:r w:rsidR="00A7636B" w:rsidRPr="00FE17FC">
        <w:noBreakHyphen/>
      </w:r>
      <w:r w:rsidRPr="00FE17FC">
        <w:t>20 of $549.</w:t>
      </w:r>
      <w:r w:rsidR="00364800" w:rsidRPr="00FE17FC">
        <w:t>6</w:t>
      </w:r>
      <w:r w:rsidRPr="00FE17FC">
        <w:t xml:space="preserve"> billion included $0.4 billion in Future Fund payments. Future Fund payments in 2019</w:t>
      </w:r>
      <w:r w:rsidR="00A7636B" w:rsidRPr="00FE17FC">
        <w:noBreakHyphen/>
      </w:r>
      <w:r w:rsidRPr="00FE17FC">
        <w:t>20 were consistent with the estimate at the time of the 2019</w:t>
      </w:r>
      <w:r w:rsidR="00A7636B" w:rsidRPr="00FE17FC">
        <w:noBreakHyphen/>
      </w:r>
      <w:r w:rsidRPr="00FE17FC">
        <w:t>20 MYEFO.</w:t>
      </w:r>
    </w:p>
    <w:p w:rsidR="00A31CA0" w:rsidRPr="00FE17FC" w:rsidRDefault="00A31CA0" w:rsidP="00A31CA0">
      <w:pPr>
        <w:pStyle w:val="Heading3"/>
      </w:pPr>
      <w:r w:rsidRPr="00FE17FC">
        <w:t>Net Future Fund earnings</w:t>
      </w:r>
      <w:r w:rsidR="00D22268" w:rsidRPr="00FE17FC">
        <w:t xml:space="preserve"> </w:t>
      </w:r>
    </w:p>
    <w:p w:rsidR="008E3F9C" w:rsidRPr="00FE17FC" w:rsidRDefault="008E3F9C" w:rsidP="00E57C21">
      <w:r w:rsidRPr="00FE17FC">
        <w:t>The underlying cash balance excludes net Future Fund earnings. Ne</w:t>
      </w:r>
      <w:r w:rsidR="00500EDA" w:rsidRPr="00FE17FC">
        <w:t>t Future Fund earnings were $5.0</w:t>
      </w:r>
      <w:r w:rsidRPr="00FE17FC">
        <w:t xml:space="preserve"> billion in 2019</w:t>
      </w:r>
      <w:r w:rsidR="00A7636B" w:rsidRPr="00FE17FC">
        <w:noBreakHyphen/>
      </w:r>
      <w:r w:rsidRPr="00FE17FC">
        <w:t>20, $0.</w:t>
      </w:r>
      <w:r w:rsidR="00500EDA" w:rsidRPr="00FE17FC">
        <w:t>4</w:t>
      </w:r>
      <w:r w:rsidRPr="00FE17FC">
        <w:t xml:space="preserve"> billion </w:t>
      </w:r>
      <w:r w:rsidR="00500EDA" w:rsidRPr="00FE17FC">
        <w:t>lower</w:t>
      </w:r>
      <w:r w:rsidRPr="00FE17FC">
        <w:t xml:space="preserve"> than estimated at the time of the 2019</w:t>
      </w:r>
      <w:r w:rsidR="00A7636B" w:rsidRPr="00FE17FC">
        <w:noBreakHyphen/>
      </w:r>
      <w:r w:rsidRPr="00FE17FC">
        <w:t>20 M</w:t>
      </w:r>
      <w:r w:rsidR="000C5BAD" w:rsidRPr="00FE17FC">
        <w:t>YEFO, largely reflecting</w:t>
      </w:r>
      <w:r w:rsidR="00966146" w:rsidRPr="00FE17FC">
        <w:t xml:space="preserve"> lower</w:t>
      </w:r>
      <w:r w:rsidR="00A7636B" w:rsidRPr="00FE17FC">
        <w:noBreakHyphen/>
      </w:r>
      <w:r w:rsidR="00966146" w:rsidRPr="00FE17FC">
        <w:t>than</w:t>
      </w:r>
      <w:r w:rsidR="00A7636B" w:rsidRPr="00FE17FC">
        <w:noBreakHyphen/>
      </w:r>
      <w:r w:rsidR="00966146" w:rsidRPr="00FE17FC">
        <w:t>estimated investment earnings</w:t>
      </w:r>
      <w:r w:rsidR="00036595" w:rsidRPr="00FE17FC">
        <w:t>.</w:t>
      </w:r>
    </w:p>
    <w:p w:rsidR="00A31CA0" w:rsidRPr="00FE17FC" w:rsidRDefault="00A31CA0" w:rsidP="00A31CA0">
      <w:pPr>
        <w:pStyle w:val="Heading2"/>
      </w:pPr>
      <w:r w:rsidRPr="00FE17FC">
        <w:t>Net operating balance</w:t>
      </w:r>
    </w:p>
    <w:p w:rsidR="00A31CA0" w:rsidRPr="00FE17FC" w:rsidRDefault="006317FE" w:rsidP="00A31CA0">
      <w:r w:rsidRPr="00FE17FC">
        <w:t xml:space="preserve">The </w:t>
      </w:r>
      <w:r w:rsidR="000C5BAD" w:rsidRPr="00FE17FC">
        <w:t>2019</w:t>
      </w:r>
      <w:r w:rsidR="00A7636B" w:rsidRPr="00FE17FC">
        <w:noBreakHyphen/>
      </w:r>
      <w:r w:rsidR="000C5BAD" w:rsidRPr="00FE17FC">
        <w:t>20 net operating deficit was $</w:t>
      </w:r>
      <w:r w:rsidR="000D0AAD" w:rsidRPr="00FE17FC">
        <w:t>92.3</w:t>
      </w:r>
      <w:r w:rsidR="000C5BAD" w:rsidRPr="00FE17FC">
        <w:t xml:space="preserve"> billion compared with a</w:t>
      </w:r>
      <w:r w:rsidR="005B7D7F" w:rsidRPr="00FE17FC">
        <w:t xml:space="preserve"> surplus of $8.0 </w:t>
      </w:r>
      <w:r w:rsidR="000C5BAD" w:rsidRPr="00FE17FC">
        <w:t>billion estimated at the time of the 2019</w:t>
      </w:r>
      <w:r w:rsidR="00A7636B" w:rsidRPr="00FE17FC">
        <w:noBreakHyphen/>
      </w:r>
      <w:r w:rsidR="000C5BAD" w:rsidRPr="00FE17FC">
        <w:t>20 MYEFO. The 2019</w:t>
      </w:r>
      <w:r w:rsidR="00A7636B" w:rsidRPr="00FE17FC">
        <w:noBreakHyphen/>
      </w:r>
      <w:r w:rsidR="000C5BAD" w:rsidRPr="00FE17FC">
        <w:t xml:space="preserve">20 fiscal balance </w:t>
      </w:r>
      <w:r w:rsidR="00015C10" w:rsidRPr="00FE17FC">
        <w:t xml:space="preserve">was a </w:t>
      </w:r>
      <w:r w:rsidR="000C5BAD" w:rsidRPr="00FE17FC">
        <w:t xml:space="preserve">deficit </w:t>
      </w:r>
      <w:r w:rsidR="00015C10" w:rsidRPr="00FE17FC">
        <w:t>of</w:t>
      </w:r>
      <w:r w:rsidR="000C5BAD" w:rsidRPr="00FE17FC">
        <w:t xml:space="preserve"> $</w:t>
      </w:r>
      <w:r w:rsidR="000D0AAD" w:rsidRPr="00FE17FC">
        <w:t>96.3</w:t>
      </w:r>
      <w:r w:rsidR="000C5BAD" w:rsidRPr="00FE17FC">
        <w:t xml:space="preserve"> billion compared with a surplus of $3.8 billion estimated at the time of the 2019</w:t>
      </w:r>
      <w:r w:rsidR="00A7636B" w:rsidRPr="00FE17FC">
        <w:noBreakHyphen/>
      </w:r>
      <w:r w:rsidR="000C5BAD" w:rsidRPr="00FE17FC">
        <w:t>20 MYEFO.</w:t>
      </w:r>
    </w:p>
    <w:p w:rsidR="00A31CA0" w:rsidRPr="00FE17FC" w:rsidRDefault="00A31CA0" w:rsidP="00A31CA0">
      <w:pPr>
        <w:pStyle w:val="Heading3"/>
      </w:pPr>
      <w:r w:rsidRPr="00FE17FC">
        <w:t>Revenue</w:t>
      </w:r>
    </w:p>
    <w:p w:rsidR="00A31CA0" w:rsidRPr="00FE17FC" w:rsidRDefault="00A31CA0" w:rsidP="00A31CA0">
      <w:r w:rsidRPr="00FE17FC">
        <w:t>Total revenue was $</w:t>
      </w:r>
      <w:r w:rsidR="000D0AAD" w:rsidRPr="00FE17FC">
        <w:t>486.3</w:t>
      </w:r>
      <w:r w:rsidRPr="00FE17FC">
        <w:t xml:space="preserve"> billion in </w:t>
      </w:r>
      <w:r w:rsidR="00A76EFD" w:rsidRPr="00FE17FC">
        <w:t>2019</w:t>
      </w:r>
      <w:r w:rsidR="00A7636B" w:rsidRPr="00FE17FC">
        <w:noBreakHyphen/>
      </w:r>
      <w:r w:rsidR="00A76EFD" w:rsidRPr="00FE17FC">
        <w:t>20</w:t>
      </w:r>
      <w:r w:rsidRPr="00FE17FC">
        <w:t xml:space="preserve">, </w:t>
      </w:r>
      <w:r w:rsidR="00D22268" w:rsidRPr="00FE17FC">
        <w:t>$</w:t>
      </w:r>
      <w:r w:rsidR="000D0AAD" w:rsidRPr="00FE17FC">
        <w:t>24.9</w:t>
      </w:r>
      <w:r w:rsidRPr="00FE17FC">
        <w:t xml:space="preserve"> billion </w:t>
      </w:r>
      <w:r w:rsidR="00D22268" w:rsidRPr="00FE17FC">
        <w:t>lower</w:t>
      </w:r>
      <w:r w:rsidRPr="00FE17FC">
        <w:t xml:space="preserve"> than estimated at the time of the </w:t>
      </w:r>
      <w:r w:rsidR="00A76EFD" w:rsidRPr="00FE17FC">
        <w:t>2019</w:t>
      </w:r>
      <w:r w:rsidR="00A7636B" w:rsidRPr="00FE17FC">
        <w:noBreakHyphen/>
      </w:r>
      <w:r w:rsidR="00A76EFD" w:rsidRPr="00FE17FC">
        <w:t>20 MYEFO</w:t>
      </w:r>
      <w:r w:rsidRPr="00FE17FC">
        <w:t>. In comparison, total cash receipts were $</w:t>
      </w:r>
      <w:r w:rsidR="00D22268" w:rsidRPr="00FE17FC">
        <w:t>4</w:t>
      </w:r>
      <w:r w:rsidR="000D0AAD" w:rsidRPr="00FE17FC">
        <w:t>69.4</w:t>
      </w:r>
      <w:r w:rsidR="00D22268" w:rsidRPr="00FE17FC">
        <w:t xml:space="preserve"> billion, </w:t>
      </w:r>
      <w:r w:rsidR="000D0AAD" w:rsidRPr="00FE17FC">
        <w:t>$33.1</w:t>
      </w:r>
      <w:r w:rsidRPr="00FE17FC">
        <w:t> </w:t>
      </w:r>
      <w:r w:rsidR="00D22268" w:rsidRPr="00FE17FC">
        <w:t>billi</w:t>
      </w:r>
      <w:r w:rsidRPr="00FE17FC">
        <w:t xml:space="preserve">on </w:t>
      </w:r>
      <w:r w:rsidR="00D22268" w:rsidRPr="00FE17FC">
        <w:t>lower</w:t>
      </w:r>
      <w:r w:rsidRPr="00FE17FC">
        <w:t xml:space="preserve"> than estimated at the time of the </w:t>
      </w:r>
      <w:r w:rsidR="00A76EFD" w:rsidRPr="00FE17FC">
        <w:t>2019</w:t>
      </w:r>
      <w:r w:rsidR="00A7636B" w:rsidRPr="00FE17FC">
        <w:noBreakHyphen/>
      </w:r>
      <w:r w:rsidR="00A76EFD" w:rsidRPr="00FE17FC">
        <w:t>20 MYEFO</w:t>
      </w:r>
      <w:r w:rsidRPr="00FE17FC">
        <w:t>.</w:t>
      </w:r>
    </w:p>
    <w:p w:rsidR="0085121D" w:rsidRPr="00FE17FC" w:rsidRDefault="0085121D" w:rsidP="0085121D">
      <w:r w:rsidRPr="00FE17FC">
        <w:t>Taxation revenue was $447.5 billion in 2019</w:t>
      </w:r>
      <w:r w:rsidR="00A7636B" w:rsidRPr="00FE17FC">
        <w:noBreakHyphen/>
      </w:r>
      <w:r w:rsidRPr="00FE17FC">
        <w:t>20, $25.3 billion lower than the estimate at the 2019</w:t>
      </w:r>
      <w:r w:rsidR="00A7636B" w:rsidRPr="00FE17FC">
        <w:noBreakHyphen/>
      </w:r>
      <w:r w:rsidRPr="00FE17FC">
        <w:t>20 MYEFO. Changes in taxation revenue were largely driven by the same revenue heads as receipts.</w:t>
      </w:r>
    </w:p>
    <w:p w:rsidR="0085121D" w:rsidRPr="00FE17FC" w:rsidRDefault="0085121D" w:rsidP="0085121D">
      <w:pPr>
        <w:rPr>
          <w:rFonts w:ascii="Calibri" w:hAnsi="Calibri"/>
        </w:rPr>
      </w:pPr>
      <w:r w:rsidRPr="00FE17FC">
        <w:t>The revenue estimates are the accrual accounting equivalent of the cash</w:t>
      </w:r>
      <w:r w:rsidR="00A7636B" w:rsidRPr="00FE17FC">
        <w:noBreakHyphen/>
      </w:r>
      <w:r w:rsidRPr="00FE17FC">
        <w:t xml:space="preserve">based receipts estimates. The differences between results for taxation receipts ($32.0 billion lower than forecast) and taxation revenue ($25.3 billion lower than forecast) generally reflect timing differences between the recognition of revenue and receiving the corresponding revenue. These differences were primarily shown in GST, total individuals and other withholding taxes, and company tax. </w:t>
      </w:r>
    </w:p>
    <w:p w:rsidR="0085121D" w:rsidRPr="00FE17FC" w:rsidRDefault="0085121D" w:rsidP="0085121D">
      <w:pPr>
        <w:pStyle w:val="Bullet"/>
      </w:pPr>
      <w:r w:rsidRPr="00FE17FC">
        <w:t>In part, the weaker result for cash was driven by administrative support offered to taxpayers experiencing financial hardship in response to the COVID</w:t>
      </w:r>
      <w:r w:rsidR="00A7636B" w:rsidRPr="00FE17FC">
        <w:noBreakHyphen/>
      </w:r>
      <w:r w:rsidRPr="00FE17FC">
        <w:t>19 pandemic, which allowed some taxpayers to defer payments of liabilities into 2020</w:t>
      </w:r>
      <w:r w:rsidR="00A7636B" w:rsidRPr="00FE17FC">
        <w:noBreakHyphen/>
      </w:r>
      <w:r w:rsidRPr="00FE17FC">
        <w:t>21.</w:t>
      </w:r>
    </w:p>
    <w:p w:rsidR="0085121D" w:rsidRPr="00FE17FC" w:rsidRDefault="0085121D" w:rsidP="0085121D">
      <w:pPr>
        <w:pStyle w:val="Bullet"/>
      </w:pPr>
      <w:r w:rsidRPr="00FE17FC">
        <w:t>GST was $5.3 billion below the 2019</w:t>
      </w:r>
      <w:r w:rsidR="00A7636B" w:rsidRPr="00FE17FC">
        <w:noBreakHyphen/>
      </w:r>
      <w:r w:rsidRPr="00FE17FC">
        <w:t>20 MYEFO foreca</w:t>
      </w:r>
      <w:r w:rsidR="006B1050" w:rsidRPr="00FE17FC">
        <w:t>st on a receipts basis and $1.9 </w:t>
      </w:r>
      <w:r w:rsidRPr="00FE17FC">
        <w:t>billion below forecast on a revenue basis. The weaker outcome against forecast for receipts relat</w:t>
      </w:r>
      <w:r w:rsidR="00A0404F">
        <w:t>ive to revenue is due to higher-than-</w:t>
      </w:r>
      <w:r w:rsidRPr="00FE17FC">
        <w:t>expected outstanding liabilities for GST, including liabilities where the taxpayer has been offered a deferral of payment by the ATO</w:t>
      </w:r>
      <w:r w:rsidR="00052538" w:rsidRPr="00FE17FC">
        <w:t xml:space="preserve">. </w:t>
      </w:r>
    </w:p>
    <w:p w:rsidR="0085121D" w:rsidRPr="00FE17FC" w:rsidRDefault="0085121D" w:rsidP="0085121D">
      <w:pPr>
        <w:pStyle w:val="Bullet"/>
      </w:pPr>
      <w:r w:rsidRPr="00FE17FC">
        <w:t>Total individuals and other withholding taxes was $9.0 billion below the 2019</w:t>
      </w:r>
      <w:r w:rsidR="00A7636B" w:rsidRPr="00FE17FC">
        <w:noBreakHyphen/>
      </w:r>
      <w:r w:rsidR="00052538" w:rsidRPr="00FE17FC">
        <w:t>20 </w:t>
      </w:r>
      <w:r w:rsidRPr="00FE17FC">
        <w:t xml:space="preserve">MYEFO forecast on a receipts basis and $6.7 billion below forecast on a revenue basis. The weaker outcome for receipts relative to revenue is largely due to </w:t>
      </w:r>
      <w:r w:rsidRPr="00FE17FC">
        <w:lastRenderedPageBreak/>
        <w:t>payment deferrals granted as a result of the impact of the COVID</w:t>
      </w:r>
      <w:r w:rsidR="00A7636B" w:rsidRPr="00FE17FC">
        <w:noBreakHyphen/>
      </w:r>
      <w:r w:rsidRPr="00FE17FC">
        <w:t>19 pandemic on taxpayers.</w:t>
      </w:r>
    </w:p>
    <w:p w:rsidR="0085121D" w:rsidRPr="00FE17FC" w:rsidRDefault="0085121D" w:rsidP="0085121D">
      <w:pPr>
        <w:pStyle w:val="Bullet"/>
      </w:pPr>
      <w:r w:rsidRPr="00FE17FC">
        <w:t>Company tax was $13.4 billion below the 2019</w:t>
      </w:r>
      <w:r w:rsidR="00A7636B" w:rsidRPr="00FE17FC">
        <w:noBreakHyphen/>
      </w:r>
      <w:r w:rsidRPr="00FE17FC">
        <w:t>20 MYEFO forecast on a receipts basis and $12.0 billion below forecast on a revenue basis. The lower outcome for receipts relative to revenue is largely due to lower provisions for credit amendments to company tax returns.</w:t>
      </w:r>
    </w:p>
    <w:p w:rsidR="008E3F9C" w:rsidRPr="00FE17FC" w:rsidRDefault="008E3F9C" w:rsidP="00052538">
      <w:r w:rsidRPr="00FE17FC">
        <w:t>Total non</w:t>
      </w:r>
      <w:r w:rsidR="00A7636B" w:rsidRPr="00FE17FC">
        <w:noBreakHyphen/>
      </w:r>
      <w:r w:rsidRPr="00FE17FC">
        <w:t>tax revenue was $3</w:t>
      </w:r>
      <w:r w:rsidR="00966146" w:rsidRPr="00FE17FC">
        <w:t>8.8</w:t>
      </w:r>
      <w:r w:rsidRPr="00FE17FC">
        <w:t xml:space="preserve"> billion in 2019</w:t>
      </w:r>
      <w:r w:rsidR="00A7636B" w:rsidRPr="00FE17FC">
        <w:noBreakHyphen/>
      </w:r>
      <w:r w:rsidRPr="00FE17FC">
        <w:t>20, $</w:t>
      </w:r>
      <w:r w:rsidR="00966146" w:rsidRPr="00FE17FC">
        <w:t>0.4</w:t>
      </w:r>
      <w:r w:rsidR="00EF7062" w:rsidRPr="00FE17FC">
        <w:t xml:space="preserve"> </w:t>
      </w:r>
      <w:r w:rsidRPr="00FE17FC">
        <w:t>billion higher than estimated at the 2019</w:t>
      </w:r>
      <w:r w:rsidR="00A7636B" w:rsidRPr="00FE17FC">
        <w:noBreakHyphen/>
      </w:r>
      <w:r w:rsidRPr="00FE17FC">
        <w:t>20 MYEFO. Non</w:t>
      </w:r>
      <w:r w:rsidR="00A7636B" w:rsidRPr="00FE17FC">
        <w:noBreakHyphen/>
      </w:r>
      <w:r w:rsidRPr="00FE17FC">
        <w:t>tax receipts were $37.</w:t>
      </w:r>
      <w:r w:rsidR="00966146" w:rsidRPr="00FE17FC">
        <w:t>6</w:t>
      </w:r>
      <w:r w:rsidRPr="00FE17FC">
        <w:t xml:space="preserve"> billion in 2019</w:t>
      </w:r>
      <w:r w:rsidR="00A7636B" w:rsidRPr="00FE17FC">
        <w:noBreakHyphen/>
      </w:r>
      <w:r w:rsidRPr="00FE17FC">
        <w:t>20, $1.</w:t>
      </w:r>
      <w:r w:rsidR="00966146" w:rsidRPr="00FE17FC">
        <w:t>1</w:t>
      </w:r>
      <w:r w:rsidRPr="00FE17FC">
        <w:t> billion lower than estimated at the time of the 2019</w:t>
      </w:r>
      <w:r w:rsidR="00A7636B" w:rsidRPr="00FE17FC">
        <w:noBreakHyphen/>
      </w:r>
      <w:r w:rsidRPr="00FE17FC">
        <w:t>20 MYEFO. The $</w:t>
      </w:r>
      <w:r w:rsidR="00966146" w:rsidRPr="00FE17FC">
        <w:t>1.5</w:t>
      </w:r>
      <w:r w:rsidRPr="00FE17FC">
        <w:t xml:space="preserve"> billion difference in the variance for non</w:t>
      </w:r>
      <w:r w:rsidR="00A7636B" w:rsidRPr="00FE17FC">
        <w:noBreakHyphen/>
      </w:r>
      <w:r w:rsidRPr="00FE17FC">
        <w:t>tax revenue and non</w:t>
      </w:r>
      <w:r w:rsidR="00A7636B" w:rsidRPr="00FE17FC">
        <w:noBreakHyphen/>
      </w:r>
      <w:r w:rsidRPr="00FE17FC">
        <w:t xml:space="preserve">tax receipts largely reflects timing differences between the recognition of revenue and the corresponding receipt for the Reserve Bank of Australia dividend. </w:t>
      </w:r>
    </w:p>
    <w:p w:rsidR="00732420" w:rsidRPr="00FE17FC" w:rsidRDefault="00A31CA0" w:rsidP="006509AD">
      <w:pPr>
        <w:pStyle w:val="TableHeading"/>
        <w:rPr>
          <w:rFonts w:cs="Arial"/>
        </w:rPr>
      </w:pPr>
      <w:r w:rsidRPr="00FE17FC">
        <w:rPr>
          <w:rFonts w:cs="Arial"/>
        </w:rPr>
        <w:br w:type="page"/>
      </w:r>
      <w:r w:rsidRPr="00FE17FC">
        <w:rPr>
          <w:rFonts w:cs="Arial"/>
        </w:rPr>
        <w:lastRenderedPageBreak/>
        <w:t xml:space="preserve">Table </w:t>
      </w:r>
      <w:r w:rsidR="007432C2" w:rsidRPr="00FE17FC">
        <w:rPr>
          <w:rFonts w:cs="Arial"/>
        </w:rPr>
        <w:t>5</w:t>
      </w:r>
      <w:r w:rsidRPr="00FE17FC">
        <w:rPr>
          <w:rFonts w:cs="Arial"/>
        </w:rPr>
        <w:t>: Australian Government general government sector (accrual) revenue</w:t>
      </w:r>
      <w:r w:rsidR="00732420" w:rsidRPr="00FE17FC">
        <w:rPr>
          <w:rFonts w:cs="Arial"/>
        </w:rPr>
        <w:fldChar w:fldCharType="begin" w:fldLock="1"/>
      </w:r>
      <w:r w:rsidR="00732420" w:rsidRPr="00FE17FC">
        <w:rPr>
          <w:rFonts w:cs="Arial"/>
        </w:rPr>
        <w:instrText xml:space="preserve"> LINK Excel.SheetMacroEnabled.12 "\\\\budget.gov\\budget_shares\\Budget$\\2019-20 FBO\\01 Outcomes\\02 Outcomes charts and tables\\Final FARM tables formatted.xlsm" "Table 5!R3C11:R84C17" \a \f 4 \h </w:instrText>
      </w:r>
      <w:r w:rsidR="00FE1516" w:rsidRPr="00FE17FC">
        <w:rPr>
          <w:rFonts w:cs="Arial"/>
        </w:rPr>
        <w:instrText xml:space="preserve"> \* MERGEFORMAT </w:instrText>
      </w:r>
      <w:r w:rsidR="00732420" w:rsidRPr="00FE17FC">
        <w:rPr>
          <w:rFonts w:cs="Arial"/>
        </w:rPr>
        <w:fldChar w:fldCharType="separate"/>
      </w:r>
    </w:p>
    <w:tbl>
      <w:tblPr>
        <w:tblW w:w="5000" w:type="pct"/>
        <w:tblLook w:val="04A0" w:firstRow="1" w:lastRow="0" w:firstColumn="1" w:lastColumn="0" w:noHBand="0" w:noVBand="1"/>
      </w:tblPr>
      <w:tblGrid>
        <w:gridCol w:w="3848"/>
        <w:gridCol w:w="1271"/>
        <w:gridCol w:w="1416"/>
        <w:gridCol w:w="1175"/>
      </w:tblGrid>
      <w:tr w:rsidR="00732420" w:rsidRPr="00FE17FC" w:rsidTr="00732420">
        <w:trPr>
          <w:trHeight w:hRule="exact" w:val="225"/>
        </w:trPr>
        <w:tc>
          <w:tcPr>
            <w:tcW w:w="2495" w:type="pct"/>
            <w:tcBorders>
              <w:top w:val="single" w:sz="4" w:space="0" w:color="000000"/>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color w:val="0000FF"/>
                <w:sz w:val="16"/>
                <w:szCs w:val="16"/>
              </w:rPr>
            </w:pPr>
            <w:r w:rsidRPr="00FE17FC">
              <w:rPr>
                <w:rFonts w:ascii="Arial" w:hAnsi="Arial" w:cs="Arial"/>
                <w:color w:val="0000FF"/>
                <w:sz w:val="16"/>
                <w:szCs w:val="16"/>
              </w:rPr>
              <w:t> </w:t>
            </w:r>
          </w:p>
        </w:tc>
        <w:tc>
          <w:tcPr>
            <w:tcW w:w="824" w:type="pct"/>
            <w:tcBorders>
              <w:top w:val="single" w:sz="4" w:space="0" w:color="000000"/>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918" w:type="pct"/>
            <w:tcBorders>
              <w:top w:val="single" w:sz="4" w:space="0" w:color="000000"/>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762" w:type="pct"/>
            <w:tcBorders>
              <w:top w:val="single" w:sz="4" w:space="0" w:color="000000"/>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Change on</w:t>
            </w:r>
          </w:p>
        </w:tc>
      </w:tr>
      <w:tr w:rsidR="00732420" w:rsidRPr="00FE17FC" w:rsidTr="00732420">
        <w:trPr>
          <w:trHeight w:hRule="exact" w:val="225"/>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color w:val="0000FF"/>
                <w:sz w:val="16"/>
                <w:szCs w:val="16"/>
              </w:rPr>
            </w:pPr>
            <w:r w:rsidRPr="00FE17FC">
              <w:rPr>
                <w:rFonts w:ascii="Arial" w:hAnsi="Arial" w:cs="Arial"/>
                <w:color w:val="0000FF"/>
                <w:sz w:val="16"/>
                <w:szCs w:val="16"/>
              </w:rPr>
              <w:t> </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Estimate at</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Outcome</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r>
      <w:tr w:rsidR="00732420" w:rsidRPr="00FE17FC" w:rsidTr="00732420">
        <w:trPr>
          <w:trHeight w:hRule="exact" w:val="225"/>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color w:val="0000FF"/>
                <w:sz w:val="16"/>
                <w:szCs w:val="16"/>
              </w:rPr>
            </w:pPr>
            <w:r w:rsidRPr="00FE17FC">
              <w:rPr>
                <w:rFonts w:ascii="Arial" w:hAnsi="Arial" w:cs="Arial"/>
                <w:color w:val="0000FF"/>
                <w:sz w:val="16"/>
                <w:szCs w:val="16"/>
              </w:rPr>
              <w:t> </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62"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MYEFO</w:t>
            </w:r>
          </w:p>
        </w:tc>
      </w:tr>
      <w:tr w:rsidR="00732420" w:rsidRPr="00FE17FC" w:rsidTr="00732420">
        <w:trPr>
          <w:trHeight w:hRule="exact" w:val="225"/>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color w:val="0000FF"/>
                <w:sz w:val="16"/>
                <w:szCs w:val="16"/>
              </w:rPr>
            </w:pPr>
            <w:r w:rsidRPr="00FE17FC">
              <w:rPr>
                <w:rFonts w:ascii="Arial" w:hAnsi="Arial" w:cs="Arial"/>
                <w:color w:val="0000FF"/>
                <w:sz w:val="16"/>
                <w:szCs w:val="16"/>
              </w:rPr>
              <w:t> </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MYEFO</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center"/>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25"/>
        </w:trPr>
        <w:tc>
          <w:tcPr>
            <w:tcW w:w="2495" w:type="pct"/>
            <w:tcBorders>
              <w:top w:val="nil"/>
              <w:left w:val="nil"/>
              <w:bottom w:val="nil"/>
              <w:right w:val="nil"/>
            </w:tcBorders>
            <w:shd w:val="clear" w:color="000000" w:fill="FFFFFF"/>
            <w:vAlign w:val="center"/>
            <w:hideMark/>
          </w:tcPr>
          <w:p w:rsidR="00732420" w:rsidRPr="00FE17FC" w:rsidRDefault="00732420" w:rsidP="000F3274">
            <w:pPr>
              <w:spacing w:after="0" w:line="240" w:lineRule="auto"/>
              <w:jc w:val="left"/>
              <w:rPr>
                <w:rFonts w:ascii="Arial" w:hAnsi="Arial" w:cs="Arial"/>
                <w:color w:val="0000FF"/>
                <w:sz w:val="16"/>
                <w:szCs w:val="16"/>
              </w:rPr>
            </w:pPr>
            <w:r w:rsidRPr="00FE17FC">
              <w:rPr>
                <w:rFonts w:ascii="Arial" w:hAnsi="Arial" w:cs="Arial"/>
                <w:color w:val="0000FF"/>
                <w:sz w:val="16"/>
                <w:szCs w:val="16"/>
              </w:rPr>
              <w:t> </w:t>
            </w:r>
          </w:p>
        </w:tc>
        <w:tc>
          <w:tcPr>
            <w:tcW w:w="824" w:type="pct"/>
            <w:tcBorders>
              <w:top w:val="nil"/>
              <w:left w:val="nil"/>
              <w:bottom w:val="single" w:sz="4" w:space="0" w:color="000000"/>
              <w:right w:val="nil"/>
            </w:tcBorders>
            <w:shd w:val="clear" w:color="000000" w:fill="FFFFFF"/>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w:t>
            </w:r>
          </w:p>
        </w:tc>
        <w:tc>
          <w:tcPr>
            <w:tcW w:w="918" w:type="pct"/>
            <w:tcBorders>
              <w:top w:val="nil"/>
              <w:left w:val="nil"/>
              <w:bottom w:val="single" w:sz="4" w:space="0" w:color="000000"/>
              <w:right w:val="nil"/>
            </w:tcBorders>
            <w:shd w:val="clear" w:color="000000" w:fill="E6E6E6"/>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w:t>
            </w:r>
          </w:p>
        </w:tc>
        <w:tc>
          <w:tcPr>
            <w:tcW w:w="762" w:type="pct"/>
            <w:tcBorders>
              <w:top w:val="nil"/>
              <w:left w:val="nil"/>
              <w:bottom w:val="single" w:sz="4" w:space="0" w:color="000000"/>
              <w:right w:val="nil"/>
            </w:tcBorders>
            <w:shd w:val="clear" w:color="000000" w:fill="FFFFFF"/>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Individuals and other withholding taxes</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Gross income tax withholding</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220,300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217,095</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3,205</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Gross other individuals</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52,900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48,855</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4,045</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i/>
                <w:iCs/>
                <w:sz w:val="16"/>
                <w:szCs w:val="16"/>
              </w:rPr>
            </w:pPr>
            <w:r w:rsidRPr="00FE17FC">
              <w:rPr>
                <w:rFonts w:ascii="Arial" w:hAnsi="Arial" w:cs="Arial"/>
                <w:i/>
                <w:iCs/>
                <w:sz w:val="16"/>
                <w:szCs w:val="16"/>
              </w:rPr>
              <w:t xml:space="preserve">less: </w:t>
            </w:r>
            <w:r w:rsidRPr="00FE17FC">
              <w:rPr>
                <w:rFonts w:ascii="Arial" w:hAnsi="Arial" w:cs="Arial"/>
                <w:iCs/>
                <w:sz w:val="16"/>
                <w:szCs w:val="16"/>
              </w:rPr>
              <w:t>Refunds</w:t>
            </w:r>
          </w:p>
        </w:tc>
        <w:tc>
          <w:tcPr>
            <w:tcW w:w="82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36,800</w:t>
            </w:r>
          </w:p>
        </w:tc>
        <w:tc>
          <w:tcPr>
            <w:tcW w:w="918"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36,219</w:t>
            </w:r>
          </w:p>
        </w:tc>
        <w:tc>
          <w:tcPr>
            <w:tcW w:w="762"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581</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Total individuals and other withholding tax</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236,400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229,731</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6,669</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Fringe benefits tax</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4,040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3,939</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101</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Company tax</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99,800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87,846</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11,954</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Superannuation fund taxes</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8,460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6,621</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1,839</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Petroleum resource rent tax(a)</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1,130</w:t>
            </w:r>
          </w:p>
        </w:tc>
        <w:tc>
          <w:tcPr>
            <w:tcW w:w="918" w:type="pct"/>
            <w:tcBorders>
              <w:top w:val="nil"/>
              <w:left w:val="nil"/>
              <w:bottom w:val="single" w:sz="4" w:space="0" w:color="auto"/>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921</w:t>
            </w:r>
          </w:p>
        </w:tc>
        <w:tc>
          <w:tcPr>
            <w:tcW w:w="762" w:type="pct"/>
            <w:tcBorders>
              <w:top w:val="nil"/>
              <w:left w:val="nil"/>
              <w:bottom w:val="single" w:sz="4" w:space="0" w:color="auto"/>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209</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Income taxation revenue</w:t>
            </w:r>
          </w:p>
        </w:tc>
        <w:tc>
          <w:tcPr>
            <w:tcW w:w="824" w:type="pct"/>
            <w:tcBorders>
              <w:top w:val="single" w:sz="4" w:space="0" w:color="auto"/>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349,830</w:t>
            </w:r>
          </w:p>
        </w:tc>
        <w:tc>
          <w:tcPr>
            <w:tcW w:w="918" w:type="pct"/>
            <w:tcBorders>
              <w:top w:val="single" w:sz="4" w:space="0" w:color="auto"/>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329,058</w:t>
            </w:r>
          </w:p>
        </w:tc>
        <w:tc>
          <w:tcPr>
            <w:tcW w:w="762"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20,772</w:t>
            </w:r>
          </w:p>
        </w:tc>
      </w:tr>
      <w:tr w:rsidR="00732420" w:rsidRPr="00FE17FC" w:rsidTr="00732420">
        <w:trPr>
          <w:trHeight w:hRule="exact" w:val="75"/>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 </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Goods and services tax</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67,230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65,287</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1,943</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Wine equalisation tax</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1,110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1,040</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70</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Luxury car tax</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670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632</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38</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xml:space="preserve">Excise and customs duty  </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Petrol</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6,100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5,676</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424</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Diesel</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12,080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11,923</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157</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Other fuel products</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2,170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1,907</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263</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Tobacco</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16,980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15,981</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999</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Beer</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2,460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2,434</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26</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Spirits</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2,510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2,641</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131</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Other alcoholic beverages(b)</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1,040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1,048</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8</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Other customs duty</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340"/>
              <w:jc w:val="left"/>
              <w:rPr>
                <w:rFonts w:ascii="Arial" w:hAnsi="Arial" w:cs="Arial"/>
                <w:sz w:val="16"/>
                <w:szCs w:val="16"/>
              </w:rPr>
            </w:pPr>
            <w:r w:rsidRPr="00FE17FC">
              <w:rPr>
                <w:rFonts w:ascii="Arial" w:hAnsi="Arial" w:cs="Arial"/>
                <w:sz w:val="16"/>
                <w:szCs w:val="16"/>
              </w:rPr>
              <w:t>Textiles, clothing and footwear</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169</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31</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340"/>
              <w:jc w:val="left"/>
              <w:rPr>
                <w:rFonts w:ascii="Arial" w:hAnsi="Arial" w:cs="Arial"/>
                <w:sz w:val="16"/>
                <w:szCs w:val="16"/>
              </w:rPr>
            </w:pPr>
            <w:r w:rsidRPr="00FE17FC">
              <w:rPr>
                <w:rFonts w:ascii="Arial" w:hAnsi="Arial" w:cs="Arial"/>
                <w:sz w:val="16"/>
                <w:szCs w:val="16"/>
              </w:rPr>
              <w:t>Passenger motor vehicles</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400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369</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31</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340"/>
              <w:jc w:val="left"/>
              <w:rPr>
                <w:rFonts w:ascii="Arial" w:hAnsi="Arial" w:cs="Arial"/>
                <w:sz w:val="16"/>
                <w:szCs w:val="16"/>
              </w:rPr>
            </w:pPr>
            <w:r w:rsidRPr="00FE17FC">
              <w:rPr>
                <w:rFonts w:ascii="Arial" w:hAnsi="Arial" w:cs="Arial"/>
                <w:sz w:val="16"/>
                <w:szCs w:val="16"/>
              </w:rPr>
              <w:t>Other imports</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1,260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1,143</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117</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i/>
                <w:iCs/>
                <w:sz w:val="16"/>
                <w:szCs w:val="16"/>
              </w:rPr>
            </w:pPr>
            <w:r w:rsidRPr="00FE17FC">
              <w:rPr>
                <w:rFonts w:ascii="Arial" w:hAnsi="Arial" w:cs="Arial"/>
                <w:i/>
                <w:iCs/>
                <w:sz w:val="16"/>
                <w:szCs w:val="16"/>
              </w:rPr>
              <w:t xml:space="preserve">less: </w:t>
            </w:r>
            <w:r w:rsidRPr="00FE17FC">
              <w:rPr>
                <w:rFonts w:ascii="Arial" w:hAnsi="Arial" w:cs="Arial"/>
                <w:iCs/>
                <w:sz w:val="16"/>
                <w:szCs w:val="16"/>
              </w:rPr>
              <w:t>Refunds and drawbacks</w:t>
            </w:r>
          </w:p>
        </w:tc>
        <w:tc>
          <w:tcPr>
            <w:tcW w:w="82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500</w:t>
            </w:r>
          </w:p>
        </w:tc>
        <w:tc>
          <w:tcPr>
            <w:tcW w:w="918"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669</w:t>
            </w:r>
          </w:p>
        </w:tc>
        <w:tc>
          <w:tcPr>
            <w:tcW w:w="76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169</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xml:space="preserve">Total excise and customs duty </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44,700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42,622</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2,078</w:t>
            </w:r>
          </w:p>
        </w:tc>
      </w:tr>
      <w:tr w:rsidR="00732420" w:rsidRPr="00FE17FC" w:rsidTr="00732420">
        <w:trPr>
          <w:trHeight w:hRule="exact" w:val="6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 </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Major bank levy</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1,610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1,639</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29</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Agricultural levies</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521</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469</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53</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Other taxes</w:t>
            </w:r>
          </w:p>
        </w:tc>
        <w:tc>
          <w:tcPr>
            <w:tcW w:w="82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7,144</w:t>
            </w:r>
          </w:p>
        </w:tc>
        <w:tc>
          <w:tcPr>
            <w:tcW w:w="918"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6,778</w:t>
            </w:r>
          </w:p>
        </w:tc>
        <w:tc>
          <w:tcPr>
            <w:tcW w:w="762"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366</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Indirect taxation revenue</w:t>
            </w:r>
          </w:p>
        </w:tc>
        <w:tc>
          <w:tcPr>
            <w:tcW w:w="82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122,985</w:t>
            </w:r>
          </w:p>
        </w:tc>
        <w:tc>
          <w:tcPr>
            <w:tcW w:w="918"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118,467</w:t>
            </w:r>
          </w:p>
        </w:tc>
        <w:tc>
          <w:tcPr>
            <w:tcW w:w="762"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4,518</w:t>
            </w:r>
          </w:p>
        </w:tc>
      </w:tr>
      <w:tr w:rsidR="00732420" w:rsidRPr="00FE17FC" w:rsidTr="00732420">
        <w:trPr>
          <w:trHeight w:hRule="exact" w:val="6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 </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Taxation revenue</w:t>
            </w:r>
          </w:p>
        </w:tc>
        <w:tc>
          <w:tcPr>
            <w:tcW w:w="82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472,815</w:t>
            </w:r>
          </w:p>
        </w:tc>
        <w:tc>
          <w:tcPr>
            <w:tcW w:w="918"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447,526</w:t>
            </w:r>
          </w:p>
        </w:tc>
        <w:tc>
          <w:tcPr>
            <w:tcW w:w="762"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25,288</w:t>
            </w:r>
          </w:p>
        </w:tc>
      </w:tr>
      <w:tr w:rsidR="00732420" w:rsidRPr="00FE17FC" w:rsidTr="00732420">
        <w:trPr>
          <w:trHeight w:hRule="exact" w:val="6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 </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Sales of goods and services</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14,980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14,789</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191</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Interest</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5,247</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3,689</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1,559</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Dividends</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6,383</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8,367</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1,984</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Other non</w:t>
            </w:r>
            <w:r w:rsidR="00A7636B" w:rsidRPr="00FE17FC">
              <w:rPr>
                <w:rFonts w:ascii="Arial" w:hAnsi="Arial" w:cs="Arial"/>
                <w:sz w:val="16"/>
                <w:szCs w:val="16"/>
              </w:rPr>
              <w:noBreakHyphen/>
            </w:r>
            <w:r w:rsidRPr="00FE17FC">
              <w:rPr>
                <w:rFonts w:ascii="Arial" w:hAnsi="Arial" w:cs="Arial"/>
                <w:sz w:val="16"/>
                <w:szCs w:val="16"/>
              </w:rPr>
              <w:t>taxation revenue</w:t>
            </w:r>
          </w:p>
        </w:tc>
        <w:tc>
          <w:tcPr>
            <w:tcW w:w="82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11,723</w:t>
            </w:r>
          </w:p>
        </w:tc>
        <w:tc>
          <w:tcPr>
            <w:tcW w:w="918"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11,907</w:t>
            </w:r>
          </w:p>
        </w:tc>
        <w:tc>
          <w:tcPr>
            <w:tcW w:w="76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184</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Non</w:t>
            </w:r>
            <w:r w:rsidR="00A7636B" w:rsidRPr="00FE17FC">
              <w:rPr>
                <w:rFonts w:ascii="Arial" w:hAnsi="Arial" w:cs="Arial"/>
                <w:b/>
                <w:bCs/>
                <w:sz w:val="16"/>
                <w:szCs w:val="16"/>
              </w:rPr>
              <w:noBreakHyphen/>
            </w:r>
            <w:r w:rsidRPr="00FE17FC">
              <w:rPr>
                <w:rFonts w:ascii="Arial" w:hAnsi="Arial" w:cs="Arial"/>
                <w:b/>
                <w:bCs/>
                <w:sz w:val="16"/>
                <w:szCs w:val="16"/>
              </w:rPr>
              <w:t>taxation revenue</w:t>
            </w:r>
          </w:p>
        </w:tc>
        <w:tc>
          <w:tcPr>
            <w:tcW w:w="82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38,333</w:t>
            </w:r>
          </w:p>
        </w:tc>
        <w:tc>
          <w:tcPr>
            <w:tcW w:w="918"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38,752</w:t>
            </w:r>
          </w:p>
        </w:tc>
        <w:tc>
          <w:tcPr>
            <w:tcW w:w="762"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418</w:t>
            </w:r>
          </w:p>
        </w:tc>
      </w:tr>
      <w:tr w:rsidR="00732420" w:rsidRPr="00FE17FC" w:rsidTr="00732420">
        <w:trPr>
          <w:trHeight w:hRule="exact" w:val="6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 </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r>
      <w:tr w:rsidR="00732420" w:rsidRPr="00FE17FC" w:rsidTr="00732420">
        <w:trPr>
          <w:trHeight w:hRule="exact" w:val="210"/>
        </w:trPr>
        <w:tc>
          <w:tcPr>
            <w:tcW w:w="2495"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Total revenue</w:t>
            </w:r>
          </w:p>
        </w:tc>
        <w:tc>
          <w:tcPr>
            <w:tcW w:w="82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511,148</w:t>
            </w:r>
          </w:p>
        </w:tc>
        <w:tc>
          <w:tcPr>
            <w:tcW w:w="918"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486,278</w:t>
            </w:r>
          </w:p>
        </w:tc>
        <w:tc>
          <w:tcPr>
            <w:tcW w:w="762"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24,870</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i/>
                <w:iCs/>
                <w:sz w:val="16"/>
                <w:szCs w:val="16"/>
              </w:rPr>
            </w:pPr>
            <w:r w:rsidRPr="00FE17FC">
              <w:rPr>
                <w:rFonts w:ascii="Arial" w:hAnsi="Arial" w:cs="Arial"/>
                <w:i/>
                <w:iCs/>
                <w:sz w:val="16"/>
                <w:szCs w:val="16"/>
              </w:rPr>
              <w:t>Memorandum:</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i/>
                <w:iCs/>
                <w:sz w:val="16"/>
                <w:szCs w:val="16"/>
              </w:rPr>
            </w:pPr>
            <w:r w:rsidRPr="00FE17FC">
              <w:rPr>
                <w:rFonts w:ascii="Arial" w:hAnsi="Arial" w:cs="Arial"/>
                <w:i/>
                <w:iCs/>
                <w:sz w:val="16"/>
                <w:szCs w:val="16"/>
              </w:rPr>
              <w:t> </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i/>
                <w:iCs/>
                <w:sz w:val="16"/>
                <w:szCs w:val="16"/>
              </w:rPr>
            </w:pPr>
            <w:r w:rsidRPr="00FE17FC">
              <w:rPr>
                <w:rFonts w:ascii="Arial" w:hAnsi="Arial" w:cs="Arial"/>
                <w:i/>
                <w:iCs/>
                <w:sz w:val="16"/>
                <w:szCs w:val="16"/>
              </w:rPr>
              <w:t> </w:t>
            </w:r>
          </w:p>
        </w:tc>
        <w:tc>
          <w:tcPr>
            <w:tcW w:w="762"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i/>
                <w:iCs/>
                <w:sz w:val="16"/>
                <w:szCs w:val="16"/>
              </w:rPr>
            </w:pPr>
            <w:r w:rsidRPr="00FE17FC">
              <w:rPr>
                <w:rFonts w:ascii="Arial" w:hAnsi="Arial" w:cs="Arial"/>
                <w:i/>
                <w:iCs/>
                <w:sz w:val="16"/>
                <w:szCs w:val="16"/>
              </w:rPr>
              <w:t> </w:t>
            </w:r>
          </w:p>
        </w:tc>
      </w:tr>
      <w:tr w:rsidR="00732420" w:rsidRPr="00FE17FC" w:rsidTr="00732420">
        <w:trPr>
          <w:trHeight w:hRule="exact" w:val="210"/>
        </w:trPr>
        <w:tc>
          <w:tcPr>
            <w:tcW w:w="2495"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i/>
                <w:iCs/>
                <w:sz w:val="16"/>
                <w:szCs w:val="16"/>
              </w:rPr>
            </w:pPr>
            <w:r w:rsidRPr="00FE17FC">
              <w:rPr>
                <w:rFonts w:ascii="Arial" w:hAnsi="Arial" w:cs="Arial"/>
                <w:i/>
                <w:iCs/>
                <w:sz w:val="16"/>
                <w:szCs w:val="16"/>
              </w:rPr>
              <w:t>Total excise</w:t>
            </w:r>
          </w:p>
        </w:tc>
        <w:tc>
          <w:tcPr>
            <w:tcW w:w="82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i/>
                <w:iCs/>
                <w:sz w:val="16"/>
                <w:szCs w:val="16"/>
              </w:rPr>
            </w:pPr>
            <w:r w:rsidRPr="00FE17FC">
              <w:rPr>
                <w:rFonts w:ascii="Arial" w:hAnsi="Arial" w:cs="Arial"/>
                <w:i/>
                <w:iCs/>
                <w:sz w:val="16"/>
                <w:szCs w:val="16"/>
              </w:rPr>
              <w:t>23,900</w:t>
            </w:r>
          </w:p>
        </w:tc>
        <w:tc>
          <w:tcPr>
            <w:tcW w:w="918"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i/>
                <w:iCs/>
                <w:sz w:val="16"/>
                <w:szCs w:val="16"/>
              </w:rPr>
            </w:pPr>
            <w:r w:rsidRPr="00FE17FC">
              <w:rPr>
                <w:rFonts w:ascii="Arial" w:hAnsi="Arial" w:cs="Arial"/>
                <w:i/>
                <w:iCs/>
                <w:sz w:val="16"/>
                <w:szCs w:val="16"/>
              </w:rPr>
              <w:t>23,116</w:t>
            </w:r>
          </w:p>
        </w:tc>
        <w:tc>
          <w:tcPr>
            <w:tcW w:w="762"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i/>
                <w:iCs/>
                <w:sz w:val="16"/>
                <w:szCs w:val="16"/>
              </w:rPr>
            </w:pPr>
            <w:r w:rsidRPr="00FE17FC">
              <w:rPr>
                <w:rFonts w:ascii="Arial" w:hAnsi="Arial" w:cs="Arial"/>
                <w:i/>
                <w:iCs/>
                <w:sz w:val="16"/>
                <w:szCs w:val="16"/>
              </w:rPr>
              <w:noBreakHyphen/>
            </w:r>
            <w:r w:rsidR="00732420" w:rsidRPr="00FE17FC">
              <w:rPr>
                <w:rFonts w:ascii="Arial" w:hAnsi="Arial" w:cs="Arial"/>
                <w:i/>
                <w:iCs/>
                <w:sz w:val="16"/>
                <w:szCs w:val="16"/>
              </w:rPr>
              <w:t>784</w:t>
            </w:r>
          </w:p>
        </w:tc>
      </w:tr>
      <w:tr w:rsidR="00732420" w:rsidRPr="00FE17FC" w:rsidTr="00732420">
        <w:trPr>
          <w:trHeight w:hRule="exact" w:val="210"/>
        </w:trPr>
        <w:tc>
          <w:tcPr>
            <w:tcW w:w="2495"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i/>
                <w:iCs/>
                <w:sz w:val="16"/>
                <w:szCs w:val="16"/>
              </w:rPr>
            </w:pPr>
            <w:r w:rsidRPr="00FE17FC">
              <w:rPr>
                <w:rFonts w:ascii="Arial" w:hAnsi="Arial" w:cs="Arial"/>
                <w:i/>
                <w:iCs/>
                <w:sz w:val="16"/>
                <w:szCs w:val="16"/>
              </w:rPr>
              <w:t>Total customs duty</w:t>
            </w:r>
          </w:p>
        </w:tc>
        <w:tc>
          <w:tcPr>
            <w:tcW w:w="82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i/>
                <w:iCs/>
                <w:sz w:val="16"/>
                <w:szCs w:val="16"/>
              </w:rPr>
            </w:pPr>
            <w:r w:rsidRPr="00FE17FC">
              <w:rPr>
                <w:rFonts w:ascii="Arial" w:hAnsi="Arial" w:cs="Arial"/>
                <w:i/>
                <w:iCs/>
                <w:sz w:val="16"/>
                <w:szCs w:val="16"/>
              </w:rPr>
              <w:t>20,800</w:t>
            </w:r>
          </w:p>
        </w:tc>
        <w:tc>
          <w:tcPr>
            <w:tcW w:w="918"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i/>
                <w:iCs/>
                <w:sz w:val="16"/>
                <w:szCs w:val="16"/>
              </w:rPr>
            </w:pPr>
            <w:r w:rsidRPr="00FE17FC">
              <w:rPr>
                <w:rFonts w:ascii="Arial" w:hAnsi="Arial" w:cs="Arial"/>
                <w:i/>
                <w:iCs/>
                <w:sz w:val="16"/>
                <w:szCs w:val="16"/>
              </w:rPr>
              <w:t>19,507</w:t>
            </w:r>
          </w:p>
        </w:tc>
        <w:tc>
          <w:tcPr>
            <w:tcW w:w="762"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i/>
                <w:iCs/>
                <w:sz w:val="16"/>
                <w:szCs w:val="16"/>
              </w:rPr>
            </w:pPr>
            <w:r w:rsidRPr="00FE17FC">
              <w:rPr>
                <w:rFonts w:ascii="Arial" w:hAnsi="Arial" w:cs="Arial"/>
                <w:i/>
                <w:iCs/>
                <w:sz w:val="16"/>
                <w:szCs w:val="16"/>
              </w:rPr>
              <w:noBreakHyphen/>
            </w:r>
            <w:r w:rsidR="00732420" w:rsidRPr="00FE17FC">
              <w:rPr>
                <w:rFonts w:ascii="Arial" w:hAnsi="Arial" w:cs="Arial"/>
                <w:i/>
                <w:iCs/>
                <w:sz w:val="16"/>
                <w:szCs w:val="16"/>
              </w:rPr>
              <w:t>1,293</w:t>
            </w:r>
          </w:p>
        </w:tc>
      </w:tr>
    </w:tbl>
    <w:p w:rsidR="00363E4D" w:rsidRPr="00FE17FC" w:rsidRDefault="00732420" w:rsidP="00732420">
      <w:pPr>
        <w:pStyle w:val="ChartandTableFootnoteAlpha"/>
        <w:numPr>
          <w:ilvl w:val="0"/>
          <w:numId w:val="42"/>
        </w:numPr>
      </w:pPr>
      <w:r w:rsidRPr="00FE17FC">
        <w:rPr>
          <w:rFonts w:cs="Arial"/>
        </w:rPr>
        <w:fldChar w:fldCharType="end"/>
      </w:r>
      <w:r w:rsidR="00363E4D" w:rsidRPr="00FE17FC">
        <w:t xml:space="preserve">This item includes an amount of MRRT revenue which has not been separately disclosed owing to taxpayer confidentiality. </w:t>
      </w:r>
    </w:p>
    <w:p w:rsidR="00363E4D" w:rsidRPr="00FE17FC" w:rsidRDefault="00A7636B" w:rsidP="00363E4D">
      <w:pPr>
        <w:pStyle w:val="ChartandTableFootnoteAlpha"/>
        <w:keepNext/>
      </w:pPr>
      <w:r w:rsidRPr="00FE17FC">
        <w:t>‘</w:t>
      </w:r>
      <w:r w:rsidR="00363E4D" w:rsidRPr="00FE17FC">
        <w:t>Other alcoholic beverages</w:t>
      </w:r>
      <w:r w:rsidRPr="00FE17FC">
        <w:t>’</w:t>
      </w:r>
      <w:r w:rsidR="00363E4D" w:rsidRPr="00FE17FC">
        <w:t xml:space="preserve"> are those not exceeding 10 per cent by volume of alcohol (excluding beer, brandy and wine).</w:t>
      </w:r>
    </w:p>
    <w:p w:rsidR="00A31CA0" w:rsidRPr="00FE17FC" w:rsidRDefault="00A31CA0" w:rsidP="001C6531">
      <w:pPr>
        <w:pStyle w:val="Heading3"/>
      </w:pPr>
      <w:r w:rsidRPr="00FE17FC">
        <w:br w:type="page"/>
      </w:r>
      <w:r w:rsidRPr="00FE17FC">
        <w:lastRenderedPageBreak/>
        <w:t>Expenses and net capital investment</w:t>
      </w:r>
    </w:p>
    <w:p w:rsidR="008E3F9C" w:rsidRPr="00FE17FC" w:rsidRDefault="00D66324" w:rsidP="008E3F9C">
      <w:r w:rsidRPr="00FE17FC">
        <w:t>Total expenses were $578.5</w:t>
      </w:r>
      <w:r w:rsidR="008E3F9C" w:rsidRPr="00FE17FC">
        <w:t xml:space="preserve"> bil</w:t>
      </w:r>
      <w:r w:rsidRPr="00FE17FC">
        <w:t>lion in 2019</w:t>
      </w:r>
      <w:r w:rsidR="00A7636B" w:rsidRPr="00FE17FC">
        <w:noBreakHyphen/>
      </w:r>
      <w:r w:rsidRPr="00FE17FC">
        <w:t>20, $75.4</w:t>
      </w:r>
      <w:r w:rsidR="008E3F9C" w:rsidRPr="00FE17FC">
        <w:t> billion higher than estimated at the time of the 2019</w:t>
      </w:r>
      <w:r w:rsidR="00A7636B" w:rsidRPr="00FE17FC">
        <w:noBreakHyphen/>
      </w:r>
      <w:r w:rsidR="008E3F9C" w:rsidRPr="00FE17FC">
        <w:t>20 MYEFO. Total net capital investment for 2019</w:t>
      </w:r>
      <w:r w:rsidR="00A7636B" w:rsidRPr="00FE17FC">
        <w:noBreakHyphen/>
      </w:r>
      <w:r w:rsidR="008E3F9C" w:rsidRPr="00FE17FC">
        <w:t>20 was $</w:t>
      </w:r>
      <w:r w:rsidRPr="00FE17FC">
        <w:t xml:space="preserve">4.0 billion, $0.2 </w:t>
      </w:r>
      <w:r w:rsidR="008E3F9C" w:rsidRPr="00FE17FC">
        <w:t xml:space="preserve">billion </w:t>
      </w:r>
      <w:r w:rsidRPr="00FE17FC">
        <w:t>lower</w:t>
      </w:r>
      <w:r w:rsidR="008E3F9C" w:rsidRPr="00FE17FC">
        <w:t xml:space="preserve"> than the estimate of $4.2 billion at the time of the 2019</w:t>
      </w:r>
      <w:r w:rsidR="00A7636B" w:rsidRPr="00FE17FC">
        <w:noBreakHyphen/>
      </w:r>
      <w:r w:rsidR="008E3F9C" w:rsidRPr="00FE17FC">
        <w:t>20 MYEFO. This results in a higher</w:t>
      </w:r>
      <w:r w:rsidR="00A7636B" w:rsidRPr="00FE17FC">
        <w:noBreakHyphen/>
      </w:r>
      <w:r w:rsidR="008E3F9C" w:rsidRPr="00FE17FC">
        <w:t>than</w:t>
      </w:r>
      <w:r w:rsidR="00A7636B" w:rsidRPr="00FE17FC">
        <w:noBreakHyphen/>
      </w:r>
      <w:r w:rsidR="008E3F9C" w:rsidRPr="00FE17FC">
        <w:t>estimated net outcome for expenses and net capital investment of $58</w:t>
      </w:r>
      <w:r w:rsidR="001519DB" w:rsidRPr="00FE17FC">
        <w:t>2</w:t>
      </w:r>
      <w:r w:rsidR="008E3F9C" w:rsidRPr="00FE17FC">
        <w:t>.6 billion.</w:t>
      </w:r>
    </w:p>
    <w:p w:rsidR="008E3F9C" w:rsidRPr="00FE17FC" w:rsidRDefault="008E3F9C" w:rsidP="008E3F9C">
      <w:r w:rsidRPr="00FE17FC">
        <w:t>In com</w:t>
      </w:r>
      <w:r w:rsidR="00D66324" w:rsidRPr="00FE17FC">
        <w:t>parison, cash payments were $549.6 billion in 2019</w:t>
      </w:r>
      <w:r w:rsidR="00A7636B" w:rsidRPr="00FE17FC">
        <w:noBreakHyphen/>
      </w:r>
      <w:r w:rsidR="00D66324" w:rsidRPr="00FE17FC">
        <w:t>20, $57.7</w:t>
      </w:r>
      <w:r w:rsidRPr="00FE17FC">
        <w:t> billion higher than estimated at the time of the 2019</w:t>
      </w:r>
      <w:r w:rsidR="00A7636B" w:rsidRPr="00FE17FC">
        <w:noBreakHyphen/>
      </w:r>
      <w:r w:rsidRPr="00FE17FC">
        <w:t>20 MYEFO.</w:t>
      </w:r>
    </w:p>
    <w:p w:rsidR="008E3F9C" w:rsidRPr="00FE17FC" w:rsidRDefault="00635944" w:rsidP="008E3F9C">
      <w:r w:rsidRPr="00FE17FC">
        <w:t xml:space="preserve">The difference of $32.9 billion </w:t>
      </w:r>
      <w:r w:rsidR="008E3F9C" w:rsidRPr="00FE17FC">
        <w:t xml:space="preserve">between the net outcome for expenses and net capital investment and the outcome for cash payments is primarily due to timing differences in the accounting treatment of expenses and the associated cash flow, including for the July </w:t>
      </w:r>
      <w:r w:rsidR="00AE41CC" w:rsidRPr="00FE17FC">
        <w:t>U</w:t>
      </w:r>
      <w:r w:rsidR="00CC1246" w:rsidRPr="00FE17FC">
        <w:t xml:space="preserve">pdate </w:t>
      </w:r>
      <w:r w:rsidR="008E3F9C" w:rsidRPr="00FE17FC">
        <w:t xml:space="preserve">measures </w:t>
      </w:r>
      <w:proofErr w:type="spellStart"/>
      <w:r w:rsidR="008E3F9C" w:rsidRPr="00FE17FC">
        <w:rPr>
          <w:i/>
        </w:rPr>
        <w:t>JobKeeper</w:t>
      </w:r>
      <w:proofErr w:type="spellEnd"/>
      <w:r w:rsidR="008E3F9C" w:rsidRPr="00FE17FC">
        <w:rPr>
          <w:i/>
        </w:rPr>
        <w:t xml:space="preserve"> Payment</w:t>
      </w:r>
      <w:r w:rsidR="008E3F9C" w:rsidRPr="00FE17FC">
        <w:t xml:space="preserve"> and </w:t>
      </w:r>
      <w:r w:rsidR="008E3F9C" w:rsidRPr="00FE17FC">
        <w:rPr>
          <w:i/>
        </w:rPr>
        <w:t>Boosting cash flow for employers</w:t>
      </w:r>
      <w:r w:rsidR="008E3F9C" w:rsidRPr="00FE17FC">
        <w:t xml:space="preserve"> and programs such as the Government superannuation schemes.</w:t>
      </w:r>
    </w:p>
    <w:p w:rsidR="008E3F9C" w:rsidRPr="00FE17FC" w:rsidRDefault="008E3F9C" w:rsidP="008E3F9C">
      <w:r w:rsidRPr="00FE17FC">
        <w:t>Further information on expenses by function and sub</w:t>
      </w:r>
      <w:r w:rsidR="00A7636B" w:rsidRPr="00FE17FC">
        <w:noBreakHyphen/>
      </w:r>
      <w:r w:rsidRPr="00FE17FC">
        <w:t>function is provided in Appendix A.</w:t>
      </w:r>
    </w:p>
    <w:p w:rsidR="00732420" w:rsidRPr="00FE17FC" w:rsidRDefault="00A31CA0" w:rsidP="00B667CA">
      <w:pPr>
        <w:pStyle w:val="TableHeading"/>
        <w:rPr>
          <w:b w:val="0"/>
        </w:rPr>
      </w:pPr>
      <w:r w:rsidRPr="00FE17FC">
        <w:rPr>
          <w:b w:val="0"/>
        </w:rPr>
        <w:br w:type="page"/>
      </w:r>
      <w:r w:rsidRPr="00FE17FC">
        <w:rPr>
          <w:rFonts w:cs="Arial"/>
        </w:rPr>
        <w:lastRenderedPageBreak/>
        <w:t xml:space="preserve">Table </w:t>
      </w:r>
      <w:r w:rsidR="007432C2" w:rsidRPr="00FE17FC">
        <w:rPr>
          <w:rFonts w:cs="Arial"/>
        </w:rPr>
        <w:t>6</w:t>
      </w:r>
      <w:r w:rsidRPr="00FE17FC">
        <w:rPr>
          <w:rFonts w:cs="Arial"/>
        </w:rPr>
        <w:t>: Australian Government general governm</w:t>
      </w:r>
      <w:r w:rsidR="00B667CA" w:rsidRPr="00FE17FC">
        <w:rPr>
          <w:rFonts w:cs="Arial"/>
        </w:rPr>
        <w:t>ent sector expenses by function</w:t>
      </w:r>
      <w:r w:rsidR="00732420" w:rsidRPr="00FE17FC">
        <w:rPr>
          <w:rFonts w:cs="Arial"/>
        </w:rPr>
        <w:fldChar w:fldCharType="begin" w:fldLock="1"/>
      </w:r>
      <w:r w:rsidR="00732420" w:rsidRPr="00FE17FC">
        <w:rPr>
          <w:rFonts w:cs="Arial"/>
        </w:rPr>
        <w:instrText xml:space="preserve"> LINK Excel.SheetMacroEnabled.12 "\\\\budget.gov\\budget_shares\\Budget$\\2019-20 FBO\\01 Outcomes\\02 Outcomes charts and tables\\Final FARM tables formatted.xlsm" "Table 6!R3C11:R49C16" \a \f 4 \h </w:instrText>
      </w:r>
      <w:r w:rsidR="00732420" w:rsidRPr="00FE17FC">
        <w:rPr>
          <w:rFonts w:cs="Arial"/>
        </w:rPr>
        <w:fldChar w:fldCharType="separate"/>
      </w:r>
    </w:p>
    <w:tbl>
      <w:tblPr>
        <w:tblW w:w="5000" w:type="pct"/>
        <w:tblLook w:val="04A0" w:firstRow="1" w:lastRow="0" w:firstColumn="1" w:lastColumn="0" w:noHBand="0" w:noVBand="1"/>
      </w:tblPr>
      <w:tblGrid>
        <w:gridCol w:w="4653"/>
        <w:gridCol w:w="1017"/>
        <w:gridCol w:w="906"/>
        <w:gridCol w:w="1134"/>
      </w:tblGrid>
      <w:tr w:rsidR="00732420" w:rsidRPr="00FE17FC" w:rsidTr="00732420">
        <w:trPr>
          <w:trHeight w:hRule="exact" w:val="225"/>
        </w:trPr>
        <w:tc>
          <w:tcPr>
            <w:tcW w:w="3041" w:type="pct"/>
            <w:tcBorders>
              <w:top w:val="single" w:sz="4" w:space="0" w:color="000000"/>
              <w:left w:val="nil"/>
              <w:bottom w:val="nil"/>
              <w:right w:val="nil"/>
            </w:tcBorders>
            <w:shd w:val="clear" w:color="000000" w:fill="FFFFFF"/>
            <w:noWrap/>
            <w:vAlign w:val="center"/>
            <w:hideMark/>
          </w:tcPr>
          <w:p w:rsidR="00732420" w:rsidRPr="00FE17FC" w:rsidRDefault="00732420" w:rsidP="000F3274">
            <w:pPr>
              <w:spacing w:after="0" w:line="240" w:lineRule="auto"/>
              <w:rPr>
                <w:rFonts w:ascii="Arial" w:hAnsi="Arial" w:cs="Arial"/>
                <w:sz w:val="16"/>
                <w:szCs w:val="16"/>
              </w:rPr>
            </w:pPr>
            <w:r w:rsidRPr="00FE17FC">
              <w:rPr>
                <w:rFonts w:ascii="Arial" w:hAnsi="Arial" w:cs="Arial"/>
                <w:sz w:val="16"/>
                <w:szCs w:val="16"/>
              </w:rPr>
              <w:t> </w:t>
            </w:r>
          </w:p>
        </w:tc>
        <w:tc>
          <w:tcPr>
            <w:tcW w:w="591" w:type="pct"/>
            <w:tcBorders>
              <w:top w:val="single" w:sz="4" w:space="0" w:color="000000"/>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610" w:type="pct"/>
            <w:tcBorders>
              <w:top w:val="single" w:sz="4" w:space="0" w:color="000000"/>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758" w:type="pct"/>
            <w:tcBorders>
              <w:top w:val="single" w:sz="4" w:space="0" w:color="000000"/>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Change on</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Estimate at</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Outcome</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58"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MYEFO</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MYEFO</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58"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591"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w:t>
            </w:r>
          </w:p>
        </w:tc>
        <w:tc>
          <w:tcPr>
            <w:tcW w:w="610"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w:t>
            </w:r>
          </w:p>
        </w:tc>
        <w:tc>
          <w:tcPr>
            <w:tcW w:w="758"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General public services</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color w:val="33CCCC"/>
                <w:sz w:val="16"/>
                <w:szCs w:val="16"/>
              </w:rPr>
            </w:pPr>
            <w:r w:rsidRPr="00FE17FC">
              <w:rPr>
                <w:rFonts w:ascii="Arial" w:hAnsi="Arial" w:cs="Arial"/>
                <w:color w:val="33CCCC"/>
                <w:sz w:val="16"/>
                <w:szCs w:val="16"/>
              </w:rPr>
              <w:t> </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Legislative and executive affairs</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1,355</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1,366</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11</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Financial and fiscal affairs</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7,275</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7,302</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26</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Foreign affairs and economic aid</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6,293</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6,270</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24</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General research</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3,177</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2,940</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237</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General services</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675</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855</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180</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Government superannuation benefits</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11,380</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10,739</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641</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Defence</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32,783</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33,187</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404</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Public order and safety</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5,966</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6,388</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422</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Education</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35,846</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39,885</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4,039</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Health</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83,425</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87,023</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3,599</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Social security and welfare</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180,782</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196,119</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15,336</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Housing and community amenities</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5,715</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5,332</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383</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Recreation and culture</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3,989</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3,971</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18</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Fuel and energy</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8,161</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7,892</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269</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Agriculture, forestry and fishing</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3,025</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2,584</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441</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Mining, manufacturing and construction</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3,073</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2,819</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254</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Transport and communication</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8,671</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7,321</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1,350</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Other economic affairs</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Tourism and area promotion</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173</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165</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8</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Labour and employment affairs</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3,587</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3,810</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223</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Immigration</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3,800</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3,488</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312</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 xml:space="preserve">Other economic affairs </w:t>
            </w:r>
            <w:proofErr w:type="spellStart"/>
            <w:r w:rsidRPr="00FE17FC">
              <w:rPr>
                <w:rFonts w:ascii="Arial" w:hAnsi="Arial" w:cs="Arial"/>
                <w:sz w:val="16"/>
                <w:szCs w:val="16"/>
              </w:rPr>
              <w:t>nec</w:t>
            </w:r>
            <w:proofErr w:type="spellEnd"/>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2,690</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58,030</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55,340</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Other purposes</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Public debt interest</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16,746</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16,923</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178</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Nominal superannuation interest</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7,715</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7,673</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42</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General purpose inter</w:t>
            </w:r>
            <w:r w:rsidR="00A7636B" w:rsidRPr="00FE17FC">
              <w:rPr>
                <w:rFonts w:ascii="Arial" w:hAnsi="Arial" w:cs="Arial"/>
                <w:sz w:val="16"/>
                <w:szCs w:val="16"/>
              </w:rPr>
              <w:noBreakHyphen/>
            </w:r>
            <w:r w:rsidRPr="00FE17FC">
              <w:rPr>
                <w:rFonts w:ascii="Arial" w:hAnsi="Arial" w:cs="Arial"/>
                <w:sz w:val="16"/>
                <w:szCs w:val="16"/>
              </w:rPr>
              <w:t>government transactions</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68,547</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64,603</w:t>
            </w:r>
          </w:p>
        </w:tc>
        <w:tc>
          <w:tcPr>
            <w:tcW w:w="758"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3,944</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Natural disaster relief</w:t>
            </w:r>
          </w:p>
        </w:tc>
        <w:tc>
          <w:tcPr>
            <w:tcW w:w="59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38</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1,863</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1,825</w:t>
            </w:r>
          </w:p>
        </w:tc>
      </w:tr>
      <w:tr w:rsidR="00732420" w:rsidRPr="00FE17FC" w:rsidTr="00732420">
        <w:trPr>
          <w:trHeight w:hRule="exact" w:val="225"/>
        </w:trPr>
        <w:tc>
          <w:tcPr>
            <w:tcW w:w="304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Contingency reserve</w:t>
            </w:r>
          </w:p>
        </w:tc>
        <w:tc>
          <w:tcPr>
            <w:tcW w:w="591"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1,707</w:t>
            </w:r>
          </w:p>
        </w:tc>
        <w:tc>
          <w:tcPr>
            <w:tcW w:w="610"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0</w:t>
            </w:r>
          </w:p>
        </w:tc>
        <w:tc>
          <w:tcPr>
            <w:tcW w:w="758"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1,707</w:t>
            </w:r>
          </w:p>
        </w:tc>
      </w:tr>
      <w:tr w:rsidR="00732420" w:rsidRPr="00FE17FC" w:rsidTr="00732420">
        <w:trPr>
          <w:trHeight w:hRule="exact" w:val="225"/>
        </w:trPr>
        <w:tc>
          <w:tcPr>
            <w:tcW w:w="3041"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Total expenses</w:t>
            </w:r>
          </w:p>
        </w:tc>
        <w:tc>
          <w:tcPr>
            <w:tcW w:w="591" w:type="pct"/>
            <w:tcBorders>
              <w:top w:val="single" w:sz="4" w:space="0" w:color="auto"/>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503,180</w:t>
            </w:r>
          </w:p>
        </w:tc>
        <w:tc>
          <w:tcPr>
            <w:tcW w:w="610" w:type="pct"/>
            <w:tcBorders>
              <w:top w:val="single" w:sz="4" w:space="0" w:color="auto"/>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578,549</w:t>
            </w:r>
          </w:p>
        </w:tc>
        <w:tc>
          <w:tcPr>
            <w:tcW w:w="758" w:type="pct"/>
            <w:tcBorders>
              <w:top w:val="single" w:sz="4" w:space="0" w:color="auto"/>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75,369</w:t>
            </w:r>
          </w:p>
        </w:tc>
      </w:tr>
    </w:tbl>
    <w:p w:rsidR="00052538" w:rsidRPr="00FE17FC" w:rsidRDefault="00732420" w:rsidP="00052538">
      <w:pPr>
        <w:pStyle w:val="SingleParagraph"/>
      </w:pPr>
      <w:r w:rsidRPr="00FE17FC">
        <w:fldChar w:fldCharType="end"/>
      </w:r>
    </w:p>
    <w:p w:rsidR="00A31CA0" w:rsidRPr="00FE17FC" w:rsidRDefault="00A31CA0" w:rsidP="00025872">
      <w:pPr>
        <w:pStyle w:val="Heading2"/>
      </w:pPr>
      <w:r w:rsidRPr="00FE17FC">
        <w:br w:type="page"/>
      </w:r>
      <w:r w:rsidR="005E1350">
        <w:lastRenderedPageBreak/>
        <w:t>Headline cash balance</w:t>
      </w:r>
    </w:p>
    <w:p w:rsidR="00A31CA0" w:rsidRPr="00FE17FC" w:rsidRDefault="00A31CA0" w:rsidP="00A31CA0">
      <w:pPr>
        <w:rPr>
          <w:rFonts w:eastAsia="Calibri"/>
        </w:rPr>
      </w:pPr>
      <w:r w:rsidRPr="00FE17FC">
        <w:rPr>
          <w:rFonts w:eastAsia="Calibri"/>
        </w:rPr>
        <w:t xml:space="preserve">The headline cash balance consists of the underlying cash balance, net cash flows from investments in financial assets for policy purposes (for example, </w:t>
      </w:r>
      <w:r w:rsidR="00A27C09" w:rsidRPr="00FE17FC">
        <w:rPr>
          <w:rFonts w:eastAsia="Calibri"/>
        </w:rPr>
        <w:t xml:space="preserve">student loans and </w:t>
      </w:r>
      <w:r w:rsidRPr="00FE17FC">
        <w:rPr>
          <w:rFonts w:eastAsia="Calibri"/>
        </w:rPr>
        <w:t>a loan to NBN Co) and net Future Fund earnings.</w:t>
      </w:r>
    </w:p>
    <w:p w:rsidR="00A31CA0" w:rsidRPr="00FE17FC" w:rsidRDefault="006E2C95" w:rsidP="00A31CA0">
      <w:pPr>
        <w:rPr>
          <w:rFonts w:eastAsia="Calibri"/>
          <w:lang w:eastAsia="en-US"/>
        </w:rPr>
      </w:pPr>
      <w:r w:rsidRPr="00FE17FC">
        <w:rPr>
          <w:rFonts w:eastAsia="Calibri"/>
          <w:lang w:eastAsia="en-US"/>
        </w:rPr>
        <w:t>Table</w:t>
      </w:r>
      <w:r w:rsidR="00740433" w:rsidRPr="00FE17FC">
        <w:rPr>
          <w:rFonts w:eastAsia="Calibri"/>
          <w:lang w:eastAsia="en-US"/>
        </w:rPr>
        <w:t xml:space="preserve"> 7</w:t>
      </w:r>
      <w:r w:rsidR="00A31CA0" w:rsidRPr="00FE17FC">
        <w:rPr>
          <w:rFonts w:eastAsia="Calibri"/>
          <w:lang w:eastAsia="en-US"/>
        </w:rPr>
        <w:t xml:space="preserve"> provides further detail between the underlying and headline cash balance estimates of the Australian Government gene</w:t>
      </w:r>
      <w:r w:rsidRPr="00FE17FC">
        <w:rPr>
          <w:rFonts w:eastAsia="Calibri"/>
          <w:lang w:eastAsia="en-US"/>
        </w:rPr>
        <w:t>ral government sector in 2019</w:t>
      </w:r>
      <w:r w:rsidR="00A7636B" w:rsidRPr="00FE17FC">
        <w:rPr>
          <w:rFonts w:eastAsia="Calibri"/>
          <w:lang w:eastAsia="en-US"/>
        </w:rPr>
        <w:noBreakHyphen/>
      </w:r>
      <w:r w:rsidRPr="00FE17FC">
        <w:rPr>
          <w:rFonts w:eastAsia="Calibri"/>
          <w:lang w:eastAsia="en-US"/>
        </w:rPr>
        <w:t>20</w:t>
      </w:r>
      <w:r w:rsidR="00A31CA0" w:rsidRPr="00FE17FC">
        <w:rPr>
          <w:rFonts w:eastAsia="Calibri"/>
          <w:lang w:eastAsia="en-US"/>
        </w:rPr>
        <w:t>.</w:t>
      </w:r>
    </w:p>
    <w:p w:rsidR="000C5BAD" w:rsidRPr="00FE17FC" w:rsidRDefault="000C5BAD" w:rsidP="000C5BAD">
      <w:pPr>
        <w:rPr>
          <w:rFonts w:eastAsia="Calibri"/>
          <w:lang w:eastAsia="en-US"/>
        </w:rPr>
      </w:pPr>
      <w:r w:rsidRPr="00FE17FC">
        <w:rPr>
          <w:rFonts w:eastAsia="Calibri"/>
          <w:lang w:eastAsia="en-US"/>
        </w:rPr>
        <w:t>In 2019</w:t>
      </w:r>
      <w:r w:rsidR="00A7636B" w:rsidRPr="00FE17FC">
        <w:rPr>
          <w:rFonts w:eastAsia="Calibri"/>
          <w:lang w:eastAsia="en-US"/>
        </w:rPr>
        <w:noBreakHyphen/>
      </w:r>
      <w:r w:rsidRPr="00FE17FC">
        <w:rPr>
          <w:rFonts w:eastAsia="Calibri"/>
          <w:lang w:eastAsia="en-US"/>
        </w:rPr>
        <w:t>20, the headline cash deficit was $</w:t>
      </w:r>
      <w:r w:rsidR="00B506B0" w:rsidRPr="00FE17FC">
        <w:rPr>
          <w:rFonts w:eastAsia="Calibri"/>
          <w:lang w:eastAsia="en-US"/>
        </w:rPr>
        <w:t>93.9</w:t>
      </w:r>
      <w:r w:rsidRPr="00FE17FC">
        <w:rPr>
          <w:rFonts w:eastAsia="Calibri"/>
          <w:lang w:eastAsia="en-US"/>
        </w:rPr>
        <w:t xml:space="preserve"> billion compared with a deficit of </w:t>
      </w:r>
      <w:r w:rsidR="006432F6" w:rsidRPr="00FE17FC">
        <w:rPr>
          <w:rFonts w:eastAsia="Calibri"/>
          <w:lang w:eastAsia="en-US"/>
        </w:rPr>
        <w:t>$2.8</w:t>
      </w:r>
      <w:r w:rsidR="00E92978" w:rsidRPr="00FE17FC">
        <w:rPr>
          <w:rFonts w:eastAsia="Calibri"/>
          <w:lang w:eastAsia="en-US"/>
        </w:rPr>
        <w:t> </w:t>
      </w:r>
      <w:r w:rsidRPr="00FE17FC">
        <w:rPr>
          <w:rFonts w:eastAsia="Calibri"/>
          <w:lang w:eastAsia="en-US"/>
        </w:rPr>
        <w:t>billion</w:t>
      </w:r>
      <w:r w:rsidR="007A22C8" w:rsidRPr="00FE17FC">
        <w:rPr>
          <w:rFonts w:eastAsia="Calibri"/>
          <w:lang w:eastAsia="en-US"/>
        </w:rPr>
        <w:t xml:space="preserve"> estimated</w:t>
      </w:r>
      <w:r w:rsidRPr="00FE17FC">
        <w:rPr>
          <w:rFonts w:eastAsia="Calibri"/>
          <w:lang w:eastAsia="en-US"/>
        </w:rPr>
        <w:t xml:space="preserve"> at the time of the 2019</w:t>
      </w:r>
      <w:r w:rsidR="00A7636B" w:rsidRPr="00FE17FC">
        <w:rPr>
          <w:rFonts w:eastAsia="Calibri"/>
          <w:lang w:eastAsia="en-US"/>
        </w:rPr>
        <w:noBreakHyphen/>
      </w:r>
      <w:r w:rsidRPr="00FE17FC">
        <w:rPr>
          <w:rFonts w:eastAsia="Calibri"/>
          <w:lang w:eastAsia="en-US"/>
        </w:rPr>
        <w:t xml:space="preserve">20 MYEFO. The deterioration in the headline cash balance was primarily driven by the dramatic change </w:t>
      </w:r>
      <w:r w:rsidR="006432F6" w:rsidRPr="00FE17FC">
        <w:rPr>
          <w:rFonts w:eastAsia="Calibri"/>
          <w:lang w:eastAsia="en-US"/>
        </w:rPr>
        <w:t xml:space="preserve">in </w:t>
      </w:r>
      <w:r w:rsidRPr="00FE17FC">
        <w:rPr>
          <w:rFonts w:eastAsia="Calibri"/>
          <w:lang w:eastAsia="en-US"/>
        </w:rPr>
        <w:t xml:space="preserve">the underlying cash balance reflecting the </w:t>
      </w:r>
      <w:r w:rsidRPr="00FE17FC">
        <w:t>response to and effects of the COVID</w:t>
      </w:r>
      <w:r w:rsidR="00A7636B" w:rsidRPr="00FE17FC">
        <w:noBreakHyphen/>
      </w:r>
      <w:r w:rsidRPr="00FE17FC">
        <w:t>19 pandemic</w:t>
      </w:r>
      <w:r w:rsidRPr="00FE17FC">
        <w:rPr>
          <w:rFonts w:eastAsia="Calibri"/>
          <w:lang w:eastAsia="en-US"/>
        </w:rPr>
        <w:t>.</w:t>
      </w:r>
    </w:p>
    <w:p w:rsidR="00732420" w:rsidRPr="00FE17FC" w:rsidRDefault="00A31CA0" w:rsidP="00BB1505">
      <w:pPr>
        <w:pStyle w:val="TableHeading"/>
        <w:spacing w:after="0"/>
        <w:rPr>
          <w:rFonts w:cs="Arial"/>
        </w:rPr>
      </w:pPr>
      <w:r w:rsidRPr="00FE17FC">
        <w:rPr>
          <w:rFonts w:cs="Arial"/>
        </w:rPr>
        <w:t xml:space="preserve">Table </w:t>
      </w:r>
      <w:r w:rsidR="008822F9" w:rsidRPr="00FE17FC">
        <w:rPr>
          <w:rFonts w:cs="Arial"/>
        </w:rPr>
        <w:t>7</w:t>
      </w:r>
      <w:r w:rsidRPr="00FE17FC">
        <w:rPr>
          <w:rFonts w:cs="Arial"/>
        </w:rPr>
        <w:t>: Australian Government general government sector reconciliation of unde</w:t>
      </w:r>
      <w:r w:rsidR="00E5106C" w:rsidRPr="00FE17FC">
        <w:rPr>
          <w:rFonts w:cs="Arial"/>
        </w:rPr>
        <w:t>rlying and headline cash balance</w:t>
      </w:r>
      <w:r w:rsidR="00732420" w:rsidRPr="00FE17FC">
        <w:rPr>
          <w:rFonts w:cs="Arial"/>
        </w:rPr>
        <w:fldChar w:fldCharType="begin" w:fldLock="1"/>
      </w:r>
      <w:r w:rsidR="00732420" w:rsidRPr="00FE17FC">
        <w:rPr>
          <w:rFonts w:cs="Arial"/>
        </w:rPr>
        <w:instrText xml:space="preserve"> LINK Excel.SheetMacroEnabled.12 "\\\\budget.gov\\budget_shares\\Budget$\\2019-20 FBO\\01 Outcomes\\02 Outcomes charts and tables\\Final FARM tables formatted.xlsm" "Table 7!R3C11:R33C17" \a \f 4 \h </w:instrText>
      </w:r>
      <w:r w:rsidR="00732420" w:rsidRPr="00FE17FC">
        <w:rPr>
          <w:rFonts w:cs="Arial"/>
        </w:rPr>
        <w:fldChar w:fldCharType="separate"/>
      </w:r>
    </w:p>
    <w:tbl>
      <w:tblPr>
        <w:tblW w:w="5000" w:type="pct"/>
        <w:tblLook w:val="04A0" w:firstRow="1" w:lastRow="0" w:firstColumn="1" w:lastColumn="0" w:noHBand="0" w:noVBand="1"/>
      </w:tblPr>
      <w:tblGrid>
        <w:gridCol w:w="4815"/>
        <w:gridCol w:w="1017"/>
        <w:gridCol w:w="879"/>
        <w:gridCol w:w="999"/>
      </w:tblGrid>
      <w:tr w:rsidR="00732420" w:rsidRPr="00FE17FC" w:rsidTr="00732420">
        <w:trPr>
          <w:trHeight w:hRule="exact" w:val="225"/>
        </w:trPr>
        <w:tc>
          <w:tcPr>
            <w:tcW w:w="3160" w:type="pct"/>
            <w:tcBorders>
              <w:top w:val="single" w:sz="4" w:space="0" w:color="000000"/>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single" w:sz="4" w:space="0" w:color="000000"/>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613" w:type="pct"/>
            <w:tcBorders>
              <w:top w:val="single" w:sz="4" w:space="0" w:color="000000"/>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613" w:type="pct"/>
            <w:tcBorders>
              <w:top w:val="single" w:sz="4" w:space="0" w:color="000000"/>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Change on</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Estimate at</w:t>
            </w:r>
          </w:p>
        </w:tc>
        <w:tc>
          <w:tcPr>
            <w:tcW w:w="613"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Outcome</w:t>
            </w:r>
          </w:p>
        </w:tc>
        <w:tc>
          <w:tcPr>
            <w:tcW w:w="61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613"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MYEFO</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MYEFO</w:t>
            </w:r>
          </w:p>
        </w:tc>
        <w:tc>
          <w:tcPr>
            <w:tcW w:w="613"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w:t>
            </w:r>
          </w:p>
        </w:tc>
        <w:tc>
          <w:tcPr>
            <w:tcW w:w="613"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w:t>
            </w:r>
          </w:p>
        </w:tc>
        <w:tc>
          <w:tcPr>
            <w:tcW w:w="613" w:type="pct"/>
            <w:tcBorders>
              <w:top w:val="nil"/>
              <w:left w:val="nil"/>
              <w:bottom w:val="single" w:sz="4" w:space="0" w:color="000000"/>
              <w:right w:val="nil"/>
            </w:tcBorders>
            <w:shd w:val="clear" w:color="000000" w:fill="FFFFFF"/>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2019</w:t>
            </w:r>
            <w:r w:rsidR="00A7636B" w:rsidRPr="00FE17FC">
              <w:rPr>
                <w:rFonts w:ascii="Arial" w:hAnsi="Arial" w:cs="Arial"/>
                <w:b/>
                <w:bCs/>
                <w:sz w:val="16"/>
                <w:szCs w:val="16"/>
              </w:rPr>
              <w:noBreakHyphen/>
            </w:r>
            <w:r w:rsidRPr="00FE17FC">
              <w:rPr>
                <w:rFonts w:ascii="Arial" w:hAnsi="Arial" w:cs="Arial"/>
                <w:b/>
                <w:bCs/>
                <w:sz w:val="16"/>
                <w:szCs w:val="16"/>
              </w:rPr>
              <w:t>20 Underlying cash balance(a)</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5,028</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85,272</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90,299</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b/>
                <w:bCs/>
                <w:i/>
                <w:iCs/>
                <w:sz w:val="16"/>
                <w:szCs w:val="16"/>
              </w:rPr>
            </w:pPr>
            <w:r w:rsidRPr="00FE17FC">
              <w:rPr>
                <w:rFonts w:ascii="Arial" w:hAnsi="Arial" w:cs="Arial"/>
                <w:b/>
                <w:bCs/>
                <w:i/>
                <w:iCs/>
                <w:sz w:val="16"/>
                <w:szCs w:val="16"/>
              </w:rPr>
              <w:t xml:space="preserve">plus </w:t>
            </w:r>
            <w:r w:rsidRPr="00FE17FC">
              <w:rPr>
                <w:rFonts w:ascii="Arial" w:hAnsi="Arial" w:cs="Arial"/>
                <w:b/>
                <w:bCs/>
                <w:sz w:val="16"/>
                <w:szCs w:val="16"/>
              </w:rPr>
              <w:t>Net cash flows from investments in financial assets</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E6E6E6"/>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b/>
                <w:bCs/>
                <w:sz w:val="16"/>
                <w:szCs w:val="16"/>
              </w:rPr>
            </w:pPr>
            <w:r w:rsidRPr="00FE17FC">
              <w:rPr>
                <w:rFonts w:ascii="Arial" w:hAnsi="Arial" w:cs="Arial"/>
                <w:b/>
                <w:bCs/>
                <w:sz w:val="16"/>
                <w:szCs w:val="16"/>
              </w:rPr>
              <w:t>for policy purposes</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E6E6E6"/>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Student loans</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3,901</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3,700</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NBN loan</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6,143</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6,405</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262</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proofErr w:type="spellStart"/>
            <w:r w:rsidRPr="00FE17FC">
              <w:rPr>
                <w:rFonts w:ascii="Arial" w:hAnsi="Arial" w:cs="Arial"/>
                <w:sz w:val="16"/>
                <w:szCs w:val="16"/>
              </w:rPr>
              <w:t>WestConnex</w:t>
            </w:r>
            <w:proofErr w:type="spellEnd"/>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85</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85</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0</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Asbestos removal in the ACT</w:t>
            </w:r>
            <w:r w:rsidR="00052538" w:rsidRPr="00FE17FC">
              <w:rPr>
                <w:rFonts w:ascii="Arial" w:hAnsi="Arial" w:cs="Arial"/>
                <w:sz w:val="16"/>
                <w:szCs w:val="16"/>
              </w:rPr>
              <w:t xml:space="preserve"> — </w:t>
            </w:r>
            <w:r w:rsidRPr="00FE17FC">
              <w:rPr>
                <w:rFonts w:ascii="Arial" w:hAnsi="Arial" w:cs="Arial"/>
                <w:sz w:val="16"/>
                <w:szCs w:val="16"/>
              </w:rPr>
              <w:t>Mr Fluffy loose fill</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E6E6E6"/>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340"/>
              <w:jc w:val="left"/>
              <w:rPr>
                <w:rFonts w:ascii="Arial" w:hAnsi="Arial" w:cs="Arial"/>
                <w:sz w:val="16"/>
                <w:szCs w:val="16"/>
              </w:rPr>
            </w:pPr>
            <w:r w:rsidRPr="00FE17FC">
              <w:rPr>
                <w:rFonts w:ascii="Arial" w:hAnsi="Arial" w:cs="Arial"/>
                <w:sz w:val="16"/>
                <w:szCs w:val="16"/>
              </w:rPr>
              <w:t>asbestos remediation</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900</w:t>
            </w:r>
          </w:p>
        </w:tc>
        <w:tc>
          <w:tcPr>
            <w:tcW w:w="613" w:type="pct"/>
            <w:tcBorders>
              <w:top w:val="nil"/>
              <w:left w:val="nil"/>
              <w:bottom w:val="nil"/>
              <w:right w:val="nil"/>
            </w:tcBorders>
            <w:shd w:val="clear" w:color="000000" w:fill="E6E6E6"/>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900</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0</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Trade support loans</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147</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148</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CEFC loans and investments</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769</w:t>
            </w:r>
          </w:p>
        </w:tc>
        <w:tc>
          <w:tcPr>
            <w:tcW w:w="613" w:type="pct"/>
            <w:tcBorders>
              <w:top w:val="nil"/>
              <w:left w:val="nil"/>
              <w:bottom w:val="nil"/>
              <w:right w:val="nil"/>
            </w:tcBorders>
            <w:shd w:val="clear" w:color="000000" w:fill="E6E6E6"/>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108</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877</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 xml:space="preserve">Northern Australia Infrastructure Facility </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288</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122</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166</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Australian Business Securitisation Fund</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200</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15</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185</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Structured Finance Support Fund</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0</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1,685</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1,685</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Drought and rural assistance loans</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330</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267</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63</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Water infrastructure and regional development loans</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190</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90</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100</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Official Development Assistance</w:t>
            </w:r>
            <w:r w:rsidR="00052538" w:rsidRPr="00FE17FC">
              <w:rPr>
                <w:rFonts w:ascii="Arial" w:hAnsi="Arial" w:cs="Arial"/>
                <w:sz w:val="16"/>
                <w:szCs w:val="16"/>
              </w:rPr>
              <w:t xml:space="preserve"> — </w:t>
            </w:r>
            <w:r w:rsidRPr="00FE17FC">
              <w:rPr>
                <w:rFonts w:ascii="Arial" w:hAnsi="Arial" w:cs="Arial"/>
                <w:sz w:val="16"/>
                <w:szCs w:val="16"/>
              </w:rPr>
              <w:t>Multilateral Replenishment</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120</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169</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49</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National Housing Finance and Investment Corporation</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125</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100</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25</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sz w:val="16"/>
                <w:szCs w:val="16"/>
              </w:rPr>
            </w:pPr>
            <w:r w:rsidRPr="00FE17FC">
              <w:rPr>
                <w:rFonts w:ascii="Arial" w:hAnsi="Arial" w:cs="Arial"/>
                <w:sz w:val="16"/>
                <w:szCs w:val="16"/>
              </w:rPr>
              <w:t>Net other(b)</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1,938</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1,855</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83</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Total net cash flows from investments in financial assets</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E6E6E6"/>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613"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ind w:left="170"/>
              <w:jc w:val="left"/>
              <w:rPr>
                <w:rFonts w:ascii="Arial" w:hAnsi="Arial" w:cs="Arial"/>
                <w:b/>
                <w:bCs/>
                <w:sz w:val="16"/>
                <w:szCs w:val="16"/>
              </w:rPr>
            </w:pPr>
            <w:r w:rsidRPr="00FE17FC">
              <w:rPr>
                <w:rFonts w:ascii="Arial" w:hAnsi="Arial" w:cs="Arial"/>
                <w:b/>
                <w:bCs/>
                <w:sz w:val="16"/>
                <w:szCs w:val="16"/>
              </w:rPr>
              <w:t>for policy purposes</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13,336</w:t>
            </w:r>
          </w:p>
        </w:tc>
        <w:tc>
          <w:tcPr>
            <w:tcW w:w="613" w:type="pct"/>
            <w:tcBorders>
              <w:top w:val="nil"/>
              <w:left w:val="nil"/>
              <w:bottom w:val="nil"/>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13,632</w:t>
            </w:r>
          </w:p>
        </w:tc>
        <w:tc>
          <w:tcPr>
            <w:tcW w:w="613" w:type="pct"/>
            <w:tcBorders>
              <w:top w:val="nil"/>
              <w:left w:val="nil"/>
              <w:bottom w:val="nil"/>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296</w:t>
            </w:r>
          </w:p>
        </w:tc>
      </w:tr>
      <w:tr w:rsidR="00732420" w:rsidRPr="00FE17FC" w:rsidTr="00732420">
        <w:trPr>
          <w:trHeight w:hRule="exact" w:val="225"/>
        </w:trPr>
        <w:tc>
          <w:tcPr>
            <w:tcW w:w="3160"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i/>
                <w:iCs/>
                <w:sz w:val="16"/>
                <w:szCs w:val="16"/>
              </w:rPr>
            </w:pPr>
            <w:r w:rsidRPr="00FE17FC">
              <w:rPr>
                <w:rFonts w:ascii="Arial" w:hAnsi="Arial" w:cs="Arial"/>
                <w:i/>
                <w:iCs/>
                <w:sz w:val="16"/>
                <w:szCs w:val="16"/>
              </w:rPr>
              <w:t xml:space="preserve">plus </w:t>
            </w:r>
            <w:r w:rsidRPr="00FE17FC">
              <w:rPr>
                <w:rFonts w:ascii="Arial" w:hAnsi="Arial" w:cs="Arial"/>
                <w:sz w:val="16"/>
                <w:szCs w:val="16"/>
              </w:rPr>
              <w:t>Net Future Fund earnings</w:t>
            </w:r>
          </w:p>
        </w:tc>
        <w:tc>
          <w:tcPr>
            <w:tcW w:w="613" w:type="pct"/>
            <w:tcBorders>
              <w:top w:val="nil"/>
              <w:left w:val="nil"/>
              <w:bottom w:val="single" w:sz="4" w:space="0" w:color="auto"/>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5,468</w:t>
            </w:r>
          </w:p>
        </w:tc>
        <w:tc>
          <w:tcPr>
            <w:tcW w:w="613" w:type="pct"/>
            <w:tcBorders>
              <w:top w:val="nil"/>
              <w:left w:val="nil"/>
              <w:bottom w:val="single" w:sz="4" w:space="0" w:color="auto"/>
              <w:right w:val="nil"/>
            </w:tcBorders>
            <w:shd w:val="clear" w:color="000000" w:fill="E6E6E6"/>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5,036</w:t>
            </w:r>
          </w:p>
        </w:tc>
        <w:tc>
          <w:tcPr>
            <w:tcW w:w="613" w:type="pct"/>
            <w:tcBorders>
              <w:top w:val="nil"/>
              <w:left w:val="nil"/>
              <w:bottom w:val="single" w:sz="4" w:space="0" w:color="auto"/>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431</w:t>
            </w:r>
          </w:p>
        </w:tc>
      </w:tr>
      <w:tr w:rsidR="00732420" w:rsidRPr="00FE17FC" w:rsidTr="00732420">
        <w:trPr>
          <w:trHeight w:hRule="exact" w:val="225"/>
        </w:trPr>
        <w:tc>
          <w:tcPr>
            <w:tcW w:w="3160" w:type="pct"/>
            <w:tcBorders>
              <w:top w:val="nil"/>
              <w:left w:val="nil"/>
              <w:bottom w:val="single" w:sz="4" w:space="0" w:color="000000"/>
              <w:right w:val="nil"/>
            </w:tcBorders>
            <w:shd w:val="clear" w:color="000000" w:fill="FFFFFF"/>
            <w:noWrap/>
            <w:vAlign w:val="bottom"/>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2019</w:t>
            </w:r>
            <w:r w:rsidR="00A7636B" w:rsidRPr="00FE17FC">
              <w:rPr>
                <w:rFonts w:ascii="Arial" w:hAnsi="Arial" w:cs="Arial"/>
                <w:b/>
                <w:bCs/>
                <w:sz w:val="16"/>
                <w:szCs w:val="16"/>
              </w:rPr>
              <w:noBreakHyphen/>
            </w:r>
            <w:r w:rsidRPr="00FE17FC">
              <w:rPr>
                <w:rFonts w:ascii="Arial" w:hAnsi="Arial" w:cs="Arial"/>
                <w:b/>
                <w:bCs/>
                <w:sz w:val="16"/>
                <w:szCs w:val="16"/>
              </w:rPr>
              <w:t>20 Headline cash balance</w:t>
            </w:r>
          </w:p>
        </w:tc>
        <w:tc>
          <w:tcPr>
            <w:tcW w:w="613" w:type="pct"/>
            <w:tcBorders>
              <w:top w:val="nil"/>
              <w:left w:val="nil"/>
              <w:bottom w:val="single" w:sz="4" w:space="0" w:color="000000"/>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2,841</w:t>
            </w:r>
          </w:p>
        </w:tc>
        <w:tc>
          <w:tcPr>
            <w:tcW w:w="613" w:type="pct"/>
            <w:tcBorders>
              <w:top w:val="nil"/>
              <w:left w:val="nil"/>
              <w:bottom w:val="single" w:sz="4" w:space="0" w:color="000000"/>
              <w:right w:val="nil"/>
            </w:tcBorders>
            <w:shd w:val="clear" w:color="000000" w:fill="E6E6E6"/>
            <w:noWrap/>
            <w:vAlign w:val="bottom"/>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93,868</w:t>
            </w:r>
          </w:p>
        </w:tc>
        <w:tc>
          <w:tcPr>
            <w:tcW w:w="613" w:type="pct"/>
            <w:tcBorders>
              <w:top w:val="nil"/>
              <w:left w:val="nil"/>
              <w:bottom w:val="single" w:sz="4" w:space="0" w:color="000000"/>
              <w:right w:val="nil"/>
            </w:tcBorders>
            <w:shd w:val="clear" w:color="000000" w:fill="FFFFFF"/>
            <w:noWrap/>
            <w:vAlign w:val="bottom"/>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91,027</w:t>
            </w:r>
          </w:p>
        </w:tc>
      </w:tr>
    </w:tbl>
    <w:p w:rsidR="00732420" w:rsidRPr="00FE17FC" w:rsidRDefault="00732420" w:rsidP="00732420">
      <w:pPr>
        <w:pStyle w:val="ChartandTableFootnoteAlpha"/>
        <w:numPr>
          <w:ilvl w:val="0"/>
          <w:numId w:val="41"/>
        </w:numPr>
      </w:pPr>
      <w:r w:rsidRPr="00FE17FC">
        <w:rPr>
          <w:rFonts w:cs="Arial"/>
        </w:rPr>
        <w:fldChar w:fldCharType="end"/>
      </w:r>
      <w:r w:rsidR="00A31CA0" w:rsidRPr="00FE17FC">
        <w:t xml:space="preserve">Excludes net Future Fund earnings. </w:t>
      </w:r>
    </w:p>
    <w:p w:rsidR="00A31CA0" w:rsidRPr="00FE17FC" w:rsidRDefault="00A31CA0" w:rsidP="00732420">
      <w:pPr>
        <w:pStyle w:val="ChartandTableFootnoteAlpha"/>
        <w:numPr>
          <w:ilvl w:val="0"/>
          <w:numId w:val="41"/>
        </w:numPr>
      </w:pPr>
      <w:r w:rsidRPr="00FE17FC">
        <w:t xml:space="preserve">Net other includes </w:t>
      </w:r>
      <w:r w:rsidRPr="00FE17FC">
        <w:rPr>
          <w:color w:val="auto"/>
        </w:rPr>
        <w:t xml:space="preserve">equity payments </w:t>
      </w:r>
      <w:r w:rsidRPr="00FE17FC">
        <w:t>for infrastructure projects. The amounts have not been itemised for commercial</w:t>
      </w:r>
      <w:r w:rsidR="00A7636B" w:rsidRPr="00FE17FC">
        <w:noBreakHyphen/>
      </w:r>
      <w:r w:rsidRPr="00FE17FC">
        <w:t>in</w:t>
      </w:r>
      <w:r w:rsidR="00A7636B" w:rsidRPr="00FE17FC">
        <w:noBreakHyphen/>
      </w:r>
      <w:r w:rsidRPr="00FE17FC">
        <w:t>confidence reasons.</w:t>
      </w:r>
    </w:p>
    <w:p w:rsidR="00A31CA0" w:rsidRPr="00FE17FC" w:rsidRDefault="00A31CA0" w:rsidP="00A31CA0">
      <w:pPr>
        <w:pStyle w:val="Heading2"/>
      </w:pPr>
      <w:r w:rsidRPr="00FE17FC">
        <w:br w:type="page"/>
      </w:r>
      <w:r w:rsidRPr="00FE17FC">
        <w:lastRenderedPageBreak/>
        <w:t>Net debt, net financial worth and net worth</w:t>
      </w:r>
    </w:p>
    <w:p w:rsidR="00E70B37" w:rsidRPr="00FE17FC" w:rsidRDefault="00E70B37" w:rsidP="00E70B37">
      <w:r w:rsidRPr="00FE17FC">
        <w:t>At the end of 2019</w:t>
      </w:r>
      <w:r w:rsidR="00A7636B" w:rsidRPr="00FE17FC">
        <w:noBreakHyphen/>
      </w:r>
      <w:r w:rsidRPr="00FE17FC">
        <w:t>20, net debt was $</w:t>
      </w:r>
      <w:r w:rsidR="00213BF6" w:rsidRPr="00FE17FC">
        <w:t>491</w:t>
      </w:r>
      <w:r w:rsidRPr="00FE17FC">
        <w:t>.</w:t>
      </w:r>
      <w:r w:rsidR="00213BF6" w:rsidRPr="00FE17FC">
        <w:t>2</w:t>
      </w:r>
      <w:r w:rsidRPr="00FE17FC">
        <w:t xml:space="preserve"> billion (24.8 per cent of GDP), $</w:t>
      </w:r>
      <w:r w:rsidR="00213BF6" w:rsidRPr="00FE17FC">
        <w:t>98.9</w:t>
      </w:r>
      <w:r w:rsidRPr="00FE17FC">
        <w:t xml:space="preserve"> billion higher than estimated at the time of the 2019</w:t>
      </w:r>
      <w:r w:rsidR="00A7636B" w:rsidRPr="00FE17FC">
        <w:noBreakHyphen/>
      </w:r>
      <w:r w:rsidRPr="00FE17FC">
        <w:t>20</w:t>
      </w:r>
      <w:r w:rsidR="001519DB" w:rsidRPr="00FE17FC">
        <w:t xml:space="preserve"> </w:t>
      </w:r>
      <w:r w:rsidRPr="00FE17FC">
        <w:t>MYEFO. This primarily reflects the increased borrowing requirement stemming from the response to and effects of the COVID</w:t>
      </w:r>
      <w:r w:rsidR="00A7636B" w:rsidRPr="00FE17FC">
        <w:noBreakHyphen/>
      </w:r>
      <w:r w:rsidRPr="00FE17FC">
        <w:t>19 pandemic.</w:t>
      </w:r>
    </w:p>
    <w:p w:rsidR="00A31CA0" w:rsidRPr="00FE17FC" w:rsidRDefault="00A31CA0" w:rsidP="00A31CA0">
      <w:r w:rsidRPr="00FE17FC">
        <w:t xml:space="preserve">Net financial worth was negative </w:t>
      </w:r>
      <w:r w:rsidR="00461D20" w:rsidRPr="00FE17FC">
        <w:t>$</w:t>
      </w:r>
      <w:r w:rsidR="00213BF6" w:rsidRPr="00FE17FC">
        <w:t>840.6</w:t>
      </w:r>
      <w:r w:rsidR="00194F6D" w:rsidRPr="00FE17FC">
        <w:t xml:space="preserve"> </w:t>
      </w:r>
      <w:r w:rsidRPr="00FE17FC">
        <w:t>billion at the end of 2</w:t>
      </w:r>
      <w:r w:rsidR="006E2C95" w:rsidRPr="00FE17FC">
        <w:t>019</w:t>
      </w:r>
      <w:r w:rsidR="00A7636B" w:rsidRPr="00FE17FC">
        <w:noBreakHyphen/>
      </w:r>
      <w:r w:rsidR="006E2C95" w:rsidRPr="00FE17FC">
        <w:t>20</w:t>
      </w:r>
      <w:r w:rsidRPr="00FE17FC">
        <w:t>, compared with negative $</w:t>
      </w:r>
      <w:r w:rsidR="001D3C91" w:rsidRPr="00FE17FC">
        <w:t>518.8</w:t>
      </w:r>
      <w:r w:rsidR="00194F6D" w:rsidRPr="00FE17FC">
        <w:t xml:space="preserve"> </w:t>
      </w:r>
      <w:r w:rsidR="006E2C95" w:rsidRPr="00FE17FC">
        <w:t>billion estimated at the 2019</w:t>
      </w:r>
      <w:r w:rsidR="00A7636B" w:rsidRPr="00FE17FC">
        <w:noBreakHyphen/>
      </w:r>
      <w:r w:rsidR="006E2C95" w:rsidRPr="00FE17FC">
        <w:t>20</w:t>
      </w:r>
      <w:r w:rsidRPr="00FE17FC">
        <w:t xml:space="preserve"> </w:t>
      </w:r>
      <w:r w:rsidR="006E2C95" w:rsidRPr="00FE17FC">
        <w:t>MYEFO</w:t>
      </w:r>
      <w:r w:rsidRPr="00FE17FC">
        <w:t>.</w:t>
      </w:r>
    </w:p>
    <w:p w:rsidR="00A31CA0" w:rsidRPr="00FE17FC" w:rsidRDefault="00A31CA0" w:rsidP="00A31CA0">
      <w:r w:rsidRPr="00FE17FC">
        <w:t xml:space="preserve">Net worth was negative </w:t>
      </w:r>
      <w:r w:rsidR="00461D20" w:rsidRPr="00FE17FC">
        <w:t>$</w:t>
      </w:r>
      <w:r w:rsidR="00213BF6" w:rsidRPr="00FE17FC">
        <w:t>664.9</w:t>
      </w:r>
      <w:r w:rsidR="00194F6D" w:rsidRPr="00FE17FC">
        <w:t xml:space="preserve"> </w:t>
      </w:r>
      <w:r w:rsidR="00FF1931" w:rsidRPr="00FE17FC">
        <w:t>billion at the end of 2019</w:t>
      </w:r>
      <w:r w:rsidR="00A7636B" w:rsidRPr="00FE17FC">
        <w:noBreakHyphen/>
      </w:r>
      <w:r w:rsidR="00FF1931" w:rsidRPr="00FE17FC">
        <w:t>20</w:t>
      </w:r>
      <w:r w:rsidRPr="00FE17FC">
        <w:t xml:space="preserve">, compared with negative </w:t>
      </w:r>
      <w:r w:rsidR="00461D20" w:rsidRPr="00FE17FC">
        <w:t>$</w:t>
      </w:r>
      <w:r w:rsidR="00194F6D" w:rsidRPr="00FE17FC">
        <w:t>3</w:t>
      </w:r>
      <w:r w:rsidR="00614721" w:rsidRPr="00FE17FC">
        <w:t>46</w:t>
      </w:r>
      <w:r w:rsidR="00194F6D" w:rsidRPr="00FE17FC">
        <w:t>.</w:t>
      </w:r>
      <w:r w:rsidR="00213BF6" w:rsidRPr="00FE17FC">
        <w:t>0</w:t>
      </w:r>
      <w:r w:rsidR="00194F6D" w:rsidRPr="00FE17FC">
        <w:t xml:space="preserve"> </w:t>
      </w:r>
      <w:r w:rsidR="00FF1931" w:rsidRPr="00FE17FC">
        <w:t>billion estimated at the 2019</w:t>
      </w:r>
      <w:r w:rsidR="00A7636B" w:rsidRPr="00FE17FC">
        <w:noBreakHyphen/>
      </w:r>
      <w:r w:rsidR="00FF1931" w:rsidRPr="00FE17FC">
        <w:t>20</w:t>
      </w:r>
      <w:r w:rsidRPr="00FE17FC">
        <w:t xml:space="preserve"> </w:t>
      </w:r>
      <w:r w:rsidR="00FF1931" w:rsidRPr="00FE17FC">
        <w:t>MYEFO</w:t>
      </w:r>
      <w:r w:rsidRPr="00FE17FC">
        <w:t>.</w:t>
      </w:r>
    </w:p>
    <w:p w:rsidR="008E3F9C" w:rsidRPr="00FE17FC" w:rsidRDefault="008E3F9C" w:rsidP="008E3F9C">
      <w:r w:rsidRPr="00FE17FC">
        <w:t>The changes in net financial worth and net worth since the 2019</w:t>
      </w:r>
      <w:r w:rsidR="00A7636B" w:rsidRPr="00FE17FC">
        <w:noBreakHyphen/>
      </w:r>
      <w:r w:rsidRPr="00FE17FC">
        <w:t>20 MYEFO primarily reflect a significant increase in the borrowing requirement due to the deterioration in the underlying cash balance, and in the Government</w:t>
      </w:r>
      <w:r w:rsidR="00A7636B" w:rsidRPr="00FE17FC">
        <w:t>’</w:t>
      </w:r>
      <w:r w:rsidRPr="00FE17FC">
        <w:t>s reported superannuation liability. The reported increase in the superannuation liability is consistent with previous years and is the result of a large difference between the discount rates used to value the Government</w:t>
      </w:r>
      <w:r w:rsidR="00A7636B" w:rsidRPr="00FE17FC">
        <w:t>’</w:t>
      </w:r>
      <w:r w:rsidRPr="00FE17FC">
        <w:t>s defined benefit superannuation liability at the 201</w:t>
      </w:r>
      <w:r w:rsidR="00F5464C" w:rsidRPr="00FE17FC">
        <w:t>9</w:t>
      </w:r>
      <w:r w:rsidR="00A7636B" w:rsidRPr="00FE17FC">
        <w:noBreakHyphen/>
      </w:r>
      <w:r w:rsidR="00F5464C" w:rsidRPr="00FE17FC">
        <w:t>20 MYEFO and at the 2019</w:t>
      </w:r>
      <w:r w:rsidR="00A7636B" w:rsidRPr="00FE17FC">
        <w:noBreakHyphen/>
      </w:r>
      <w:r w:rsidR="00F5464C" w:rsidRPr="00FE17FC">
        <w:t>20 Final Budget Outcome</w:t>
      </w:r>
      <w:r w:rsidRPr="00FE17FC">
        <w:t>. The approach to valuing the superannuation liability has not changed from previ</w:t>
      </w:r>
      <w:r w:rsidR="00F5464C" w:rsidRPr="00FE17FC">
        <w:t xml:space="preserve">ous budgets or Final Budget </w:t>
      </w:r>
      <w:r w:rsidRPr="00FE17FC">
        <w:t>O</w:t>
      </w:r>
      <w:r w:rsidR="00F5464C" w:rsidRPr="00FE17FC">
        <w:t>utcome</w:t>
      </w:r>
      <w:r w:rsidRPr="00FE17FC">
        <w:t xml:space="preserve">s. </w:t>
      </w:r>
    </w:p>
    <w:p w:rsidR="008E3F9C" w:rsidRPr="00FE17FC" w:rsidRDefault="008E3F9C" w:rsidP="008E3F9C">
      <w:r w:rsidRPr="00FE17FC">
        <w:t>At the 2019</w:t>
      </w:r>
      <w:r w:rsidR="00A7636B" w:rsidRPr="00FE17FC">
        <w:noBreakHyphen/>
      </w:r>
      <w:r w:rsidRPr="00FE17FC">
        <w:t>20 MYEFO, actuaries determined the long</w:t>
      </w:r>
      <w:r w:rsidR="00A7636B" w:rsidRPr="00FE17FC">
        <w:noBreakHyphen/>
      </w:r>
      <w:r w:rsidRPr="00FE17FC">
        <w:t>term discount rate to be 5.0 per cent per annum. This rate reflected the average annual rate estimated to apply over the remainder of the term to maturity of the liability and the actuaries</w:t>
      </w:r>
      <w:r w:rsidR="00A7636B" w:rsidRPr="00FE17FC">
        <w:t>’</w:t>
      </w:r>
      <w:r w:rsidRPr="00FE17FC">
        <w:t xml:space="preserve"> views that short</w:t>
      </w:r>
      <w:r w:rsidR="00A7636B" w:rsidRPr="00FE17FC">
        <w:noBreakHyphen/>
      </w:r>
      <w:r w:rsidRPr="00FE17FC">
        <w:t>term deviations are expected to be smoothed out in the longer term. This approach also reduces the volatility in reported liabilities that would occur from year to year if the long</w:t>
      </w:r>
      <w:r w:rsidR="00A7636B" w:rsidRPr="00FE17FC">
        <w:noBreakHyphen/>
      </w:r>
      <w:r w:rsidRPr="00FE17FC">
        <w:t>term government bond rate were used.</w:t>
      </w:r>
    </w:p>
    <w:p w:rsidR="008E3F9C" w:rsidRPr="00FE17FC" w:rsidRDefault="008E3F9C" w:rsidP="008E3F9C">
      <w:r w:rsidRPr="00FE17FC">
        <w:t xml:space="preserve">For </w:t>
      </w:r>
      <w:r w:rsidR="00523222" w:rsidRPr="00FE17FC">
        <w:t xml:space="preserve">the </w:t>
      </w:r>
      <w:r w:rsidRPr="00FE17FC">
        <w:t>F</w:t>
      </w:r>
      <w:r w:rsidR="00523222" w:rsidRPr="00FE17FC">
        <w:t xml:space="preserve">inal </w:t>
      </w:r>
      <w:r w:rsidRPr="00FE17FC">
        <w:t>B</w:t>
      </w:r>
      <w:r w:rsidR="00523222" w:rsidRPr="00FE17FC">
        <w:t xml:space="preserve">udget </w:t>
      </w:r>
      <w:r w:rsidRPr="00FE17FC">
        <w:t>O</w:t>
      </w:r>
      <w:r w:rsidR="00523222" w:rsidRPr="00FE17FC">
        <w:t>utcome</w:t>
      </w:r>
      <w:r w:rsidRPr="00FE17FC">
        <w:t>, the Australian Accounting Standards require the use of the long</w:t>
      </w:r>
      <w:r w:rsidR="00A7636B" w:rsidRPr="00FE17FC">
        <w:noBreakHyphen/>
      </w:r>
      <w:r w:rsidRPr="00FE17FC">
        <w:t>term government bond rate as at 30 June 2020 that best matches each individual scheme</w:t>
      </w:r>
      <w:r w:rsidR="00A7636B" w:rsidRPr="00FE17FC">
        <w:t>’</w:t>
      </w:r>
      <w:r w:rsidRPr="00FE17FC">
        <w:t xml:space="preserve">s liability duration. This requirement results in differences in superannuation liability between one </w:t>
      </w:r>
      <w:r w:rsidR="00523222" w:rsidRPr="00FE17FC">
        <w:t>Final Budget Outcome</w:t>
      </w:r>
      <w:r w:rsidRPr="00FE17FC">
        <w:t xml:space="preserve"> and the next, and between budgets and </w:t>
      </w:r>
      <w:r w:rsidR="00523222" w:rsidRPr="00FE17FC">
        <w:t>Final Budget Outcomes</w:t>
      </w:r>
      <w:r w:rsidRPr="00FE17FC">
        <w:t>, due to the discount rate applied, not as a result of changes in the accrued benefits of the defined benefit schemes. At the 2019</w:t>
      </w:r>
      <w:r w:rsidR="00A7636B" w:rsidRPr="00FE17FC">
        <w:noBreakHyphen/>
      </w:r>
      <w:r w:rsidRPr="00FE17FC">
        <w:t xml:space="preserve">20 </w:t>
      </w:r>
      <w:r w:rsidR="00523222" w:rsidRPr="00FE17FC">
        <w:t>Final Budget Outcome</w:t>
      </w:r>
      <w:r w:rsidRPr="00FE17FC">
        <w:t>, the long</w:t>
      </w:r>
      <w:r w:rsidR="00A7636B" w:rsidRPr="00FE17FC">
        <w:noBreakHyphen/>
      </w:r>
      <w:r w:rsidRPr="00FE17FC">
        <w:t>term bond rates used were between 1.0 and 1.7 per cent per annum depending on the defined benefit scheme.</w:t>
      </w:r>
    </w:p>
    <w:p w:rsidR="00523222" w:rsidRPr="00FE17FC" w:rsidRDefault="00523222" w:rsidP="00523222">
      <w:r w:rsidRPr="00FE17FC">
        <w:t>The variance in the reported superannuation liability between the 2019</w:t>
      </w:r>
      <w:r w:rsidR="00A7636B" w:rsidRPr="00FE17FC">
        <w:noBreakHyphen/>
      </w:r>
      <w:r w:rsidRPr="00FE17FC">
        <w:t>20 MYEFO and 2019</w:t>
      </w:r>
      <w:r w:rsidR="00A7636B" w:rsidRPr="00FE17FC">
        <w:noBreakHyphen/>
      </w:r>
      <w:r w:rsidRPr="00FE17FC">
        <w:t xml:space="preserve">20 Final Budget Outcome was an increase of </w:t>
      </w:r>
      <w:r w:rsidR="00213BF6" w:rsidRPr="00FE17FC">
        <w:t>$199.3</w:t>
      </w:r>
      <w:r w:rsidRPr="00FE17FC">
        <w:t> billion. By way of comparison, the variance between the 2018</w:t>
      </w:r>
      <w:r w:rsidR="00A7636B" w:rsidRPr="00FE17FC">
        <w:noBreakHyphen/>
      </w:r>
      <w:r w:rsidRPr="00FE17FC">
        <w:t>19 MYEFO and the 2018</w:t>
      </w:r>
      <w:r w:rsidR="00A7636B" w:rsidRPr="00FE17FC">
        <w:noBreakHyphen/>
      </w:r>
      <w:r w:rsidRPr="00FE17FC">
        <w:t>19 Final Budget Outcome was an increase of $191.6 billion.</w:t>
      </w:r>
    </w:p>
    <w:p w:rsidR="00E27075" w:rsidRPr="00FE17FC" w:rsidRDefault="00523222">
      <w:pPr>
        <w:spacing w:after="0"/>
        <w:jc w:val="left"/>
        <w:rPr>
          <w:rFonts w:ascii="Arial" w:hAnsi="Arial"/>
          <w:b/>
        </w:rPr>
      </w:pPr>
      <w:r w:rsidRPr="00FE17FC" w:rsidDel="00523222">
        <w:t xml:space="preserve"> </w:t>
      </w:r>
      <w:r w:rsidR="00E27075" w:rsidRPr="00FE17FC">
        <w:br w:type="page"/>
      </w:r>
    </w:p>
    <w:p w:rsidR="00732420" w:rsidRPr="00FE17FC" w:rsidRDefault="00A31CA0" w:rsidP="001027D0">
      <w:pPr>
        <w:pStyle w:val="TableHeading"/>
        <w:rPr>
          <w:rFonts w:cs="Arial"/>
        </w:rPr>
      </w:pPr>
      <w:r w:rsidRPr="00FE17FC">
        <w:rPr>
          <w:rFonts w:cs="Arial"/>
        </w:rPr>
        <w:lastRenderedPageBreak/>
        <w:t xml:space="preserve">Table </w:t>
      </w:r>
      <w:r w:rsidR="008822F9" w:rsidRPr="00FE17FC">
        <w:rPr>
          <w:rFonts w:cs="Arial"/>
        </w:rPr>
        <w:t>8</w:t>
      </w:r>
      <w:r w:rsidRPr="00FE17FC">
        <w:rPr>
          <w:rFonts w:cs="Arial"/>
        </w:rPr>
        <w:t>: Australian Government general government sector net worth, net financial worth, net debt and net interest payments</w:t>
      </w:r>
      <w:r w:rsidR="00732420" w:rsidRPr="00FE17FC">
        <w:rPr>
          <w:rFonts w:cs="Arial"/>
        </w:rPr>
        <w:fldChar w:fldCharType="begin" w:fldLock="1"/>
      </w:r>
      <w:r w:rsidR="00732420" w:rsidRPr="00FE17FC">
        <w:rPr>
          <w:rFonts w:cs="Arial"/>
        </w:rPr>
        <w:instrText xml:space="preserve"> LINK Excel.SheetMacroEnabled.12 "\\\\budget.gov\\budget_shares\\Budget$\\2019-20 FBO\\01 Outcomes\\02 Outcomes charts and tables\\Final FARM tables formatted.xlsm" "Table 8!R4C11:R25C16" \a \f 4 \h </w:instrText>
      </w:r>
      <w:r w:rsidR="00732420" w:rsidRPr="00FE17FC">
        <w:rPr>
          <w:rFonts w:cs="Arial"/>
        </w:rPr>
        <w:fldChar w:fldCharType="separate"/>
      </w:r>
    </w:p>
    <w:tbl>
      <w:tblPr>
        <w:tblW w:w="5000" w:type="pct"/>
        <w:tblLook w:val="04A0" w:firstRow="1" w:lastRow="0" w:firstColumn="1" w:lastColumn="0" w:noHBand="0" w:noVBand="1"/>
      </w:tblPr>
      <w:tblGrid>
        <w:gridCol w:w="4061"/>
        <w:gridCol w:w="1436"/>
        <w:gridCol w:w="1132"/>
        <w:gridCol w:w="1081"/>
      </w:tblGrid>
      <w:tr w:rsidR="00732420" w:rsidRPr="00FE17FC" w:rsidTr="00732420">
        <w:trPr>
          <w:trHeight w:hRule="exact" w:val="225"/>
        </w:trPr>
        <w:tc>
          <w:tcPr>
            <w:tcW w:w="2634" w:type="pct"/>
            <w:tcBorders>
              <w:top w:val="single" w:sz="4" w:space="0" w:color="000000"/>
              <w:left w:val="nil"/>
              <w:bottom w:val="nil"/>
              <w:right w:val="nil"/>
            </w:tcBorders>
            <w:shd w:val="clear" w:color="000000" w:fill="FFFFFF"/>
            <w:noWrap/>
            <w:vAlign w:val="center"/>
            <w:hideMark/>
          </w:tcPr>
          <w:p w:rsidR="00732420" w:rsidRPr="00FE17FC" w:rsidRDefault="00732420" w:rsidP="000F3274">
            <w:pPr>
              <w:spacing w:after="0" w:line="240" w:lineRule="auto"/>
              <w:rPr>
                <w:rFonts w:ascii="Arial" w:hAnsi="Arial" w:cs="Arial"/>
                <w:sz w:val="16"/>
                <w:szCs w:val="16"/>
              </w:rPr>
            </w:pPr>
            <w:r w:rsidRPr="00FE17FC">
              <w:rPr>
                <w:rFonts w:ascii="Arial" w:hAnsi="Arial" w:cs="Arial"/>
                <w:sz w:val="16"/>
                <w:szCs w:val="16"/>
              </w:rPr>
              <w:t> </w:t>
            </w:r>
          </w:p>
        </w:tc>
        <w:tc>
          <w:tcPr>
            <w:tcW w:w="931" w:type="pct"/>
            <w:tcBorders>
              <w:top w:val="single" w:sz="4" w:space="0" w:color="000000"/>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734" w:type="pct"/>
            <w:tcBorders>
              <w:top w:val="single" w:sz="4" w:space="0" w:color="000000"/>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701" w:type="pct"/>
            <w:tcBorders>
              <w:top w:val="single" w:sz="4" w:space="0" w:color="000000"/>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Change on</w:t>
            </w:r>
          </w:p>
        </w:tc>
      </w:tr>
      <w:tr w:rsidR="00732420" w:rsidRPr="00FE17FC" w:rsidTr="00732420">
        <w:trPr>
          <w:trHeight w:hRule="exact" w:val="225"/>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Estimate at</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Outcome</w:t>
            </w:r>
          </w:p>
        </w:tc>
        <w:tc>
          <w:tcPr>
            <w:tcW w:w="70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r>
      <w:tr w:rsidR="00732420" w:rsidRPr="00FE17FC" w:rsidTr="00732420">
        <w:trPr>
          <w:trHeight w:hRule="exact" w:val="225"/>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2019</w:t>
            </w:r>
            <w:r w:rsidR="00A7636B" w:rsidRPr="00FE17FC">
              <w:rPr>
                <w:rFonts w:ascii="Arial" w:hAnsi="Arial" w:cs="Arial"/>
                <w:sz w:val="16"/>
                <w:szCs w:val="16"/>
              </w:rPr>
              <w:noBreakHyphen/>
            </w:r>
            <w:r w:rsidRPr="00FE17FC">
              <w:rPr>
                <w:rFonts w:ascii="Arial" w:hAnsi="Arial" w:cs="Arial"/>
                <w:sz w:val="16"/>
                <w:szCs w:val="16"/>
              </w:rPr>
              <w:t>20</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01" w:type="pct"/>
            <w:tcBorders>
              <w:top w:val="nil"/>
              <w:left w:val="nil"/>
              <w:bottom w:val="nil"/>
              <w:right w:val="nil"/>
            </w:tcBorders>
            <w:shd w:val="clear" w:color="000000" w:fill="FFFFFF"/>
            <w:noWrap/>
            <w:vAlign w:val="bottom"/>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MYEFO</w:t>
            </w:r>
          </w:p>
        </w:tc>
      </w:tr>
      <w:tr w:rsidR="00732420" w:rsidRPr="00FE17FC" w:rsidTr="00732420">
        <w:trPr>
          <w:trHeight w:hRule="exact" w:val="225"/>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MYEFO</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c>
          <w:tcPr>
            <w:tcW w:w="70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center"/>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225"/>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 </w:t>
            </w:r>
          </w:p>
        </w:tc>
        <w:tc>
          <w:tcPr>
            <w:tcW w:w="931"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$b</w:t>
            </w:r>
          </w:p>
        </w:tc>
        <w:tc>
          <w:tcPr>
            <w:tcW w:w="734"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$b</w:t>
            </w:r>
          </w:p>
        </w:tc>
        <w:tc>
          <w:tcPr>
            <w:tcW w:w="701" w:type="pct"/>
            <w:tcBorders>
              <w:top w:val="nil"/>
              <w:left w:val="nil"/>
              <w:bottom w:val="single" w:sz="4" w:space="0" w:color="000000"/>
              <w:right w:val="nil"/>
            </w:tcBorders>
            <w:shd w:val="clear" w:color="000000" w:fill="FFFFFF"/>
            <w:vAlign w:val="center"/>
            <w:hideMark/>
          </w:tcPr>
          <w:p w:rsidR="00732420" w:rsidRPr="00FE17FC" w:rsidRDefault="00732420" w:rsidP="000F3274">
            <w:pPr>
              <w:spacing w:after="0" w:line="240" w:lineRule="auto"/>
              <w:jc w:val="right"/>
              <w:rPr>
                <w:rFonts w:ascii="Arial" w:hAnsi="Arial" w:cs="Arial"/>
                <w:sz w:val="15"/>
                <w:szCs w:val="15"/>
              </w:rPr>
            </w:pPr>
            <w:r w:rsidRPr="00FE17FC">
              <w:rPr>
                <w:rFonts w:ascii="Arial" w:hAnsi="Arial" w:cs="Arial"/>
                <w:sz w:val="15"/>
                <w:szCs w:val="15"/>
              </w:rPr>
              <w:t>$b</w:t>
            </w:r>
          </w:p>
        </w:tc>
      </w:tr>
      <w:tr w:rsidR="00732420" w:rsidRPr="00FE17FC" w:rsidTr="00732420">
        <w:trPr>
          <w:trHeight w:hRule="exact" w:val="225"/>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Financial assets</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482.8</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534.1</w:t>
            </w:r>
          </w:p>
        </w:tc>
        <w:tc>
          <w:tcPr>
            <w:tcW w:w="70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51.4</w:t>
            </w:r>
          </w:p>
        </w:tc>
      </w:tr>
      <w:tr w:rsidR="00732420" w:rsidRPr="00FE17FC" w:rsidTr="00732420">
        <w:trPr>
          <w:trHeight w:hRule="exact" w:val="225"/>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Non</w:t>
            </w:r>
            <w:r w:rsidR="00A7636B" w:rsidRPr="00FE17FC">
              <w:rPr>
                <w:rFonts w:ascii="Arial" w:hAnsi="Arial" w:cs="Arial"/>
                <w:sz w:val="16"/>
                <w:szCs w:val="16"/>
              </w:rPr>
              <w:noBreakHyphen/>
            </w:r>
            <w:r w:rsidRPr="00FE17FC">
              <w:rPr>
                <w:rFonts w:ascii="Arial" w:hAnsi="Arial" w:cs="Arial"/>
                <w:sz w:val="16"/>
                <w:szCs w:val="16"/>
              </w:rPr>
              <w:t>financial assets</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172.8</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175.7</w:t>
            </w:r>
          </w:p>
        </w:tc>
        <w:tc>
          <w:tcPr>
            <w:tcW w:w="70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2.9</w:t>
            </w:r>
          </w:p>
        </w:tc>
      </w:tr>
      <w:tr w:rsidR="00732420" w:rsidRPr="00FE17FC" w:rsidTr="00732420">
        <w:trPr>
          <w:trHeight w:hRule="exact" w:val="225"/>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Total assets</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655.6</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709.8</w:t>
            </w:r>
          </w:p>
        </w:tc>
        <w:tc>
          <w:tcPr>
            <w:tcW w:w="70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54.2</w:t>
            </w:r>
          </w:p>
        </w:tc>
      </w:tr>
      <w:tr w:rsidR="00732420" w:rsidRPr="00FE17FC" w:rsidTr="00732420">
        <w:trPr>
          <w:trHeight w:hRule="exact" w:val="60"/>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 </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70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r>
      <w:tr w:rsidR="00732420" w:rsidRPr="00FE17FC" w:rsidTr="00732420">
        <w:trPr>
          <w:trHeight w:hRule="exact" w:val="225"/>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Total liabilities</w:t>
            </w:r>
          </w:p>
        </w:tc>
        <w:tc>
          <w:tcPr>
            <w:tcW w:w="931"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1,001.6</w:t>
            </w:r>
          </w:p>
        </w:tc>
        <w:tc>
          <w:tcPr>
            <w:tcW w:w="734"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1,374.7</w:t>
            </w:r>
          </w:p>
        </w:tc>
        <w:tc>
          <w:tcPr>
            <w:tcW w:w="701"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373.1</w:t>
            </w:r>
          </w:p>
        </w:tc>
      </w:tr>
      <w:tr w:rsidR="00732420" w:rsidRPr="00FE17FC" w:rsidTr="00732420">
        <w:trPr>
          <w:trHeight w:hRule="exact" w:val="60"/>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 </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70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r>
      <w:tr w:rsidR="00732420" w:rsidRPr="00FE17FC" w:rsidTr="00732420">
        <w:trPr>
          <w:trHeight w:hRule="exact" w:val="225"/>
        </w:trPr>
        <w:tc>
          <w:tcPr>
            <w:tcW w:w="263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Net worth</w:t>
            </w:r>
          </w:p>
        </w:tc>
        <w:tc>
          <w:tcPr>
            <w:tcW w:w="931"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346.0</w:t>
            </w:r>
          </w:p>
        </w:tc>
        <w:tc>
          <w:tcPr>
            <w:tcW w:w="734" w:type="pct"/>
            <w:tcBorders>
              <w:top w:val="nil"/>
              <w:left w:val="nil"/>
              <w:bottom w:val="single" w:sz="4" w:space="0" w:color="000000"/>
              <w:right w:val="nil"/>
            </w:tcBorders>
            <w:shd w:val="clear" w:color="000000" w:fill="E6E6E6"/>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664.9</w:t>
            </w:r>
          </w:p>
        </w:tc>
        <w:tc>
          <w:tcPr>
            <w:tcW w:w="701"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318.8</w:t>
            </w:r>
          </w:p>
        </w:tc>
      </w:tr>
      <w:tr w:rsidR="00732420" w:rsidRPr="00FE17FC" w:rsidTr="00732420">
        <w:trPr>
          <w:trHeight w:hRule="exact" w:val="60"/>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 </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70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r>
      <w:tr w:rsidR="00732420" w:rsidRPr="00FE17FC" w:rsidTr="00732420">
        <w:trPr>
          <w:trHeight w:hRule="exact" w:val="225"/>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 xml:space="preserve">Net financial worth(a) </w:t>
            </w:r>
          </w:p>
        </w:tc>
        <w:tc>
          <w:tcPr>
            <w:tcW w:w="931"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518.8</w:t>
            </w:r>
          </w:p>
        </w:tc>
        <w:tc>
          <w:tcPr>
            <w:tcW w:w="734" w:type="pct"/>
            <w:tcBorders>
              <w:top w:val="nil"/>
              <w:left w:val="nil"/>
              <w:bottom w:val="nil"/>
              <w:right w:val="nil"/>
            </w:tcBorders>
            <w:shd w:val="clear" w:color="000000" w:fill="E6E6E6"/>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840.6</w:t>
            </w:r>
          </w:p>
        </w:tc>
        <w:tc>
          <w:tcPr>
            <w:tcW w:w="701" w:type="pct"/>
            <w:tcBorders>
              <w:top w:val="nil"/>
              <w:left w:val="nil"/>
              <w:bottom w:val="nil"/>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b/>
                <w:bCs/>
                <w:sz w:val="16"/>
                <w:szCs w:val="16"/>
              </w:rPr>
            </w:pPr>
            <w:r w:rsidRPr="00FE17FC">
              <w:rPr>
                <w:rFonts w:ascii="Arial" w:hAnsi="Arial" w:cs="Arial"/>
                <w:b/>
                <w:bCs/>
                <w:sz w:val="16"/>
                <w:szCs w:val="16"/>
              </w:rPr>
              <w:noBreakHyphen/>
            </w:r>
            <w:r w:rsidR="00732420" w:rsidRPr="00FE17FC">
              <w:rPr>
                <w:rFonts w:ascii="Arial" w:hAnsi="Arial" w:cs="Arial"/>
                <w:b/>
                <w:bCs/>
                <w:sz w:val="16"/>
                <w:szCs w:val="16"/>
              </w:rPr>
              <w:t>321.7</w:t>
            </w:r>
          </w:p>
        </w:tc>
      </w:tr>
      <w:tr w:rsidR="00732420" w:rsidRPr="00FE17FC" w:rsidTr="00732420">
        <w:trPr>
          <w:trHeight w:hRule="exact" w:val="225"/>
        </w:trPr>
        <w:tc>
          <w:tcPr>
            <w:tcW w:w="263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931" w:type="pct"/>
            <w:tcBorders>
              <w:top w:val="nil"/>
              <w:left w:val="nil"/>
              <w:bottom w:val="single" w:sz="4" w:space="0" w:color="000000"/>
              <w:right w:val="nil"/>
            </w:tcBorders>
            <w:shd w:val="clear" w:color="000000" w:fill="FFFFFF"/>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25.8</w:t>
            </w:r>
          </w:p>
        </w:tc>
        <w:tc>
          <w:tcPr>
            <w:tcW w:w="734" w:type="pct"/>
            <w:tcBorders>
              <w:top w:val="nil"/>
              <w:left w:val="nil"/>
              <w:bottom w:val="single" w:sz="4" w:space="0" w:color="000000"/>
              <w:right w:val="nil"/>
            </w:tcBorders>
            <w:shd w:val="clear" w:color="000000" w:fill="E6E6E6"/>
            <w:noWrap/>
            <w:vAlign w:val="center"/>
            <w:hideMark/>
          </w:tcPr>
          <w:p w:rsidR="00732420" w:rsidRPr="00FE17FC" w:rsidRDefault="00A7636B" w:rsidP="000F3274">
            <w:pPr>
              <w:spacing w:after="0" w:line="240" w:lineRule="auto"/>
              <w:jc w:val="right"/>
              <w:rPr>
                <w:rFonts w:ascii="Arial" w:hAnsi="Arial" w:cs="Arial"/>
                <w:sz w:val="16"/>
                <w:szCs w:val="16"/>
              </w:rPr>
            </w:pPr>
            <w:r w:rsidRPr="00FE17FC">
              <w:rPr>
                <w:rFonts w:ascii="Arial" w:hAnsi="Arial" w:cs="Arial"/>
                <w:sz w:val="16"/>
                <w:szCs w:val="16"/>
              </w:rPr>
              <w:noBreakHyphen/>
            </w:r>
            <w:r w:rsidR="00732420" w:rsidRPr="00FE17FC">
              <w:rPr>
                <w:rFonts w:ascii="Arial" w:hAnsi="Arial" w:cs="Arial"/>
                <w:sz w:val="16"/>
                <w:szCs w:val="16"/>
              </w:rPr>
              <w:t>42.4</w:t>
            </w:r>
          </w:p>
        </w:tc>
        <w:tc>
          <w:tcPr>
            <w:tcW w:w="701"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60"/>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 </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c>
          <w:tcPr>
            <w:tcW w:w="70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 </w:t>
            </w:r>
          </w:p>
        </w:tc>
      </w:tr>
      <w:tr w:rsidR="00732420" w:rsidRPr="00FE17FC" w:rsidTr="00732420">
        <w:trPr>
          <w:trHeight w:hRule="exact" w:val="225"/>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Net debt(b)</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392.3</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491.2</w:t>
            </w:r>
          </w:p>
        </w:tc>
        <w:tc>
          <w:tcPr>
            <w:tcW w:w="70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98.9</w:t>
            </w:r>
          </w:p>
        </w:tc>
      </w:tr>
      <w:tr w:rsidR="00732420" w:rsidRPr="00FE17FC" w:rsidTr="00732420">
        <w:trPr>
          <w:trHeight w:hRule="exact" w:val="225"/>
        </w:trPr>
        <w:tc>
          <w:tcPr>
            <w:tcW w:w="263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931"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19.5</w:t>
            </w:r>
          </w:p>
        </w:tc>
        <w:tc>
          <w:tcPr>
            <w:tcW w:w="734"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24.8</w:t>
            </w:r>
          </w:p>
        </w:tc>
        <w:tc>
          <w:tcPr>
            <w:tcW w:w="701"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r w:rsidR="00732420" w:rsidRPr="00FE17FC" w:rsidTr="00732420">
        <w:trPr>
          <w:trHeight w:hRule="exact" w:val="60"/>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color w:val="0000FF"/>
                <w:sz w:val="16"/>
                <w:szCs w:val="16"/>
              </w:rPr>
            </w:pPr>
            <w:r w:rsidRPr="00FE17FC">
              <w:rPr>
                <w:rFonts w:ascii="Arial" w:hAnsi="Arial" w:cs="Arial"/>
                <w:color w:val="0000FF"/>
                <w:sz w:val="16"/>
                <w:szCs w:val="16"/>
              </w:rPr>
              <w:t> </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color w:val="0000FF"/>
                <w:sz w:val="16"/>
                <w:szCs w:val="16"/>
              </w:rPr>
            </w:pPr>
            <w:r w:rsidRPr="00FE17FC">
              <w:rPr>
                <w:rFonts w:ascii="Arial" w:hAnsi="Arial" w:cs="Arial"/>
                <w:color w:val="0000FF"/>
                <w:sz w:val="16"/>
                <w:szCs w:val="16"/>
              </w:rPr>
              <w:t> </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color w:val="0000FF"/>
                <w:sz w:val="16"/>
                <w:szCs w:val="16"/>
              </w:rPr>
            </w:pPr>
            <w:r w:rsidRPr="00FE17FC">
              <w:rPr>
                <w:rFonts w:ascii="Arial" w:hAnsi="Arial" w:cs="Arial"/>
                <w:color w:val="0000FF"/>
                <w:sz w:val="16"/>
                <w:szCs w:val="16"/>
              </w:rPr>
              <w:t> </w:t>
            </w:r>
          </w:p>
        </w:tc>
        <w:tc>
          <w:tcPr>
            <w:tcW w:w="70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color w:val="0000FF"/>
                <w:sz w:val="16"/>
                <w:szCs w:val="16"/>
              </w:rPr>
            </w:pPr>
            <w:r w:rsidRPr="00FE17FC">
              <w:rPr>
                <w:rFonts w:ascii="Arial" w:hAnsi="Arial" w:cs="Arial"/>
                <w:color w:val="0000FF"/>
                <w:sz w:val="16"/>
                <w:szCs w:val="16"/>
              </w:rPr>
              <w:t> </w:t>
            </w:r>
          </w:p>
        </w:tc>
      </w:tr>
      <w:tr w:rsidR="00732420" w:rsidRPr="00FE17FC" w:rsidTr="00732420">
        <w:trPr>
          <w:trHeight w:hRule="exact" w:val="225"/>
        </w:trPr>
        <w:tc>
          <w:tcPr>
            <w:tcW w:w="2634"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b/>
                <w:bCs/>
                <w:sz w:val="16"/>
                <w:szCs w:val="16"/>
              </w:rPr>
            </w:pPr>
            <w:r w:rsidRPr="00FE17FC">
              <w:rPr>
                <w:rFonts w:ascii="Arial" w:hAnsi="Arial" w:cs="Arial"/>
                <w:b/>
                <w:bCs/>
                <w:sz w:val="16"/>
                <w:szCs w:val="16"/>
              </w:rPr>
              <w:t>Net interest payments</w:t>
            </w:r>
          </w:p>
        </w:tc>
        <w:tc>
          <w:tcPr>
            <w:tcW w:w="93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11.4</w:t>
            </w:r>
          </w:p>
        </w:tc>
        <w:tc>
          <w:tcPr>
            <w:tcW w:w="734" w:type="pct"/>
            <w:tcBorders>
              <w:top w:val="nil"/>
              <w:left w:val="nil"/>
              <w:bottom w:val="nil"/>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13.3</w:t>
            </w:r>
          </w:p>
        </w:tc>
        <w:tc>
          <w:tcPr>
            <w:tcW w:w="701" w:type="pct"/>
            <w:tcBorders>
              <w:top w:val="nil"/>
              <w:left w:val="nil"/>
              <w:bottom w:val="nil"/>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b/>
                <w:bCs/>
                <w:sz w:val="16"/>
                <w:szCs w:val="16"/>
              </w:rPr>
            </w:pPr>
            <w:r w:rsidRPr="00FE17FC">
              <w:rPr>
                <w:rFonts w:ascii="Arial" w:hAnsi="Arial" w:cs="Arial"/>
                <w:b/>
                <w:bCs/>
                <w:sz w:val="16"/>
                <w:szCs w:val="16"/>
              </w:rPr>
              <w:t>1.9</w:t>
            </w:r>
          </w:p>
        </w:tc>
      </w:tr>
      <w:tr w:rsidR="00732420" w:rsidRPr="00FE17FC" w:rsidTr="00732420">
        <w:trPr>
          <w:trHeight w:hRule="exact" w:val="225"/>
        </w:trPr>
        <w:tc>
          <w:tcPr>
            <w:tcW w:w="2634"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left"/>
              <w:rPr>
                <w:rFonts w:ascii="Arial" w:hAnsi="Arial" w:cs="Arial"/>
                <w:sz w:val="16"/>
                <w:szCs w:val="16"/>
              </w:rPr>
            </w:pPr>
            <w:r w:rsidRPr="00FE17FC">
              <w:rPr>
                <w:rFonts w:ascii="Arial" w:hAnsi="Arial" w:cs="Arial"/>
                <w:sz w:val="16"/>
                <w:szCs w:val="16"/>
              </w:rPr>
              <w:t>Per cent of GDP</w:t>
            </w:r>
          </w:p>
        </w:tc>
        <w:tc>
          <w:tcPr>
            <w:tcW w:w="931"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0.6</w:t>
            </w:r>
          </w:p>
        </w:tc>
        <w:tc>
          <w:tcPr>
            <w:tcW w:w="734" w:type="pct"/>
            <w:tcBorders>
              <w:top w:val="nil"/>
              <w:left w:val="nil"/>
              <w:bottom w:val="single" w:sz="4" w:space="0" w:color="000000"/>
              <w:right w:val="nil"/>
            </w:tcBorders>
            <w:shd w:val="clear" w:color="000000" w:fill="E6E6E6"/>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0.7</w:t>
            </w:r>
          </w:p>
        </w:tc>
        <w:tc>
          <w:tcPr>
            <w:tcW w:w="701" w:type="pct"/>
            <w:tcBorders>
              <w:top w:val="nil"/>
              <w:left w:val="nil"/>
              <w:bottom w:val="single" w:sz="4" w:space="0" w:color="000000"/>
              <w:right w:val="nil"/>
            </w:tcBorders>
            <w:shd w:val="clear" w:color="000000" w:fill="FFFFFF"/>
            <w:noWrap/>
            <w:vAlign w:val="center"/>
            <w:hideMark/>
          </w:tcPr>
          <w:p w:rsidR="00732420" w:rsidRPr="00FE17FC" w:rsidRDefault="00732420" w:rsidP="000F3274">
            <w:pPr>
              <w:spacing w:after="0" w:line="240" w:lineRule="auto"/>
              <w:jc w:val="right"/>
              <w:rPr>
                <w:rFonts w:ascii="Arial" w:hAnsi="Arial" w:cs="Arial"/>
                <w:sz w:val="16"/>
                <w:szCs w:val="16"/>
              </w:rPr>
            </w:pPr>
            <w:r w:rsidRPr="00FE17FC">
              <w:rPr>
                <w:rFonts w:ascii="Arial" w:hAnsi="Arial" w:cs="Arial"/>
                <w:sz w:val="16"/>
                <w:szCs w:val="16"/>
              </w:rPr>
              <w:t> </w:t>
            </w:r>
          </w:p>
        </w:tc>
      </w:tr>
    </w:tbl>
    <w:p w:rsidR="00A31CA0" w:rsidRPr="00FE17FC" w:rsidRDefault="00732420" w:rsidP="00732420">
      <w:pPr>
        <w:pStyle w:val="ChartandTableFootnoteAlpha"/>
        <w:numPr>
          <w:ilvl w:val="0"/>
          <w:numId w:val="40"/>
        </w:numPr>
      </w:pPr>
      <w:r w:rsidRPr="00FE17FC">
        <w:rPr>
          <w:rFonts w:cs="Arial"/>
        </w:rPr>
        <w:fldChar w:fldCharType="end"/>
      </w:r>
      <w:r w:rsidR="00A31CA0" w:rsidRPr="00FE17FC">
        <w:t>Net financial worth equals total financial assets minus total liabilities.</w:t>
      </w:r>
    </w:p>
    <w:p w:rsidR="00440CDB" w:rsidRPr="00FE17FC" w:rsidRDefault="00440CDB" w:rsidP="00BB1505">
      <w:pPr>
        <w:pStyle w:val="ChartandTableFootnoteAlpha"/>
        <w:numPr>
          <w:ilvl w:val="0"/>
          <w:numId w:val="0"/>
        </w:numPr>
        <w:ind w:left="284" w:hanging="284"/>
      </w:pPr>
      <w:r w:rsidRPr="00FE17FC">
        <w:t xml:space="preserve">(b) Net debt is the sum of interest bearing liabilities less the sum of selected financial assets (cash and deposits, advances paid, and investments, loans and placements). </w:t>
      </w:r>
    </w:p>
    <w:p w:rsidR="00A31CA0" w:rsidRPr="00FE17FC" w:rsidRDefault="00A31CA0" w:rsidP="00A31CA0"/>
    <w:p w:rsidR="00F362DE" w:rsidRPr="00FE17FC" w:rsidRDefault="00F362DE" w:rsidP="00FC2998">
      <w:pPr>
        <w:spacing w:after="0"/>
        <w:jc w:val="left"/>
      </w:pPr>
    </w:p>
    <w:sectPr w:rsidR="00F362DE" w:rsidRPr="00FE17FC" w:rsidSect="00FC7371">
      <w:headerReference w:type="even" r:id="rId8"/>
      <w:headerReference w:type="default" r:id="rId9"/>
      <w:footerReference w:type="even" r:id="rId10"/>
      <w:footerReference w:type="default" r:id="rId11"/>
      <w:footerReference w:type="first" r:id="rId12"/>
      <w:pgSz w:w="11906" w:h="16838" w:code="9"/>
      <w:pgMar w:top="2466" w:right="2098" w:bottom="2466" w:left="2098" w:header="1899" w:footer="189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17FC" w:rsidRDefault="00FE17FC" w:rsidP="00E40261">
      <w:pPr>
        <w:spacing w:after="0"/>
      </w:pPr>
      <w:r>
        <w:separator/>
      </w:r>
    </w:p>
  </w:endnote>
  <w:endnote w:type="continuationSeparator" w:id="0">
    <w:p w:rsidR="00FE17FC" w:rsidRDefault="00FE17FC" w:rsidP="00E402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17FC" w:rsidRDefault="00FE17FC">
    <w:pPr>
      <w:pStyle w:val="Footer"/>
    </w:pPr>
    <w:r>
      <w:fldChar w:fldCharType="begin"/>
    </w:r>
    <w:r>
      <w:instrText xml:space="preserve"> PAGE  \* MERGEFORMAT </w:instrText>
    </w:r>
    <w:r>
      <w:fldChar w:fldCharType="separate"/>
    </w:r>
    <w:r w:rsidR="00B71C2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17FC" w:rsidRDefault="00FE17FC">
    <w:pPr>
      <w:pStyle w:val="Footer"/>
    </w:pPr>
    <w:r>
      <w:fldChar w:fldCharType="begin"/>
    </w:r>
    <w:r>
      <w:instrText xml:space="preserve"> PAGE  \* MERGEFORMAT </w:instrText>
    </w:r>
    <w:r>
      <w:fldChar w:fldCharType="separate"/>
    </w:r>
    <w:r w:rsidR="00B71C22">
      <w:rPr>
        <w:noProof/>
      </w:rP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17FC" w:rsidRDefault="00FE17FC">
    <w:pPr>
      <w:pStyle w:val="Footer"/>
    </w:pPr>
    <w:r>
      <w:fldChar w:fldCharType="begin"/>
    </w:r>
    <w:r>
      <w:instrText xml:space="preserve"> PAGE  \* MERGEFORMAT </w:instrText>
    </w:r>
    <w:r>
      <w:fldChar w:fldCharType="separate"/>
    </w:r>
    <w:r w:rsidR="00B71C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17FC" w:rsidRDefault="00FE17FC" w:rsidP="00E40261">
      <w:pPr>
        <w:spacing w:after="0"/>
      </w:pPr>
      <w:r>
        <w:separator/>
      </w:r>
    </w:p>
  </w:footnote>
  <w:footnote w:type="continuationSeparator" w:id="0">
    <w:p w:rsidR="00FE17FC" w:rsidRDefault="00FE17FC" w:rsidP="00E4026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17FC" w:rsidRDefault="004128F7" w:rsidP="00D82B0F">
    <w:pPr>
      <w:pStyle w:val="HeaderEven"/>
    </w:pPr>
    <w:fldSimple w:instr=" TITLE  \* MERGEFORMAT ">
      <w:r w:rsidR="006B76B6">
        <w:t>Final Budget Outcome 2019-20</w:t>
      </w:r>
    </w:fldSimple>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17FC" w:rsidRPr="00E40261" w:rsidRDefault="004128F7" w:rsidP="00FC7371">
    <w:pPr>
      <w:pStyle w:val="HeaderOdd"/>
    </w:pPr>
    <w:fldSimple w:instr=" SUBJECT \* MERGEFORMAT ">
      <w:r w:rsidR="006B76B6">
        <w:t>Part 1: Australian Government Budget Outcome</w:t>
      </w:r>
    </w:fldSimple>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42909"/>
    <w:multiLevelType w:val="multilevel"/>
    <w:tmpl w:val="753AC1FE"/>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3B2E19AC"/>
    <w:multiLevelType w:val="singleLevel"/>
    <w:tmpl w:val="07664886"/>
    <w:lvl w:ilvl="0">
      <w:start w:val="1"/>
      <w:numFmt w:val="lowerLetter"/>
      <w:lvlRestart w:val="0"/>
      <w:pStyle w:val="ChartandTableFootnoteAlpha"/>
      <w:lvlText w:val="(%1)"/>
      <w:lvlJc w:val="left"/>
      <w:pPr>
        <w:tabs>
          <w:tab w:val="num" w:pos="284"/>
        </w:tabs>
        <w:ind w:left="284" w:hanging="284"/>
      </w:pPr>
      <w:rPr>
        <w:rFonts w:ascii="Arial" w:hAnsi="Arial" w:cs="Arial"/>
        <w:b w:val="0"/>
        <w:i w:val="0"/>
        <w:color w:val="000000"/>
        <w:sz w:val="16"/>
      </w:rPr>
    </w:lvl>
  </w:abstractNum>
  <w:abstractNum w:abstractNumId="3"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4" w15:restartNumberingAfterBreak="0">
    <w:nsid w:val="4C7D2ABA"/>
    <w:multiLevelType w:val="hybridMultilevel"/>
    <w:tmpl w:val="78E2D186"/>
    <w:name w:val="ChartTableFootnoteAlpha2"/>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4CE06931"/>
    <w:multiLevelType w:val="singleLevel"/>
    <w:tmpl w:val="BBAE9A66"/>
    <w:lvl w:ilvl="0">
      <w:start w:val="1"/>
      <w:numFmt w:val="lowerLetter"/>
      <w:lvlRestart w:val="0"/>
      <w:lvlText w:val="(%1)"/>
      <w:lvlJc w:val="left"/>
      <w:pPr>
        <w:tabs>
          <w:tab w:val="num" w:pos="283"/>
        </w:tabs>
        <w:ind w:left="283" w:hanging="283"/>
      </w:pPr>
      <w:rPr>
        <w:rFonts w:ascii="Arial" w:hAnsi="Arial" w:cs="Arial" w:hint="default"/>
        <w:b w:val="0"/>
        <w:i w:val="0"/>
        <w:sz w:val="16"/>
      </w:rPr>
    </w:lvl>
  </w:abstractNum>
  <w:abstractNum w:abstractNumId="6"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num w:numId="1">
    <w:abstractNumId w:val="3"/>
  </w:num>
  <w:num w:numId="2">
    <w:abstractNumId w:val="1"/>
  </w:num>
  <w:num w:numId="3">
    <w:abstractNumId w:val="0"/>
  </w:num>
  <w:num w:numId="4">
    <w:abstractNumId w:val="2"/>
  </w:num>
  <w:num w:numId="5">
    <w:abstractNumId w:val="6"/>
  </w:num>
  <w:num w:numId="6">
    <w:abstractNumId w:val="0"/>
  </w:num>
  <w:num w:numId="7">
    <w:abstractNumId w:val="0"/>
  </w:num>
  <w:num w:numId="8">
    <w:abstractNumId w:val="5"/>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4"/>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5"/>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634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SecurityClassificationInHeader" w:val="False"/>
  </w:docVars>
  <w:rsids>
    <w:rsidRoot w:val="00A31CA0"/>
    <w:rsid w:val="000052EA"/>
    <w:rsid w:val="0001207E"/>
    <w:rsid w:val="00013EA8"/>
    <w:rsid w:val="00015C10"/>
    <w:rsid w:val="0002099D"/>
    <w:rsid w:val="00023007"/>
    <w:rsid w:val="0002396B"/>
    <w:rsid w:val="00025872"/>
    <w:rsid w:val="00027D10"/>
    <w:rsid w:val="00035236"/>
    <w:rsid w:val="00035D8D"/>
    <w:rsid w:val="00036595"/>
    <w:rsid w:val="00037483"/>
    <w:rsid w:val="00046FCA"/>
    <w:rsid w:val="00050939"/>
    <w:rsid w:val="00052538"/>
    <w:rsid w:val="000620BE"/>
    <w:rsid w:val="00063C2B"/>
    <w:rsid w:val="00063FCD"/>
    <w:rsid w:val="000679E7"/>
    <w:rsid w:val="00076E8A"/>
    <w:rsid w:val="00086A34"/>
    <w:rsid w:val="0009186F"/>
    <w:rsid w:val="00093A7D"/>
    <w:rsid w:val="000A3A3D"/>
    <w:rsid w:val="000B0327"/>
    <w:rsid w:val="000B109B"/>
    <w:rsid w:val="000B206C"/>
    <w:rsid w:val="000B2650"/>
    <w:rsid w:val="000B2EB4"/>
    <w:rsid w:val="000B646F"/>
    <w:rsid w:val="000B6CB2"/>
    <w:rsid w:val="000C26AA"/>
    <w:rsid w:val="000C278E"/>
    <w:rsid w:val="000C5BAD"/>
    <w:rsid w:val="000D0AAD"/>
    <w:rsid w:val="000D16CA"/>
    <w:rsid w:val="000D3E92"/>
    <w:rsid w:val="000D6AF7"/>
    <w:rsid w:val="000E105B"/>
    <w:rsid w:val="000E34B7"/>
    <w:rsid w:val="000F0EA0"/>
    <w:rsid w:val="000F2395"/>
    <w:rsid w:val="000F2F5B"/>
    <w:rsid w:val="000F3274"/>
    <w:rsid w:val="000F5A6D"/>
    <w:rsid w:val="000F76C3"/>
    <w:rsid w:val="001027D0"/>
    <w:rsid w:val="00102CDA"/>
    <w:rsid w:val="0011703F"/>
    <w:rsid w:val="00125D7F"/>
    <w:rsid w:val="00127357"/>
    <w:rsid w:val="001312B5"/>
    <w:rsid w:val="00131F46"/>
    <w:rsid w:val="00143CEA"/>
    <w:rsid w:val="00145212"/>
    <w:rsid w:val="00146628"/>
    <w:rsid w:val="001519DB"/>
    <w:rsid w:val="00157CFF"/>
    <w:rsid w:val="00161F3E"/>
    <w:rsid w:val="001709C6"/>
    <w:rsid w:val="00172CFE"/>
    <w:rsid w:val="001736A7"/>
    <w:rsid w:val="00190F4B"/>
    <w:rsid w:val="0019115B"/>
    <w:rsid w:val="0019287C"/>
    <w:rsid w:val="00194F6D"/>
    <w:rsid w:val="0019523D"/>
    <w:rsid w:val="001970E6"/>
    <w:rsid w:val="00197A4C"/>
    <w:rsid w:val="001A0581"/>
    <w:rsid w:val="001A4350"/>
    <w:rsid w:val="001B0686"/>
    <w:rsid w:val="001C00D5"/>
    <w:rsid w:val="001C237A"/>
    <w:rsid w:val="001C2546"/>
    <w:rsid w:val="001C29BA"/>
    <w:rsid w:val="001C42A6"/>
    <w:rsid w:val="001C55BD"/>
    <w:rsid w:val="001C6531"/>
    <w:rsid w:val="001D3C91"/>
    <w:rsid w:val="001D4141"/>
    <w:rsid w:val="001E3A45"/>
    <w:rsid w:val="001F0C55"/>
    <w:rsid w:val="001F10D7"/>
    <w:rsid w:val="0020112F"/>
    <w:rsid w:val="00204F21"/>
    <w:rsid w:val="002103BB"/>
    <w:rsid w:val="00213BF6"/>
    <w:rsid w:val="00213CC5"/>
    <w:rsid w:val="00214B0C"/>
    <w:rsid w:val="00237F04"/>
    <w:rsid w:val="0024115C"/>
    <w:rsid w:val="00252672"/>
    <w:rsid w:val="00261CDA"/>
    <w:rsid w:val="0026223A"/>
    <w:rsid w:val="00267200"/>
    <w:rsid w:val="00281716"/>
    <w:rsid w:val="00281F98"/>
    <w:rsid w:val="002957DE"/>
    <w:rsid w:val="002A43EB"/>
    <w:rsid w:val="002A4B44"/>
    <w:rsid w:val="002A4EC6"/>
    <w:rsid w:val="002B09EF"/>
    <w:rsid w:val="002B32DD"/>
    <w:rsid w:val="002B3330"/>
    <w:rsid w:val="002B6106"/>
    <w:rsid w:val="002D203D"/>
    <w:rsid w:val="002E2B0F"/>
    <w:rsid w:val="002E3AB7"/>
    <w:rsid w:val="002E436D"/>
    <w:rsid w:val="002E4B45"/>
    <w:rsid w:val="002E638A"/>
    <w:rsid w:val="002F23AD"/>
    <w:rsid w:val="002F2C5F"/>
    <w:rsid w:val="002F439D"/>
    <w:rsid w:val="00300FC7"/>
    <w:rsid w:val="00302647"/>
    <w:rsid w:val="003112F3"/>
    <w:rsid w:val="00314DDE"/>
    <w:rsid w:val="00315943"/>
    <w:rsid w:val="003230D8"/>
    <w:rsid w:val="003421CD"/>
    <w:rsid w:val="003451F5"/>
    <w:rsid w:val="003505D1"/>
    <w:rsid w:val="003506C0"/>
    <w:rsid w:val="00351979"/>
    <w:rsid w:val="003520B7"/>
    <w:rsid w:val="00363D04"/>
    <w:rsid w:val="00363E4D"/>
    <w:rsid w:val="00364800"/>
    <w:rsid w:val="003714F2"/>
    <w:rsid w:val="003723A2"/>
    <w:rsid w:val="003731E7"/>
    <w:rsid w:val="00373431"/>
    <w:rsid w:val="00374A62"/>
    <w:rsid w:val="003824F1"/>
    <w:rsid w:val="00382E3D"/>
    <w:rsid w:val="00384E6D"/>
    <w:rsid w:val="003919F3"/>
    <w:rsid w:val="00392332"/>
    <w:rsid w:val="003937EF"/>
    <w:rsid w:val="00394EB5"/>
    <w:rsid w:val="003A024F"/>
    <w:rsid w:val="003A3777"/>
    <w:rsid w:val="003A3AC2"/>
    <w:rsid w:val="003A565E"/>
    <w:rsid w:val="003A6A0B"/>
    <w:rsid w:val="003B016F"/>
    <w:rsid w:val="003C4769"/>
    <w:rsid w:val="003D129E"/>
    <w:rsid w:val="003D490D"/>
    <w:rsid w:val="003D644E"/>
    <w:rsid w:val="003E7F5C"/>
    <w:rsid w:val="00401291"/>
    <w:rsid w:val="00403216"/>
    <w:rsid w:val="00404FDA"/>
    <w:rsid w:val="00407A78"/>
    <w:rsid w:val="004128F7"/>
    <w:rsid w:val="004235D5"/>
    <w:rsid w:val="00440CDB"/>
    <w:rsid w:val="00445576"/>
    <w:rsid w:val="004477C2"/>
    <w:rsid w:val="00452D46"/>
    <w:rsid w:val="00454219"/>
    <w:rsid w:val="004544DC"/>
    <w:rsid w:val="00461321"/>
    <w:rsid w:val="00461D20"/>
    <w:rsid w:val="0047130A"/>
    <w:rsid w:val="004720D5"/>
    <w:rsid w:val="004768A0"/>
    <w:rsid w:val="0048306D"/>
    <w:rsid w:val="00483809"/>
    <w:rsid w:val="00484E6D"/>
    <w:rsid w:val="0048563A"/>
    <w:rsid w:val="004926C2"/>
    <w:rsid w:val="004A0F1D"/>
    <w:rsid w:val="004A33E2"/>
    <w:rsid w:val="004B607C"/>
    <w:rsid w:val="004B6B56"/>
    <w:rsid w:val="004C1A36"/>
    <w:rsid w:val="004E3BF0"/>
    <w:rsid w:val="004E4F59"/>
    <w:rsid w:val="004F0CCA"/>
    <w:rsid w:val="004F3FD9"/>
    <w:rsid w:val="004F60DD"/>
    <w:rsid w:val="00500EDA"/>
    <w:rsid w:val="0051113D"/>
    <w:rsid w:val="00511783"/>
    <w:rsid w:val="00523222"/>
    <w:rsid w:val="00523562"/>
    <w:rsid w:val="0052787E"/>
    <w:rsid w:val="00532942"/>
    <w:rsid w:val="0053472B"/>
    <w:rsid w:val="00534F64"/>
    <w:rsid w:val="00535ED0"/>
    <w:rsid w:val="005507CC"/>
    <w:rsid w:val="0057092B"/>
    <w:rsid w:val="00577ABC"/>
    <w:rsid w:val="00581054"/>
    <w:rsid w:val="0059215D"/>
    <w:rsid w:val="005A044E"/>
    <w:rsid w:val="005A0742"/>
    <w:rsid w:val="005A125F"/>
    <w:rsid w:val="005A43A4"/>
    <w:rsid w:val="005B0D91"/>
    <w:rsid w:val="005B3010"/>
    <w:rsid w:val="005B59C0"/>
    <w:rsid w:val="005B5DE7"/>
    <w:rsid w:val="005B5F95"/>
    <w:rsid w:val="005B746D"/>
    <w:rsid w:val="005B7D7F"/>
    <w:rsid w:val="005C0B06"/>
    <w:rsid w:val="005C3261"/>
    <w:rsid w:val="005C4A50"/>
    <w:rsid w:val="005D23CB"/>
    <w:rsid w:val="005E1350"/>
    <w:rsid w:val="005E3DD1"/>
    <w:rsid w:val="005E5043"/>
    <w:rsid w:val="005F2B78"/>
    <w:rsid w:val="00601C1D"/>
    <w:rsid w:val="0060305C"/>
    <w:rsid w:val="0061009F"/>
    <w:rsid w:val="00614721"/>
    <w:rsid w:val="00622CDB"/>
    <w:rsid w:val="006317FE"/>
    <w:rsid w:val="00633A09"/>
    <w:rsid w:val="00635944"/>
    <w:rsid w:val="006432F6"/>
    <w:rsid w:val="00643BC8"/>
    <w:rsid w:val="00644B7B"/>
    <w:rsid w:val="00645424"/>
    <w:rsid w:val="00647A77"/>
    <w:rsid w:val="006509AD"/>
    <w:rsid w:val="006568A7"/>
    <w:rsid w:val="00664C8E"/>
    <w:rsid w:val="00664F1B"/>
    <w:rsid w:val="00665342"/>
    <w:rsid w:val="0067704B"/>
    <w:rsid w:val="00677EBB"/>
    <w:rsid w:val="00682D05"/>
    <w:rsid w:val="00690799"/>
    <w:rsid w:val="00690982"/>
    <w:rsid w:val="006928D1"/>
    <w:rsid w:val="006935F4"/>
    <w:rsid w:val="00695A85"/>
    <w:rsid w:val="00695E7B"/>
    <w:rsid w:val="006B1050"/>
    <w:rsid w:val="006B5F9A"/>
    <w:rsid w:val="006B76B6"/>
    <w:rsid w:val="006C5F56"/>
    <w:rsid w:val="006C61F7"/>
    <w:rsid w:val="006D04AF"/>
    <w:rsid w:val="006D2BE6"/>
    <w:rsid w:val="006E1999"/>
    <w:rsid w:val="006E1CED"/>
    <w:rsid w:val="006E2C95"/>
    <w:rsid w:val="006E40FB"/>
    <w:rsid w:val="006F2E81"/>
    <w:rsid w:val="006F5CCE"/>
    <w:rsid w:val="007045FF"/>
    <w:rsid w:val="00704892"/>
    <w:rsid w:val="00715A02"/>
    <w:rsid w:val="0072449F"/>
    <w:rsid w:val="007267FE"/>
    <w:rsid w:val="00732420"/>
    <w:rsid w:val="0073549C"/>
    <w:rsid w:val="007379EE"/>
    <w:rsid w:val="00740433"/>
    <w:rsid w:val="00741DCF"/>
    <w:rsid w:val="007432C2"/>
    <w:rsid w:val="00752F96"/>
    <w:rsid w:val="00755698"/>
    <w:rsid w:val="00756F16"/>
    <w:rsid w:val="007576AE"/>
    <w:rsid w:val="00763F64"/>
    <w:rsid w:val="0077065F"/>
    <w:rsid w:val="00771755"/>
    <w:rsid w:val="0077297B"/>
    <w:rsid w:val="00777D4E"/>
    <w:rsid w:val="0078063D"/>
    <w:rsid w:val="00791275"/>
    <w:rsid w:val="0079202A"/>
    <w:rsid w:val="007942F4"/>
    <w:rsid w:val="007949DA"/>
    <w:rsid w:val="0079520A"/>
    <w:rsid w:val="007A023A"/>
    <w:rsid w:val="007A22C8"/>
    <w:rsid w:val="007B28FA"/>
    <w:rsid w:val="007B76C5"/>
    <w:rsid w:val="007B7792"/>
    <w:rsid w:val="007D2BDF"/>
    <w:rsid w:val="007E2563"/>
    <w:rsid w:val="007E4895"/>
    <w:rsid w:val="007E4D3A"/>
    <w:rsid w:val="007F26C5"/>
    <w:rsid w:val="007F7E41"/>
    <w:rsid w:val="00800472"/>
    <w:rsid w:val="00802658"/>
    <w:rsid w:val="00802D51"/>
    <w:rsid w:val="00803D37"/>
    <w:rsid w:val="008049E5"/>
    <w:rsid w:val="00815A5D"/>
    <w:rsid w:val="00820AF4"/>
    <w:rsid w:val="00822A57"/>
    <w:rsid w:val="00824E07"/>
    <w:rsid w:val="00825F60"/>
    <w:rsid w:val="008317D6"/>
    <w:rsid w:val="00835843"/>
    <w:rsid w:val="00840840"/>
    <w:rsid w:val="008433FA"/>
    <w:rsid w:val="0085121D"/>
    <w:rsid w:val="00856C65"/>
    <w:rsid w:val="0086461E"/>
    <w:rsid w:val="00867103"/>
    <w:rsid w:val="00874171"/>
    <w:rsid w:val="008747B6"/>
    <w:rsid w:val="008822F9"/>
    <w:rsid w:val="00885620"/>
    <w:rsid w:val="0089210D"/>
    <w:rsid w:val="00893667"/>
    <w:rsid w:val="008B2603"/>
    <w:rsid w:val="008C1BBC"/>
    <w:rsid w:val="008C7CD0"/>
    <w:rsid w:val="008D71E5"/>
    <w:rsid w:val="008E1661"/>
    <w:rsid w:val="008E366F"/>
    <w:rsid w:val="008E3F9C"/>
    <w:rsid w:val="008E7225"/>
    <w:rsid w:val="008F00AC"/>
    <w:rsid w:val="00906A50"/>
    <w:rsid w:val="00907431"/>
    <w:rsid w:val="009135F9"/>
    <w:rsid w:val="0092100C"/>
    <w:rsid w:val="00923EBA"/>
    <w:rsid w:val="00931637"/>
    <w:rsid w:val="0093363A"/>
    <w:rsid w:val="00940295"/>
    <w:rsid w:val="00940FC2"/>
    <w:rsid w:val="00941A09"/>
    <w:rsid w:val="00941F36"/>
    <w:rsid w:val="00943B4B"/>
    <w:rsid w:val="00943C8B"/>
    <w:rsid w:val="00946D46"/>
    <w:rsid w:val="009526B3"/>
    <w:rsid w:val="009578E2"/>
    <w:rsid w:val="00963BB9"/>
    <w:rsid w:val="00964205"/>
    <w:rsid w:val="00966146"/>
    <w:rsid w:val="009725A6"/>
    <w:rsid w:val="009804F5"/>
    <w:rsid w:val="00983D0A"/>
    <w:rsid w:val="00985478"/>
    <w:rsid w:val="0099119C"/>
    <w:rsid w:val="00991905"/>
    <w:rsid w:val="00994301"/>
    <w:rsid w:val="00995DAD"/>
    <w:rsid w:val="009A2376"/>
    <w:rsid w:val="009A5258"/>
    <w:rsid w:val="009B16AC"/>
    <w:rsid w:val="009C4905"/>
    <w:rsid w:val="009D39E1"/>
    <w:rsid w:val="009D6A0E"/>
    <w:rsid w:val="009D7662"/>
    <w:rsid w:val="009E186F"/>
    <w:rsid w:val="009E766A"/>
    <w:rsid w:val="00A0404F"/>
    <w:rsid w:val="00A20862"/>
    <w:rsid w:val="00A221BC"/>
    <w:rsid w:val="00A27C09"/>
    <w:rsid w:val="00A31CA0"/>
    <w:rsid w:val="00A36880"/>
    <w:rsid w:val="00A61F24"/>
    <w:rsid w:val="00A66BAE"/>
    <w:rsid w:val="00A7247A"/>
    <w:rsid w:val="00A7636B"/>
    <w:rsid w:val="00A76EFD"/>
    <w:rsid w:val="00A85B33"/>
    <w:rsid w:val="00A97A9F"/>
    <w:rsid w:val="00AA115B"/>
    <w:rsid w:val="00AB14A5"/>
    <w:rsid w:val="00AC3418"/>
    <w:rsid w:val="00AC3633"/>
    <w:rsid w:val="00AC708D"/>
    <w:rsid w:val="00AC7D87"/>
    <w:rsid w:val="00AD1F86"/>
    <w:rsid w:val="00AD3D69"/>
    <w:rsid w:val="00AE0D5C"/>
    <w:rsid w:val="00AE41CC"/>
    <w:rsid w:val="00AF171F"/>
    <w:rsid w:val="00B0229A"/>
    <w:rsid w:val="00B13622"/>
    <w:rsid w:val="00B2211F"/>
    <w:rsid w:val="00B27EA6"/>
    <w:rsid w:val="00B42D87"/>
    <w:rsid w:val="00B45859"/>
    <w:rsid w:val="00B506B0"/>
    <w:rsid w:val="00B5143E"/>
    <w:rsid w:val="00B520AF"/>
    <w:rsid w:val="00B667CA"/>
    <w:rsid w:val="00B71C22"/>
    <w:rsid w:val="00B850E3"/>
    <w:rsid w:val="00B91AED"/>
    <w:rsid w:val="00B944F7"/>
    <w:rsid w:val="00BA2C79"/>
    <w:rsid w:val="00BA3DD4"/>
    <w:rsid w:val="00BA4949"/>
    <w:rsid w:val="00BB1505"/>
    <w:rsid w:val="00BB207D"/>
    <w:rsid w:val="00BC0368"/>
    <w:rsid w:val="00BC3651"/>
    <w:rsid w:val="00BC42A2"/>
    <w:rsid w:val="00BD31C1"/>
    <w:rsid w:val="00BF0313"/>
    <w:rsid w:val="00BF1290"/>
    <w:rsid w:val="00BF6C15"/>
    <w:rsid w:val="00C00CD2"/>
    <w:rsid w:val="00C0124C"/>
    <w:rsid w:val="00C02819"/>
    <w:rsid w:val="00C05368"/>
    <w:rsid w:val="00C10D8E"/>
    <w:rsid w:val="00C1107F"/>
    <w:rsid w:val="00C14ABB"/>
    <w:rsid w:val="00C15FCD"/>
    <w:rsid w:val="00C223D2"/>
    <w:rsid w:val="00C261F6"/>
    <w:rsid w:val="00C31FB1"/>
    <w:rsid w:val="00C359AD"/>
    <w:rsid w:val="00C35DED"/>
    <w:rsid w:val="00C37BE0"/>
    <w:rsid w:val="00C4293F"/>
    <w:rsid w:val="00C46FCB"/>
    <w:rsid w:val="00C47F41"/>
    <w:rsid w:val="00C56EC0"/>
    <w:rsid w:val="00C572DF"/>
    <w:rsid w:val="00C64CC1"/>
    <w:rsid w:val="00C6640F"/>
    <w:rsid w:val="00C6718B"/>
    <w:rsid w:val="00C73481"/>
    <w:rsid w:val="00C759F9"/>
    <w:rsid w:val="00C84B89"/>
    <w:rsid w:val="00C8623A"/>
    <w:rsid w:val="00C91202"/>
    <w:rsid w:val="00C953C7"/>
    <w:rsid w:val="00CA07B8"/>
    <w:rsid w:val="00CB1619"/>
    <w:rsid w:val="00CB320D"/>
    <w:rsid w:val="00CB7B78"/>
    <w:rsid w:val="00CC1246"/>
    <w:rsid w:val="00CC449C"/>
    <w:rsid w:val="00CC4D93"/>
    <w:rsid w:val="00CD1660"/>
    <w:rsid w:val="00CD48C4"/>
    <w:rsid w:val="00CD74D2"/>
    <w:rsid w:val="00CE046E"/>
    <w:rsid w:val="00CE2144"/>
    <w:rsid w:val="00CE4EB3"/>
    <w:rsid w:val="00CF42F5"/>
    <w:rsid w:val="00CF5AE9"/>
    <w:rsid w:val="00D048C5"/>
    <w:rsid w:val="00D11B7D"/>
    <w:rsid w:val="00D15A3B"/>
    <w:rsid w:val="00D1685E"/>
    <w:rsid w:val="00D17214"/>
    <w:rsid w:val="00D2029B"/>
    <w:rsid w:val="00D2164C"/>
    <w:rsid w:val="00D22268"/>
    <w:rsid w:val="00D2746F"/>
    <w:rsid w:val="00D30FE3"/>
    <w:rsid w:val="00D55D78"/>
    <w:rsid w:val="00D66324"/>
    <w:rsid w:val="00D750D0"/>
    <w:rsid w:val="00D82B0F"/>
    <w:rsid w:val="00D82C19"/>
    <w:rsid w:val="00D854DE"/>
    <w:rsid w:val="00DA2929"/>
    <w:rsid w:val="00DA42A3"/>
    <w:rsid w:val="00DA58C6"/>
    <w:rsid w:val="00DB11AA"/>
    <w:rsid w:val="00DB73CA"/>
    <w:rsid w:val="00DB73D9"/>
    <w:rsid w:val="00DC46D5"/>
    <w:rsid w:val="00DD4D51"/>
    <w:rsid w:val="00DD5AB2"/>
    <w:rsid w:val="00DD5E28"/>
    <w:rsid w:val="00DE0A14"/>
    <w:rsid w:val="00DF61BB"/>
    <w:rsid w:val="00E03237"/>
    <w:rsid w:val="00E03D00"/>
    <w:rsid w:val="00E06B4F"/>
    <w:rsid w:val="00E1516A"/>
    <w:rsid w:val="00E174C8"/>
    <w:rsid w:val="00E20B62"/>
    <w:rsid w:val="00E27075"/>
    <w:rsid w:val="00E31C06"/>
    <w:rsid w:val="00E32788"/>
    <w:rsid w:val="00E40261"/>
    <w:rsid w:val="00E43438"/>
    <w:rsid w:val="00E44999"/>
    <w:rsid w:val="00E50BBD"/>
    <w:rsid w:val="00E5106C"/>
    <w:rsid w:val="00E55F52"/>
    <w:rsid w:val="00E5691D"/>
    <w:rsid w:val="00E57C21"/>
    <w:rsid w:val="00E66821"/>
    <w:rsid w:val="00E70B37"/>
    <w:rsid w:val="00E70C55"/>
    <w:rsid w:val="00E80210"/>
    <w:rsid w:val="00E8278E"/>
    <w:rsid w:val="00E83452"/>
    <w:rsid w:val="00E92978"/>
    <w:rsid w:val="00E93C39"/>
    <w:rsid w:val="00E956EB"/>
    <w:rsid w:val="00EA0C56"/>
    <w:rsid w:val="00EB0636"/>
    <w:rsid w:val="00EB131B"/>
    <w:rsid w:val="00EB2A1B"/>
    <w:rsid w:val="00EC0C2B"/>
    <w:rsid w:val="00EC25B8"/>
    <w:rsid w:val="00EC4369"/>
    <w:rsid w:val="00EC6D80"/>
    <w:rsid w:val="00ED4583"/>
    <w:rsid w:val="00EF4568"/>
    <w:rsid w:val="00EF4C8A"/>
    <w:rsid w:val="00EF7062"/>
    <w:rsid w:val="00F001E5"/>
    <w:rsid w:val="00F02BDC"/>
    <w:rsid w:val="00F266D2"/>
    <w:rsid w:val="00F303D7"/>
    <w:rsid w:val="00F362DE"/>
    <w:rsid w:val="00F407DD"/>
    <w:rsid w:val="00F450AE"/>
    <w:rsid w:val="00F46493"/>
    <w:rsid w:val="00F52998"/>
    <w:rsid w:val="00F5464C"/>
    <w:rsid w:val="00F553C8"/>
    <w:rsid w:val="00F57958"/>
    <w:rsid w:val="00F60201"/>
    <w:rsid w:val="00F6097C"/>
    <w:rsid w:val="00F62104"/>
    <w:rsid w:val="00F65139"/>
    <w:rsid w:val="00F71A9A"/>
    <w:rsid w:val="00F73F26"/>
    <w:rsid w:val="00F84F40"/>
    <w:rsid w:val="00F859F6"/>
    <w:rsid w:val="00F86DD6"/>
    <w:rsid w:val="00F93680"/>
    <w:rsid w:val="00F93A4A"/>
    <w:rsid w:val="00F9449D"/>
    <w:rsid w:val="00FB10B5"/>
    <w:rsid w:val="00FB1CD2"/>
    <w:rsid w:val="00FC0912"/>
    <w:rsid w:val="00FC2998"/>
    <w:rsid w:val="00FC3285"/>
    <w:rsid w:val="00FC72F8"/>
    <w:rsid w:val="00FC7371"/>
    <w:rsid w:val="00FD4E9C"/>
    <w:rsid w:val="00FD59B9"/>
    <w:rsid w:val="00FE1516"/>
    <w:rsid w:val="00FE17FC"/>
    <w:rsid w:val="00FE48A3"/>
    <w:rsid w:val="00FF19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3489"/>
    <o:shapelayout v:ext="edit">
      <o:idmap v:ext="edit" data="1"/>
    </o:shapelayout>
  </w:shapeDefaults>
  <w:decimalSymbol w:val="."/>
  <w:listSeparator w:val=","/>
  <w15:chartTrackingRefBased/>
  <w15:docId w15:val="{B9A072F3-1439-49BE-959F-4B315DDE4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636"/>
    <w:pPr>
      <w:spacing w:after="240" w:line="260" w:lineRule="exact"/>
      <w:jc w:val="both"/>
    </w:pPr>
    <w:rPr>
      <w:rFonts w:ascii="Book Antiqua" w:eastAsia="Times New Roman" w:hAnsi="Book Antiqua"/>
    </w:rPr>
  </w:style>
  <w:style w:type="paragraph" w:styleId="Heading1">
    <w:name w:val="heading 1"/>
    <w:basedOn w:val="HeadingBase"/>
    <w:next w:val="Normal"/>
    <w:link w:val="Heading1Char"/>
    <w:qFormat/>
    <w:rsid w:val="00EB0636"/>
    <w:pPr>
      <w:spacing w:after="240"/>
      <w:jc w:val="center"/>
      <w:outlineLvl w:val="0"/>
    </w:pPr>
    <w:rPr>
      <w:rFonts w:ascii="Arial Bold" w:hAnsi="Arial Bold"/>
      <w:b/>
      <w:kern w:val="34"/>
      <w:sz w:val="36"/>
    </w:rPr>
  </w:style>
  <w:style w:type="paragraph" w:styleId="Heading2">
    <w:name w:val="heading 2"/>
    <w:basedOn w:val="HeadingBase"/>
    <w:next w:val="Normal"/>
    <w:link w:val="Heading2Char"/>
    <w:qFormat/>
    <w:rsid w:val="00EB0636"/>
    <w:pPr>
      <w:spacing w:before="240" w:after="240"/>
      <w:outlineLvl w:val="1"/>
    </w:pPr>
    <w:rPr>
      <w:rFonts w:ascii="Arial Bold" w:hAnsi="Arial Bold"/>
      <w:b/>
      <w:sz w:val="26"/>
    </w:rPr>
  </w:style>
  <w:style w:type="paragraph" w:styleId="Heading3">
    <w:name w:val="heading 3"/>
    <w:basedOn w:val="HeadingBase"/>
    <w:next w:val="Normal"/>
    <w:link w:val="Heading3Char"/>
    <w:qFormat/>
    <w:rsid w:val="00EB0636"/>
    <w:pPr>
      <w:spacing w:before="120" w:after="120"/>
      <w:outlineLvl w:val="2"/>
    </w:pPr>
    <w:rPr>
      <w:rFonts w:ascii="Arial Bold" w:hAnsi="Arial Bold"/>
      <w:b/>
      <w:sz w:val="22"/>
    </w:rPr>
  </w:style>
  <w:style w:type="paragraph" w:styleId="Heading4">
    <w:name w:val="heading 4"/>
    <w:basedOn w:val="HeadingBase"/>
    <w:next w:val="Normal"/>
    <w:link w:val="Heading4Char"/>
    <w:qFormat/>
    <w:rsid w:val="00EB0636"/>
    <w:pPr>
      <w:spacing w:after="120"/>
      <w:outlineLvl w:val="3"/>
    </w:pPr>
    <w:rPr>
      <w:rFonts w:ascii="Arial Bold" w:hAnsi="Arial Bold"/>
      <w:b/>
      <w:sz w:val="20"/>
    </w:rPr>
  </w:style>
  <w:style w:type="paragraph" w:styleId="Heading5">
    <w:name w:val="heading 5"/>
    <w:basedOn w:val="HeadingBase"/>
    <w:next w:val="Normal"/>
    <w:link w:val="Heading5Char"/>
    <w:qFormat/>
    <w:rsid w:val="00EB0636"/>
    <w:pPr>
      <w:spacing w:after="120"/>
      <w:outlineLvl w:val="4"/>
    </w:pPr>
    <w:rPr>
      <w:b/>
      <w:bCs/>
      <w:iCs/>
      <w:sz w:val="20"/>
      <w:szCs w:val="26"/>
    </w:rPr>
  </w:style>
  <w:style w:type="paragraph" w:styleId="Heading6">
    <w:name w:val="heading 6"/>
    <w:basedOn w:val="HeadingBase"/>
    <w:next w:val="Normal"/>
    <w:link w:val="Heading6Char"/>
    <w:rsid w:val="00EB0636"/>
    <w:pPr>
      <w:spacing w:after="120"/>
      <w:outlineLvl w:val="5"/>
    </w:pPr>
    <w:rPr>
      <w:bCs/>
      <w:sz w:val="20"/>
      <w:szCs w:val="22"/>
    </w:rPr>
  </w:style>
  <w:style w:type="paragraph" w:styleId="Heading7">
    <w:name w:val="heading 7"/>
    <w:basedOn w:val="HeadingBase"/>
    <w:next w:val="Normal"/>
    <w:link w:val="Heading7Char"/>
    <w:rsid w:val="00EB0636"/>
    <w:pPr>
      <w:spacing w:before="120"/>
      <w:outlineLvl w:val="6"/>
    </w:pPr>
    <w:rPr>
      <w:sz w:val="20"/>
      <w:szCs w:val="24"/>
    </w:rPr>
  </w:style>
  <w:style w:type="paragraph" w:styleId="Heading8">
    <w:name w:val="heading 8"/>
    <w:basedOn w:val="HeadingBase"/>
    <w:next w:val="Normal"/>
    <w:link w:val="Heading8Char"/>
    <w:rsid w:val="00EB0636"/>
    <w:pPr>
      <w:spacing w:before="240" w:after="60"/>
      <w:outlineLvl w:val="7"/>
    </w:pPr>
    <w:rPr>
      <w:rFonts w:ascii="Times New Roman" w:hAnsi="Times New Roman"/>
      <w:i/>
      <w:i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EB0636"/>
    <w:pPr>
      <w:tabs>
        <w:tab w:val="center" w:pos="4153"/>
        <w:tab w:val="right" w:pos="8306"/>
      </w:tabs>
    </w:pPr>
  </w:style>
  <w:style w:type="character" w:customStyle="1" w:styleId="HeaderChar">
    <w:name w:val="Header Char"/>
    <w:basedOn w:val="DefaultParagraphFont"/>
    <w:link w:val="Header"/>
    <w:rsid w:val="00EB0636"/>
    <w:rPr>
      <w:rFonts w:ascii="Book Antiqua" w:eastAsia="Times New Roman" w:hAnsi="Book Antiqua"/>
      <w:i/>
    </w:rPr>
  </w:style>
  <w:style w:type="paragraph" w:styleId="Footer">
    <w:name w:val="footer"/>
    <w:basedOn w:val="FooterBase"/>
    <w:link w:val="FooterChar"/>
    <w:rsid w:val="00EB0636"/>
    <w:pPr>
      <w:tabs>
        <w:tab w:val="center" w:pos="4153"/>
        <w:tab w:val="right" w:pos="8306"/>
      </w:tabs>
    </w:pPr>
  </w:style>
  <w:style w:type="character" w:customStyle="1" w:styleId="FooterChar">
    <w:name w:val="Footer Char"/>
    <w:basedOn w:val="DefaultParagraphFont"/>
    <w:link w:val="Footer"/>
    <w:rsid w:val="00EB0636"/>
    <w:rPr>
      <w:rFonts w:ascii="Arial" w:eastAsia="Times New Roman" w:hAnsi="Arial"/>
    </w:rPr>
  </w:style>
  <w:style w:type="paragraph" w:customStyle="1" w:styleId="SecurityClassificationHeader">
    <w:name w:val="Security Classification Header"/>
    <w:link w:val="SecurityClassificationHeaderChar"/>
    <w:rsid w:val="00EB0636"/>
    <w:pPr>
      <w:spacing w:before="240" w:after="60" w:line="259" w:lineRule="auto"/>
      <w:jc w:val="center"/>
    </w:pPr>
    <w:rPr>
      <w:rFonts w:ascii="Book Antiqua" w:eastAsiaTheme="minorHAnsi" w:hAnsi="Book Antiqua" w:cs="Calibri"/>
      <w:b/>
      <w:caps/>
      <w:sz w:val="24"/>
      <w:szCs w:val="22"/>
      <w:lang w:eastAsia="en-US"/>
    </w:rPr>
  </w:style>
  <w:style w:type="character" w:customStyle="1" w:styleId="SecurityClassificationHeaderChar">
    <w:name w:val="Security Classification Header Char"/>
    <w:basedOn w:val="HeaderChar"/>
    <w:link w:val="SecurityClassificationHeader"/>
    <w:rsid w:val="00EB0636"/>
    <w:rPr>
      <w:rFonts w:ascii="Book Antiqua" w:eastAsiaTheme="minorHAnsi" w:hAnsi="Book Antiqua" w:cs="Calibri"/>
      <w:b/>
      <w:i w:val="0"/>
      <w:caps/>
      <w:sz w:val="24"/>
      <w:szCs w:val="22"/>
      <w:lang w:eastAsia="en-US"/>
    </w:rPr>
  </w:style>
  <w:style w:type="paragraph" w:customStyle="1" w:styleId="SecurityClassificationFooter">
    <w:name w:val="Security Classification Footer"/>
    <w:link w:val="SecurityClassificationFooterChar"/>
    <w:rsid w:val="00EB0636"/>
    <w:pPr>
      <w:spacing w:before="60" w:after="240" w:line="259" w:lineRule="auto"/>
      <w:jc w:val="center"/>
    </w:pPr>
    <w:rPr>
      <w:rFonts w:ascii="Book Antiqua" w:eastAsiaTheme="minorHAnsi" w:hAnsi="Book Antiqua" w:cs="Calibri"/>
      <w:b/>
      <w:caps/>
      <w:sz w:val="24"/>
      <w:szCs w:val="22"/>
      <w:lang w:eastAsia="en-US"/>
    </w:rPr>
  </w:style>
  <w:style w:type="character" w:customStyle="1" w:styleId="SecurityClassificationFooterChar">
    <w:name w:val="Security Classification Footer Char"/>
    <w:basedOn w:val="HeaderChar"/>
    <w:link w:val="SecurityClassificationFooter"/>
    <w:rsid w:val="00EB0636"/>
    <w:rPr>
      <w:rFonts w:ascii="Book Antiqua" w:eastAsiaTheme="minorHAnsi" w:hAnsi="Book Antiqua" w:cs="Calibri"/>
      <w:b/>
      <w:i w:val="0"/>
      <w:caps/>
      <w:sz w:val="24"/>
      <w:szCs w:val="22"/>
      <w:lang w:eastAsia="en-US"/>
    </w:rPr>
  </w:style>
  <w:style w:type="paragraph" w:customStyle="1" w:styleId="DLMSecurityHeader">
    <w:name w:val="DLM Security Header"/>
    <w:link w:val="DLMSecurityHeaderChar"/>
    <w:rsid w:val="00EB0636"/>
    <w:pPr>
      <w:spacing w:before="60" w:after="240" w:line="259" w:lineRule="auto"/>
      <w:jc w:val="center"/>
    </w:pPr>
    <w:rPr>
      <w:rFonts w:ascii="Book Antiqua" w:eastAsiaTheme="minorHAnsi" w:hAnsi="Book Antiqua" w:cs="Calibri"/>
      <w:b/>
      <w:caps/>
      <w:sz w:val="24"/>
      <w:szCs w:val="22"/>
      <w:lang w:eastAsia="en-US"/>
    </w:rPr>
  </w:style>
  <w:style w:type="character" w:customStyle="1" w:styleId="DLMSecurityHeaderChar">
    <w:name w:val="DLM Security Header Char"/>
    <w:basedOn w:val="HeaderChar"/>
    <w:link w:val="DLMSecurityHeader"/>
    <w:rsid w:val="00EB0636"/>
    <w:rPr>
      <w:rFonts w:ascii="Book Antiqua" w:eastAsiaTheme="minorHAnsi" w:hAnsi="Book Antiqua" w:cs="Calibri"/>
      <w:b/>
      <w:i w:val="0"/>
      <w:caps/>
      <w:sz w:val="24"/>
      <w:szCs w:val="22"/>
      <w:lang w:eastAsia="en-US"/>
    </w:rPr>
  </w:style>
  <w:style w:type="paragraph" w:customStyle="1" w:styleId="DLMSecurityFooter">
    <w:name w:val="DLM Security Footer"/>
    <w:link w:val="DLMSecurityFooterChar"/>
    <w:rsid w:val="00EB0636"/>
    <w:pPr>
      <w:spacing w:before="240" w:after="60" w:line="259" w:lineRule="auto"/>
      <w:jc w:val="center"/>
    </w:pPr>
    <w:rPr>
      <w:rFonts w:ascii="Book Antiqua" w:eastAsiaTheme="minorHAnsi" w:hAnsi="Book Antiqua" w:cs="Calibri"/>
      <w:b/>
      <w:caps/>
      <w:sz w:val="24"/>
      <w:szCs w:val="22"/>
      <w:lang w:eastAsia="en-US"/>
    </w:rPr>
  </w:style>
  <w:style w:type="character" w:customStyle="1" w:styleId="DLMSecurityFooterChar">
    <w:name w:val="DLM Security Footer Char"/>
    <w:basedOn w:val="HeaderChar"/>
    <w:link w:val="DLMSecurityFooter"/>
    <w:rsid w:val="00EB0636"/>
    <w:rPr>
      <w:rFonts w:ascii="Book Antiqua" w:eastAsiaTheme="minorHAnsi" w:hAnsi="Book Antiqua" w:cs="Calibri"/>
      <w:b/>
      <w:i w:val="0"/>
      <w:caps/>
      <w:sz w:val="24"/>
      <w:szCs w:val="22"/>
      <w:lang w:eastAsia="en-US"/>
    </w:rPr>
  </w:style>
  <w:style w:type="paragraph" w:customStyle="1" w:styleId="Classification">
    <w:name w:val="Classification"/>
    <w:basedOn w:val="HeadingBase"/>
    <w:rsid w:val="00EB0636"/>
    <w:pPr>
      <w:jc w:val="center"/>
    </w:pPr>
    <w:rPr>
      <w:b/>
      <w:smallCaps/>
    </w:rPr>
  </w:style>
  <w:style w:type="paragraph" w:customStyle="1" w:styleId="FileProperties">
    <w:name w:val="File Properties"/>
    <w:basedOn w:val="Normal"/>
    <w:rsid w:val="00EB0636"/>
    <w:rPr>
      <w:i/>
    </w:rPr>
  </w:style>
  <w:style w:type="paragraph" w:customStyle="1" w:styleId="AlphaParagraph">
    <w:name w:val="Alpha Paragraph"/>
    <w:basedOn w:val="Normal"/>
    <w:rsid w:val="00EB0636"/>
    <w:pPr>
      <w:numPr>
        <w:numId w:val="1"/>
      </w:numPr>
      <w:tabs>
        <w:tab w:val="clear" w:pos="567"/>
        <w:tab w:val="num" w:pos="360"/>
      </w:tabs>
      <w:ind w:left="0" w:firstLine="0"/>
    </w:pPr>
  </w:style>
  <w:style w:type="paragraph" w:customStyle="1" w:styleId="HeadingBase">
    <w:name w:val="Heading Base"/>
    <w:rsid w:val="00EB0636"/>
    <w:pPr>
      <w:keepNext/>
    </w:pPr>
    <w:rPr>
      <w:rFonts w:ascii="Arial" w:eastAsia="Times New Roman" w:hAnsi="Arial"/>
      <w:sz w:val="24"/>
    </w:rPr>
  </w:style>
  <w:style w:type="paragraph" w:customStyle="1" w:styleId="AppendixHeading">
    <w:name w:val="Appendix Heading"/>
    <w:basedOn w:val="HeadingBase"/>
    <w:rsid w:val="00EB0636"/>
    <w:pPr>
      <w:spacing w:after="240"/>
      <w:jc w:val="center"/>
      <w:outlineLvl w:val="3"/>
    </w:pPr>
    <w:rPr>
      <w:rFonts w:ascii="Arial Bold" w:hAnsi="Arial Bold"/>
      <w:b/>
      <w:sz w:val="30"/>
    </w:rPr>
  </w:style>
  <w:style w:type="paragraph" w:styleId="BalloonText">
    <w:name w:val="Balloon Text"/>
    <w:basedOn w:val="Normal"/>
    <w:link w:val="BalloonTextChar"/>
    <w:rsid w:val="00EB0636"/>
    <w:rPr>
      <w:rFonts w:ascii="Tahoma" w:hAnsi="Tahoma" w:cs="Tahoma"/>
      <w:sz w:val="16"/>
      <w:szCs w:val="16"/>
    </w:rPr>
  </w:style>
  <w:style w:type="character" w:customStyle="1" w:styleId="BalloonTextChar">
    <w:name w:val="Balloon Text Char"/>
    <w:basedOn w:val="DefaultParagraphFont"/>
    <w:link w:val="BalloonText"/>
    <w:rsid w:val="00EB0636"/>
    <w:rPr>
      <w:rFonts w:ascii="Tahoma" w:eastAsia="Times New Roman" w:hAnsi="Tahoma" w:cs="Tahoma"/>
      <w:sz w:val="16"/>
      <w:szCs w:val="16"/>
    </w:rPr>
  </w:style>
  <w:style w:type="paragraph" w:customStyle="1" w:styleId="BlockedQuotation">
    <w:name w:val="Blocked Quotation"/>
    <w:basedOn w:val="Normal"/>
    <w:rsid w:val="00EB0636"/>
    <w:pPr>
      <w:ind w:left="567"/>
    </w:pPr>
  </w:style>
  <w:style w:type="paragraph" w:customStyle="1" w:styleId="BoxText">
    <w:name w:val="Box Text"/>
    <w:basedOn w:val="Normal"/>
    <w:qFormat/>
    <w:rsid w:val="00EB0636"/>
    <w:pPr>
      <w:spacing w:before="120" w:after="120" w:line="240" w:lineRule="auto"/>
    </w:pPr>
  </w:style>
  <w:style w:type="paragraph" w:customStyle="1" w:styleId="BoxBullet">
    <w:name w:val="Box Bullet"/>
    <w:basedOn w:val="BoxText"/>
    <w:rsid w:val="00EB0636"/>
    <w:pPr>
      <w:numPr>
        <w:numId w:val="2"/>
      </w:numPr>
    </w:pPr>
  </w:style>
  <w:style w:type="paragraph" w:customStyle="1" w:styleId="BoxHeading">
    <w:name w:val="Box Heading"/>
    <w:basedOn w:val="HeadingBase"/>
    <w:next w:val="BoxText"/>
    <w:rsid w:val="00EB0636"/>
    <w:pPr>
      <w:spacing w:before="120" w:after="120"/>
    </w:pPr>
    <w:rPr>
      <w:b/>
      <w:sz w:val="20"/>
    </w:rPr>
  </w:style>
  <w:style w:type="character" w:customStyle="1" w:styleId="Heading6Char">
    <w:name w:val="Heading 6 Char"/>
    <w:basedOn w:val="DefaultParagraphFont"/>
    <w:link w:val="Heading6"/>
    <w:rsid w:val="00EB0636"/>
    <w:rPr>
      <w:rFonts w:ascii="Arial" w:eastAsia="Times New Roman" w:hAnsi="Arial"/>
      <w:bCs/>
      <w:szCs w:val="22"/>
    </w:rPr>
  </w:style>
  <w:style w:type="paragraph" w:customStyle="1" w:styleId="BoxSubHeading">
    <w:name w:val="Box Sub Heading"/>
    <w:basedOn w:val="Heading6"/>
    <w:rsid w:val="00EB0636"/>
    <w:pPr>
      <w:spacing w:before="120" w:after="40"/>
    </w:pPr>
  </w:style>
  <w:style w:type="paragraph" w:customStyle="1" w:styleId="Bullet">
    <w:name w:val="Bullet"/>
    <w:basedOn w:val="Normal"/>
    <w:link w:val="BulletChar"/>
    <w:qFormat/>
    <w:rsid w:val="00EB0636"/>
    <w:pPr>
      <w:numPr>
        <w:numId w:val="3"/>
      </w:numPr>
    </w:pPr>
  </w:style>
  <w:style w:type="paragraph" w:styleId="Caption">
    <w:name w:val="caption"/>
    <w:basedOn w:val="Normal"/>
    <w:next w:val="Normal"/>
    <w:rsid w:val="00EB0636"/>
    <w:rPr>
      <w:b/>
      <w:bCs/>
    </w:rPr>
  </w:style>
  <w:style w:type="paragraph" w:customStyle="1" w:styleId="ChartandTableFootnote">
    <w:name w:val="Chart and Table Footnote"/>
    <w:basedOn w:val="HeadingBase"/>
    <w:next w:val="Normal"/>
    <w:rsid w:val="00EB0636"/>
    <w:pPr>
      <w:keepNext w:val="0"/>
      <w:tabs>
        <w:tab w:val="left" w:pos="284"/>
      </w:tabs>
      <w:jc w:val="both"/>
    </w:pPr>
    <w:rPr>
      <w:color w:val="000000"/>
      <w:sz w:val="16"/>
    </w:rPr>
  </w:style>
  <w:style w:type="paragraph" w:customStyle="1" w:styleId="ChartandTableFootnoteAlpha">
    <w:name w:val="Chart and Table Footnote Alpha"/>
    <w:basedOn w:val="HeadingBase"/>
    <w:next w:val="Normal"/>
    <w:link w:val="ChartandTableFootnoteAlphaChar"/>
    <w:rsid w:val="00EB0636"/>
    <w:pPr>
      <w:keepNext w:val="0"/>
      <w:numPr>
        <w:numId w:val="4"/>
      </w:numPr>
      <w:jc w:val="both"/>
    </w:pPr>
    <w:rPr>
      <w:color w:val="000000"/>
      <w:sz w:val="16"/>
    </w:rPr>
  </w:style>
  <w:style w:type="paragraph" w:customStyle="1" w:styleId="ChartandTableFootnoteSmall">
    <w:name w:val="Chart and Table Footnote Small"/>
    <w:basedOn w:val="HeadingBase"/>
    <w:next w:val="Normal"/>
    <w:rsid w:val="00EB0636"/>
    <w:pPr>
      <w:keepNext w:val="0"/>
      <w:tabs>
        <w:tab w:val="left" w:pos="284"/>
      </w:tabs>
      <w:jc w:val="both"/>
    </w:pPr>
    <w:rPr>
      <w:color w:val="000000"/>
      <w:sz w:val="15"/>
    </w:rPr>
  </w:style>
  <w:style w:type="paragraph" w:customStyle="1" w:styleId="ChartGraphic">
    <w:name w:val="Chart Graphic"/>
    <w:basedOn w:val="HeadingBase"/>
    <w:rsid w:val="00EB0636"/>
    <w:pPr>
      <w:jc w:val="center"/>
    </w:pPr>
    <w:rPr>
      <w:sz w:val="20"/>
    </w:rPr>
  </w:style>
  <w:style w:type="paragraph" w:customStyle="1" w:styleId="ChartHeading">
    <w:name w:val="Chart Heading"/>
    <w:basedOn w:val="HeadingBase"/>
    <w:next w:val="ChartGraphic"/>
    <w:qFormat/>
    <w:rsid w:val="00EB0636"/>
    <w:pPr>
      <w:spacing w:before="120" w:after="20"/>
      <w:jc w:val="center"/>
    </w:pPr>
    <w:rPr>
      <w:b/>
      <w:sz w:val="20"/>
    </w:rPr>
  </w:style>
  <w:style w:type="paragraph" w:customStyle="1" w:styleId="ChartMainHeading">
    <w:name w:val="Chart Main Heading"/>
    <w:basedOn w:val="Normal"/>
    <w:next w:val="ChartGraphic"/>
    <w:rsid w:val="00EB0636"/>
    <w:pPr>
      <w:keepNext/>
      <w:spacing w:before="120" w:after="20" w:line="240" w:lineRule="auto"/>
      <w:jc w:val="center"/>
    </w:pPr>
    <w:rPr>
      <w:rFonts w:ascii="Arial Bold" w:hAnsi="Arial Bold"/>
      <w:b/>
    </w:rPr>
  </w:style>
  <w:style w:type="paragraph" w:customStyle="1" w:styleId="ChartSecondHeading">
    <w:name w:val="Chart Second Heading"/>
    <w:basedOn w:val="HeadingBase"/>
    <w:next w:val="ChartGraphic"/>
    <w:rsid w:val="00EB0636"/>
    <w:pPr>
      <w:spacing w:before="60"/>
      <w:jc w:val="center"/>
    </w:pPr>
    <w:rPr>
      <w:sz w:val="20"/>
    </w:rPr>
  </w:style>
  <w:style w:type="character" w:styleId="CommentReference">
    <w:name w:val="annotation reference"/>
    <w:basedOn w:val="DefaultParagraphFont"/>
    <w:semiHidden/>
    <w:rsid w:val="00EB0636"/>
    <w:rPr>
      <w:sz w:val="16"/>
      <w:szCs w:val="16"/>
    </w:rPr>
  </w:style>
  <w:style w:type="paragraph" w:styleId="CommentText">
    <w:name w:val="annotation text"/>
    <w:basedOn w:val="Normal"/>
    <w:link w:val="CommentTextChar"/>
    <w:semiHidden/>
    <w:rsid w:val="00EB0636"/>
  </w:style>
  <w:style w:type="character" w:customStyle="1" w:styleId="CommentTextChar">
    <w:name w:val="Comment Text Char"/>
    <w:basedOn w:val="DefaultParagraphFont"/>
    <w:link w:val="CommentText"/>
    <w:semiHidden/>
    <w:rsid w:val="00EB0636"/>
    <w:rPr>
      <w:rFonts w:ascii="Book Antiqua" w:eastAsia="Times New Roman" w:hAnsi="Book Antiqua"/>
    </w:rPr>
  </w:style>
  <w:style w:type="paragraph" w:styleId="CommentSubject">
    <w:name w:val="annotation subject"/>
    <w:basedOn w:val="CommentText"/>
    <w:next w:val="CommentText"/>
    <w:link w:val="CommentSubjectChar"/>
    <w:semiHidden/>
    <w:rsid w:val="00EB0636"/>
    <w:rPr>
      <w:b/>
      <w:bCs/>
    </w:rPr>
  </w:style>
  <w:style w:type="character" w:customStyle="1" w:styleId="CommentSubjectChar">
    <w:name w:val="Comment Subject Char"/>
    <w:basedOn w:val="CommentTextChar"/>
    <w:link w:val="CommentSubject"/>
    <w:semiHidden/>
    <w:rsid w:val="00EB0636"/>
    <w:rPr>
      <w:rFonts w:ascii="Book Antiqua" w:eastAsia="Times New Roman" w:hAnsi="Book Antiqua"/>
      <w:b/>
      <w:bCs/>
    </w:rPr>
  </w:style>
  <w:style w:type="paragraph" w:customStyle="1" w:styleId="ContentsHeading">
    <w:name w:val="Contents Heading"/>
    <w:basedOn w:val="HeadingBase"/>
    <w:next w:val="Normal"/>
    <w:rsid w:val="00EB0636"/>
    <w:pPr>
      <w:spacing w:after="720"/>
      <w:jc w:val="center"/>
    </w:pPr>
    <w:rPr>
      <w:rFonts w:ascii="Arial Bold" w:hAnsi="Arial Bold"/>
      <w:b/>
      <w:sz w:val="36"/>
    </w:rPr>
  </w:style>
  <w:style w:type="paragraph" w:customStyle="1" w:styleId="ContentsnoToC">
    <w:name w:val="Contents no ToC"/>
    <w:basedOn w:val="ContentsHeading"/>
    <w:rsid w:val="00EB0636"/>
  </w:style>
  <w:style w:type="paragraph" w:customStyle="1" w:styleId="Dash">
    <w:name w:val="Dash"/>
    <w:basedOn w:val="Normal"/>
    <w:qFormat/>
    <w:rsid w:val="00EB0636"/>
    <w:pPr>
      <w:numPr>
        <w:ilvl w:val="1"/>
        <w:numId w:val="3"/>
      </w:numPr>
      <w:tabs>
        <w:tab w:val="left" w:pos="567"/>
      </w:tabs>
    </w:pPr>
  </w:style>
  <w:style w:type="paragraph" w:styleId="DocumentMap">
    <w:name w:val="Document Map"/>
    <w:basedOn w:val="Normal"/>
    <w:link w:val="DocumentMapChar"/>
    <w:semiHidden/>
    <w:rsid w:val="00EB0636"/>
    <w:pPr>
      <w:shd w:val="clear" w:color="auto" w:fill="000080"/>
    </w:pPr>
    <w:rPr>
      <w:rFonts w:ascii="Tahoma" w:hAnsi="Tahoma" w:cs="Tahoma"/>
    </w:rPr>
  </w:style>
  <w:style w:type="character" w:customStyle="1" w:styleId="DocumentMapChar">
    <w:name w:val="Document Map Char"/>
    <w:basedOn w:val="DefaultParagraphFont"/>
    <w:link w:val="DocumentMap"/>
    <w:semiHidden/>
    <w:rsid w:val="00EB0636"/>
    <w:rPr>
      <w:rFonts w:ascii="Tahoma" w:eastAsia="Times New Roman" w:hAnsi="Tahoma" w:cs="Tahoma"/>
      <w:shd w:val="clear" w:color="auto" w:fill="000080"/>
    </w:rPr>
  </w:style>
  <w:style w:type="paragraph" w:customStyle="1" w:styleId="DoubleDot">
    <w:name w:val="Double Dot"/>
    <w:basedOn w:val="Normal"/>
    <w:rsid w:val="00EB0636"/>
    <w:pPr>
      <w:numPr>
        <w:ilvl w:val="2"/>
        <w:numId w:val="3"/>
      </w:numPr>
      <w:tabs>
        <w:tab w:val="clear" w:pos="850"/>
        <w:tab w:val="num" w:pos="360"/>
        <w:tab w:val="left" w:pos="851"/>
      </w:tabs>
    </w:pPr>
  </w:style>
  <w:style w:type="character" w:styleId="EndnoteReference">
    <w:name w:val="endnote reference"/>
    <w:basedOn w:val="DefaultParagraphFont"/>
    <w:unhideWhenUsed/>
    <w:rsid w:val="00EB0636"/>
    <w:rPr>
      <w:vertAlign w:val="superscript"/>
    </w:rPr>
  </w:style>
  <w:style w:type="paragraph" w:styleId="EndnoteText">
    <w:name w:val="endnote text"/>
    <w:basedOn w:val="Normal"/>
    <w:link w:val="EndnoteTextChar"/>
    <w:unhideWhenUsed/>
    <w:rsid w:val="00EB0636"/>
  </w:style>
  <w:style w:type="character" w:customStyle="1" w:styleId="EndnoteTextChar">
    <w:name w:val="Endnote Text Char"/>
    <w:basedOn w:val="DefaultParagraphFont"/>
    <w:link w:val="EndnoteText"/>
    <w:rsid w:val="00EB0636"/>
    <w:rPr>
      <w:rFonts w:ascii="Book Antiqua" w:eastAsia="Times New Roman" w:hAnsi="Book Antiqua"/>
    </w:rPr>
  </w:style>
  <w:style w:type="paragraph" w:customStyle="1" w:styleId="FigureHeading">
    <w:name w:val="Figure Heading"/>
    <w:basedOn w:val="HeadingBase"/>
    <w:next w:val="ChartGraphic"/>
    <w:rsid w:val="00EB0636"/>
    <w:pPr>
      <w:spacing w:before="120" w:after="20"/>
    </w:pPr>
    <w:rPr>
      <w:b/>
      <w:sz w:val="20"/>
    </w:rPr>
  </w:style>
  <w:style w:type="paragraph" w:customStyle="1" w:styleId="FooterBase">
    <w:name w:val="Footer Base"/>
    <w:rsid w:val="00EB0636"/>
    <w:pPr>
      <w:jc w:val="center"/>
    </w:pPr>
    <w:rPr>
      <w:rFonts w:ascii="Arial" w:eastAsia="Times New Roman" w:hAnsi="Arial"/>
    </w:rPr>
  </w:style>
  <w:style w:type="paragraph" w:customStyle="1" w:styleId="FooterEven">
    <w:name w:val="Footer Even"/>
    <w:basedOn w:val="Footer"/>
    <w:rsid w:val="00EB0636"/>
    <w:pPr>
      <w:jc w:val="left"/>
    </w:pPr>
    <w:rPr>
      <w:sz w:val="18"/>
    </w:rPr>
  </w:style>
  <w:style w:type="paragraph" w:customStyle="1" w:styleId="FooterOdd">
    <w:name w:val="Footer Odd"/>
    <w:basedOn w:val="Footer"/>
    <w:rsid w:val="00EB0636"/>
    <w:pPr>
      <w:jc w:val="right"/>
    </w:pPr>
    <w:rPr>
      <w:sz w:val="18"/>
    </w:rPr>
  </w:style>
  <w:style w:type="character" w:styleId="FootnoteReference">
    <w:name w:val="footnote reference"/>
    <w:basedOn w:val="DefaultParagraphFont"/>
    <w:rsid w:val="00EB0636"/>
    <w:rPr>
      <w:vertAlign w:val="superscript"/>
    </w:rPr>
  </w:style>
  <w:style w:type="paragraph" w:styleId="FootnoteText">
    <w:name w:val="footnote text"/>
    <w:basedOn w:val="Normal"/>
    <w:link w:val="FootnoteTextChar"/>
    <w:rsid w:val="00EB0636"/>
    <w:pPr>
      <w:tabs>
        <w:tab w:val="left" w:pos="284"/>
      </w:tabs>
      <w:spacing w:after="0" w:line="240" w:lineRule="auto"/>
      <w:ind w:left="284" w:hanging="284"/>
    </w:pPr>
    <w:rPr>
      <w:sz w:val="18"/>
    </w:rPr>
  </w:style>
  <w:style w:type="character" w:customStyle="1" w:styleId="FootnoteTextChar">
    <w:name w:val="Footnote Text Char"/>
    <w:basedOn w:val="DefaultParagraphFont"/>
    <w:link w:val="FootnoteText"/>
    <w:rsid w:val="00EB0636"/>
    <w:rPr>
      <w:rFonts w:ascii="Book Antiqua" w:eastAsia="Times New Roman" w:hAnsi="Book Antiqua"/>
      <w:sz w:val="18"/>
    </w:rPr>
  </w:style>
  <w:style w:type="character" w:customStyle="1" w:styleId="FramedHeader">
    <w:name w:val="Framed Header"/>
    <w:basedOn w:val="DefaultParagraphFont"/>
    <w:rsid w:val="00EB0636"/>
    <w:rPr>
      <w:rFonts w:ascii="Book Antiqua" w:hAnsi="Book Antiqua"/>
      <w:i/>
      <w:dstrike w:val="0"/>
      <w:color w:val="auto"/>
      <w:sz w:val="20"/>
      <w:vertAlign w:val="baseline"/>
    </w:rPr>
  </w:style>
  <w:style w:type="paragraph" w:customStyle="1" w:styleId="HeaderBase">
    <w:name w:val="Header Base"/>
    <w:rsid w:val="00EB0636"/>
    <w:rPr>
      <w:rFonts w:ascii="Book Antiqua" w:eastAsia="Times New Roman" w:hAnsi="Book Antiqua"/>
      <w:i/>
    </w:rPr>
  </w:style>
  <w:style w:type="paragraph" w:customStyle="1" w:styleId="HeaderEven">
    <w:name w:val="Header Even"/>
    <w:basedOn w:val="HeaderBase"/>
    <w:rsid w:val="00EB0636"/>
  </w:style>
  <w:style w:type="paragraph" w:customStyle="1" w:styleId="HeaderOdd">
    <w:name w:val="Header Odd"/>
    <w:basedOn w:val="HeaderBase"/>
    <w:rsid w:val="00EB0636"/>
    <w:pPr>
      <w:jc w:val="right"/>
    </w:pPr>
  </w:style>
  <w:style w:type="character" w:customStyle="1" w:styleId="Heading1Char">
    <w:name w:val="Heading 1 Char"/>
    <w:basedOn w:val="DefaultParagraphFont"/>
    <w:link w:val="Heading1"/>
    <w:rsid w:val="00EB0636"/>
    <w:rPr>
      <w:rFonts w:ascii="Arial Bold" w:eastAsia="Times New Roman" w:hAnsi="Arial Bold"/>
      <w:b/>
      <w:kern w:val="34"/>
      <w:sz w:val="36"/>
    </w:rPr>
  </w:style>
  <w:style w:type="character" w:customStyle="1" w:styleId="Heading2Char">
    <w:name w:val="Heading 2 Char"/>
    <w:basedOn w:val="DefaultParagraphFont"/>
    <w:link w:val="Heading2"/>
    <w:rsid w:val="00EB0636"/>
    <w:rPr>
      <w:rFonts w:ascii="Arial Bold" w:eastAsia="Times New Roman" w:hAnsi="Arial Bold"/>
      <w:b/>
      <w:sz w:val="26"/>
    </w:rPr>
  </w:style>
  <w:style w:type="character" w:customStyle="1" w:styleId="Heading3Char">
    <w:name w:val="Heading 3 Char"/>
    <w:basedOn w:val="DefaultParagraphFont"/>
    <w:link w:val="Heading3"/>
    <w:rsid w:val="00EB0636"/>
    <w:rPr>
      <w:rFonts w:ascii="Arial Bold" w:eastAsia="Times New Roman" w:hAnsi="Arial Bold"/>
      <w:b/>
      <w:sz w:val="22"/>
    </w:rPr>
  </w:style>
  <w:style w:type="paragraph" w:customStyle="1" w:styleId="Heading3noTOC">
    <w:name w:val="Heading 3 no TOC"/>
    <w:basedOn w:val="Heading3"/>
    <w:rsid w:val="00EB0636"/>
    <w:pPr>
      <w:outlineLvl w:val="9"/>
    </w:pPr>
  </w:style>
  <w:style w:type="character" w:customStyle="1" w:styleId="Heading4Char">
    <w:name w:val="Heading 4 Char"/>
    <w:basedOn w:val="DefaultParagraphFont"/>
    <w:link w:val="Heading4"/>
    <w:rsid w:val="00EB0636"/>
    <w:rPr>
      <w:rFonts w:ascii="Arial Bold" w:eastAsia="Times New Roman" w:hAnsi="Arial Bold"/>
      <w:b/>
    </w:rPr>
  </w:style>
  <w:style w:type="character" w:customStyle="1" w:styleId="Heading5Char">
    <w:name w:val="Heading 5 Char"/>
    <w:basedOn w:val="DefaultParagraphFont"/>
    <w:link w:val="Heading5"/>
    <w:rsid w:val="00EB0636"/>
    <w:rPr>
      <w:rFonts w:ascii="Arial" w:eastAsia="Times New Roman" w:hAnsi="Arial"/>
      <w:b/>
      <w:bCs/>
      <w:iCs/>
      <w:szCs w:val="26"/>
    </w:rPr>
  </w:style>
  <w:style w:type="character" w:customStyle="1" w:styleId="Heading7Char">
    <w:name w:val="Heading 7 Char"/>
    <w:basedOn w:val="DefaultParagraphFont"/>
    <w:link w:val="Heading7"/>
    <w:rsid w:val="00EB0636"/>
    <w:rPr>
      <w:rFonts w:ascii="Arial" w:eastAsia="Times New Roman" w:hAnsi="Arial"/>
      <w:szCs w:val="24"/>
    </w:rPr>
  </w:style>
  <w:style w:type="character" w:customStyle="1" w:styleId="Heading8Char">
    <w:name w:val="Heading 8 Char"/>
    <w:basedOn w:val="DefaultParagraphFont"/>
    <w:link w:val="Heading8"/>
    <w:rsid w:val="00EB0636"/>
    <w:rPr>
      <w:rFonts w:ascii="Times New Roman" w:eastAsia="Times New Roman" w:hAnsi="Times New Roman"/>
      <w:i/>
      <w:iCs/>
      <w:sz w:val="16"/>
      <w:szCs w:val="24"/>
    </w:rPr>
  </w:style>
  <w:style w:type="character" w:customStyle="1" w:styleId="HiddenSequenceCode">
    <w:name w:val="Hidden Sequence Code"/>
    <w:basedOn w:val="DefaultParagraphFont"/>
    <w:rsid w:val="00EB0636"/>
    <w:rPr>
      <w:rFonts w:ascii="Times New Roman" w:hAnsi="Times New Roman"/>
      <w:vanish/>
      <w:sz w:val="16"/>
    </w:rPr>
  </w:style>
  <w:style w:type="character" w:styleId="Hyperlink">
    <w:name w:val="Hyperlink"/>
    <w:basedOn w:val="DefaultParagraphFont"/>
    <w:uiPriority w:val="99"/>
    <w:unhideWhenUsed/>
    <w:rsid w:val="00EB0636"/>
    <w:rPr>
      <w:color w:val="0000FF"/>
      <w:u w:val="single"/>
    </w:rPr>
  </w:style>
  <w:style w:type="paragraph" w:styleId="Index1">
    <w:name w:val="index 1"/>
    <w:basedOn w:val="Normal"/>
    <w:next w:val="Normal"/>
    <w:rsid w:val="00EB0636"/>
    <w:pPr>
      <w:ind w:left="200" w:hanging="200"/>
    </w:pPr>
  </w:style>
  <w:style w:type="paragraph" w:styleId="Index2">
    <w:name w:val="index 2"/>
    <w:basedOn w:val="Normal"/>
    <w:next w:val="Normal"/>
    <w:rsid w:val="00EB0636"/>
    <w:pPr>
      <w:ind w:left="400" w:hanging="200"/>
    </w:pPr>
  </w:style>
  <w:style w:type="paragraph" w:styleId="Index3">
    <w:name w:val="index 3"/>
    <w:basedOn w:val="Normal"/>
    <w:next w:val="Normal"/>
    <w:rsid w:val="00EB0636"/>
    <w:pPr>
      <w:ind w:left="600" w:hanging="200"/>
    </w:pPr>
  </w:style>
  <w:style w:type="paragraph" w:styleId="Index4">
    <w:name w:val="index 4"/>
    <w:basedOn w:val="Normal"/>
    <w:next w:val="Normal"/>
    <w:autoRedefine/>
    <w:semiHidden/>
    <w:rsid w:val="00EB0636"/>
    <w:pPr>
      <w:ind w:left="800" w:hanging="200"/>
    </w:pPr>
  </w:style>
  <w:style w:type="paragraph" w:styleId="Index5">
    <w:name w:val="index 5"/>
    <w:basedOn w:val="Normal"/>
    <w:next w:val="Normal"/>
    <w:autoRedefine/>
    <w:semiHidden/>
    <w:rsid w:val="00EB0636"/>
    <w:pPr>
      <w:ind w:left="1000" w:hanging="200"/>
    </w:pPr>
  </w:style>
  <w:style w:type="paragraph" w:styleId="Index6">
    <w:name w:val="index 6"/>
    <w:basedOn w:val="Normal"/>
    <w:next w:val="Normal"/>
    <w:autoRedefine/>
    <w:semiHidden/>
    <w:rsid w:val="00EB0636"/>
    <w:pPr>
      <w:ind w:left="1200" w:hanging="200"/>
    </w:pPr>
  </w:style>
  <w:style w:type="paragraph" w:styleId="Index7">
    <w:name w:val="index 7"/>
    <w:basedOn w:val="Normal"/>
    <w:next w:val="Normal"/>
    <w:autoRedefine/>
    <w:semiHidden/>
    <w:rsid w:val="00EB0636"/>
    <w:pPr>
      <w:ind w:left="1400" w:hanging="200"/>
    </w:pPr>
  </w:style>
  <w:style w:type="paragraph" w:styleId="Index8">
    <w:name w:val="index 8"/>
    <w:basedOn w:val="Normal"/>
    <w:next w:val="Normal"/>
    <w:autoRedefine/>
    <w:semiHidden/>
    <w:rsid w:val="00EB0636"/>
    <w:pPr>
      <w:ind w:left="1600" w:hanging="200"/>
    </w:pPr>
  </w:style>
  <w:style w:type="paragraph" w:styleId="Index9">
    <w:name w:val="index 9"/>
    <w:basedOn w:val="Normal"/>
    <w:next w:val="Normal"/>
    <w:autoRedefine/>
    <w:semiHidden/>
    <w:rsid w:val="00EB0636"/>
    <w:pPr>
      <w:ind w:left="1800" w:hanging="200"/>
    </w:pPr>
  </w:style>
  <w:style w:type="paragraph" w:styleId="IndexHeading">
    <w:name w:val="index heading"/>
    <w:basedOn w:val="Normal"/>
    <w:next w:val="Index1"/>
    <w:rsid w:val="00EB0636"/>
    <w:rPr>
      <w:rFonts w:ascii="Arial Bold" w:hAnsi="Arial Bold" w:cs="Arial"/>
      <w:b/>
      <w:bCs/>
      <w:color w:val="002B54"/>
    </w:rPr>
  </w:style>
  <w:style w:type="paragraph" w:styleId="MacroText">
    <w:name w:val="macro"/>
    <w:link w:val="MacroTextChar"/>
    <w:unhideWhenUsed/>
    <w:rsid w:val="00EB0636"/>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rPr>
  </w:style>
  <w:style w:type="character" w:customStyle="1" w:styleId="MacroTextChar">
    <w:name w:val="Macro Text Char"/>
    <w:basedOn w:val="DefaultParagraphFont"/>
    <w:link w:val="MacroText"/>
    <w:rsid w:val="00EB0636"/>
    <w:rPr>
      <w:rFonts w:ascii="Courier New" w:eastAsia="Times New Roman" w:hAnsi="Courier New" w:cs="Courier New"/>
    </w:rPr>
  </w:style>
  <w:style w:type="paragraph" w:styleId="NormalIndent">
    <w:name w:val="Normal Indent"/>
    <w:basedOn w:val="Normal"/>
    <w:rsid w:val="00EB0636"/>
    <w:pPr>
      <w:ind w:left="567"/>
    </w:pPr>
  </w:style>
  <w:style w:type="paragraph" w:customStyle="1" w:styleId="NoteTableHeading">
    <w:name w:val="Note Table Heading"/>
    <w:basedOn w:val="HeadingBase"/>
    <w:next w:val="Normal"/>
    <w:rsid w:val="00EB0636"/>
    <w:pPr>
      <w:spacing w:before="240"/>
    </w:pPr>
    <w:rPr>
      <w:b/>
      <w:sz w:val="20"/>
    </w:rPr>
  </w:style>
  <w:style w:type="paragraph" w:customStyle="1" w:styleId="OverviewParagraph">
    <w:name w:val="Overview Paragraph"/>
    <w:basedOn w:val="Normal"/>
    <w:rsid w:val="00EB0636"/>
    <w:pPr>
      <w:spacing w:before="120" w:after="120" w:line="240" w:lineRule="auto"/>
    </w:pPr>
  </w:style>
  <w:style w:type="character" w:styleId="PageNumber">
    <w:name w:val="page number"/>
    <w:basedOn w:val="DefaultParagraphFont"/>
    <w:rsid w:val="00EB0636"/>
    <w:rPr>
      <w:rFonts w:ascii="Arial" w:hAnsi="Arial" w:cs="Arial"/>
    </w:rPr>
  </w:style>
  <w:style w:type="paragraph" w:customStyle="1" w:styleId="SingleParagraph">
    <w:name w:val="Single Paragraph"/>
    <w:basedOn w:val="Normal"/>
    <w:rsid w:val="00EB0636"/>
    <w:pPr>
      <w:spacing w:after="0"/>
    </w:pPr>
  </w:style>
  <w:style w:type="paragraph" w:customStyle="1" w:styleId="Source">
    <w:name w:val="Source"/>
    <w:basedOn w:val="Normal"/>
    <w:rsid w:val="00EB0636"/>
    <w:pPr>
      <w:tabs>
        <w:tab w:val="left" w:pos="284"/>
      </w:tabs>
      <w:spacing w:line="240" w:lineRule="auto"/>
    </w:pPr>
    <w:rPr>
      <w:rFonts w:ascii="Arial" w:hAnsi="Arial"/>
      <w:sz w:val="16"/>
    </w:rPr>
  </w:style>
  <w:style w:type="paragraph" w:customStyle="1" w:styleId="SourceBox">
    <w:name w:val="Source Box"/>
    <w:basedOn w:val="Source"/>
    <w:rsid w:val="00EB0636"/>
    <w:pPr>
      <w:spacing w:after="120"/>
    </w:pPr>
  </w:style>
  <w:style w:type="paragraph" w:customStyle="1" w:styleId="TableColumnHeadingBase">
    <w:name w:val="Table Column Heading Base"/>
    <w:basedOn w:val="Normal"/>
    <w:rsid w:val="00EB0636"/>
    <w:pPr>
      <w:spacing w:before="40" w:after="40" w:line="240" w:lineRule="auto"/>
      <w:jc w:val="left"/>
    </w:pPr>
    <w:rPr>
      <w:rFonts w:ascii="Arial Bold" w:hAnsi="Arial Bold"/>
      <w:b/>
      <w:sz w:val="16"/>
    </w:rPr>
  </w:style>
  <w:style w:type="paragraph" w:customStyle="1" w:styleId="TableColumnHeadingCentred">
    <w:name w:val="Table Column Heading Centred"/>
    <w:basedOn w:val="TableColumnHeadingBase"/>
    <w:next w:val="Normal"/>
    <w:rsid w:val="00EB0636"/>
    <w:pPr>
      <w:jc w:val="center"/>
    </w:pPr>
  </w:style>
  <w:style w:type="paragraph" w:customStyle="1" w:styleId="TableColumnHeadingLeft">
    <w:name w:val="Table Column Heading Left"/>
    <w:basedOn w:val="TableColumnHeadingBase"/>
    <w:next w:val="Normal"/>
    <w:rsid w:val="00EB0636"/>
  </w:style>
  <w:style w:type="paragraph" w:customStyle="1" w:styleId="TableColumnHeadingRight">
    <w:name w:val="Table Column Heading Right"/>
    <w:basedOn w:val="TableColumnHeadingBase"/>
    <w:next w:val="Normal"/>
    <w:rsid w:val="00EB0636"/>
    <w:pPr>
      <w:jc w:val="right"/>
    </w:pPr>
  </w:style>
  <w:style w:type="paragraph" w:customStyle="1" w:styleId="TableColumnHeadingS118pt">
    <w:name w:val="Table Column Heading S11 8 pt"/>
    <w:basedOn w:val="TableColumnHeadingBase"/>
    <w:rsid w:val="00EB0636"/>
    <w:pPr>
      <w:spacing w:after="0"/>
    </w:pPr>
    <w:rPr>
      <w:rFonts w:ascii="Arial" w:hAnsi="Arial"/>
    </w:rPr>
  </w:style>
  <w:style w:type="paragraph" w:customStyle="1" w:styleId="TableColumnHeadingS119pt">
    <w:name w:val="Table Column Heading S11 9 pt"/>
    <w:basedOn w:val="TableColumnHeadingBase"/>
    <w:rsid w:val="00EB0636"/>
    <w:pPr>
      <w:spacing w:before="60" w:after="60"/>
    </w:pPr>
    <w:rPr>
      <w:rFonts w:ascii="Arial" w:hAnsi="Arial"/>
      <w:sz w:val="18"/>
    </w:rPr>
  </w:style>
  <w:style w:type="paragraph" w:customStyle="1" w:styleId="TableGraphic">
    <w:name w:val="Table Graphic"/>
    <w:basedOn w:val="Normal"/>
    <w:next w:val="Normal"/>
    <w:link w:val="TableGraphicChar"/>
    <w:rsid w:val="00EB0636"/>
    <w:pPr>
      <w:spacing w:after="0" w:line="240" w:lineRule="auto"/>
      <w:ind w:right="-113"/>
    </w:pPr>
  </w:style>
  <w:style w:type="table" w:styleId="TableGrid">
    <w:name w:val="Table Grid"/>
    <w:basedOn w:val="TableNormal"/>
    <w:rsid w:val="00EB0636"/>
    <w:pPr>
      <w:spacing w:after="240" w:line="260" w:lineRule="exact"/>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link w:val="TableHeadingChar"/>
    <w:qFormat/>
    <w:rsid w:val="00EB0636"/>
    <w:pPr>
      <w:spacing w:before="120" w:after="20"/>
    </w:pPr>
    <w:rPr>
      <w:b/>
      <w:sz w:val="20"/>
    </w:rPr>
  </w:style>
  <w:style w:type="paragraph" w:customStyle="1" w:styleId="TableHeadingcontinued">
    <w:name w:val="Table Heading continued"/>
    <w:basedOn w:val="HeadingBase"/>
    <w:next w:val="TableGraphic"/>
    <w:rsid w:val="00EB0636"/>
    <w:pPr>
      <w:spacing w:before="120" w:after="20"/>
    </w:pPr>
    <w:rPr>
      <w:rFonts w:ascii="Arial Bold" w:hAnsi="Arial Bold"/>
      <w:b/>
      <w:sz w:val="20"/>
    </w:rPr>
  </w:style>
  <w:style w:type="paragraph" w:styleId="TableofAuthorities">
    <w:name w:val="table of authorities"/>
    <w:basedOn w:val="Normal"/>
    <w:next w:val="Normal"/>
    <w:rsid w:val="00EB0636"/>
    <w:pPr>
      <w:ind w:left="200" w:hanging="200"/>
    </w:pPr>
  </w:style>
  <w:style w:type="paragraph" w:styleId="TableofFigures">
    <w:name w:val="table of figures"/>
    <w:basedOn w:val="Normal"/>
    <w:next w:val="Normal"/>
    <w:rsid w:val="00EB0636"/>
  </w:style>
  <w:style w:type="paragraph" w:customStyle="1" w:styleId="TableTextBase">
    <w:name w:val="Table Text Base"/>
    <w:basedOn w:val="Normal"/>
    <w:rsid w:val="00EB0636"/>
    <w:pPr>
      <w:spacing w:before="20" w:after="20" w:line="240" w:lineRule="auto"/>
      <w:jc w:val="left"/>
    </w:pPr>
    <w:rPr>
      <w:rFonts w:ascii="Arial" w:hAnsi="Arial"/>
      <w:sz w:val="16"/>
    </w:rPr>
  </w:style>
  <w:style w:type="paragraph" w:customStyle="1" w:styleId="TableTextCentred">
    <w:name w:val="Table Text Centred"/>
    <w:basedOn w:val="TableTextBase"/>
    <w:rsid w:val="00EB0636"/>
    <w:pPr>
      <w:jc w:val="center"/>
    </w:pPr>
  </w:style>
  <w:style w:type="paragraph" w:customStyle="1" w:styleId="TableTextIndented">
    <w:name w:val="Table Text Indented"/>
    <w:basedOn w:val="TableTextBase"/>
    <w:rsid w:val="00EB0636"/>
    <w:pPr>
      <w:ind w:left="284"/>
    </w:pPr>
  </w:style>
  <w:style w:type="paragraph" w:customStyle="1" w:styleId="TableTextLeft">
    <w:name w:val="Table Text Left"/>
    <w:basedOn w:val="TableTextBase"/>
    <w:rsid w:val="00EB0636"/>
  </w:style>
  <w:style w:type="paragraph" w:customStyle="1" w:styleId="TableTextRight">
    <w:name w:val="Table Text Right"/>
    <w:basedOn w:val="TableTextBase"/>
    <w:rsid w:val="00EB0636"/>
    <w:pPr>
      <w:jc w:val="right"/>
    </w:pPr>
  </w:style>
  <w:style w:type="paragraph" w:styleId="TOAHeading">
    <w:name w:val="toa heading"/>
    <w:basedOn w:val="Normal"/>
    <w:next w:val="Normal"/>
    <w:rsid w:val="00EB0636"/>
    <w:pPr>
      <w:spacing w:before="120"/>
    </w:pPr>
    <w:rPr>
      <w:rFonts w:ascii="Arial" w:hAnsi="Arial" w:cs="Arial"/>
      <w:b/>
      <w:bCs/>
      <w:sz w:val="24"/>
      <w:szCs w:val="24"/>
    </w:rPr>
  </w:style>
  <w:style w:type="paragraph" w:styleId="TOC1">
    <w:name w:val="toc 1"/>
    <w:basedOn w:val="HeaderBase"/>
    <w:next w:val="Normal"/>
    <w:uiPriority w:val="2"/>
    <w:rsid w:val="00EB0636"/>
    <w:pPr>
      <w:tabs>
        <w:tab w:val="left" w:pos="1486"/>
        <w:tab w:val="right" w:leader="dot" w:pos="7700"/>
      </w:tabs>
      <w:spacing w:before="240"/>
      <w:ind w:right="851"/>
    </w:pPr>
    <w:rPr>
      <w:rFonts w:ascii="Arial Bold" w:hAnsi="Arial Bold"/>
      <w:b/>
      <w:i w:val="0"/>
      <w:sz w:val="22"/>
    </w:rPr>
  </w:style>
  <w:style w:type="paragraph" w:styleId="TOC2">
    <w:name w:val="toc 2"/>
    <w:basedOn w:val="HeadingBase"/>
    <w:next w:val="Normal"/>
    <w:uiPriority w:val="2"/>
    <w:rsid w:val="00EB0636"/>
    <w:pPr>
      <w:tabs>
        <w:tab w:val="left" w:pos="992"/>
        <w:tab w:val="right" w:leader="dot" w:pos="7700"/>
      </w:tabs>
      <w:spacing w:before="40"/>
      <w:ind w:left="851" w:right="851" w:hanging="851"/>
    </w:pPr>
    <w:rPr>
      <w:sz w:val="20"/>
    </w:rPr>
  </w:style>
  <w:style w:type="paragraph" w:styleId="TOC3">
    <w:name w:val="toc 3"/>
    <w:basedOn w:val="HeadingBase"/>
    <w:next w:val="Normal"/>
    <w:uiPriority w:val="2"/>
    <w:unhideWhenUsed/>
    <w:rsid w:val="00EB0636"/>
    <w:pPr>
      <w:tabs>
        <w:tab w:val="right" w:leader="dot" w:pos="7700"/>
      </w:tabs>
      <w:spacing w:before="40"/>
      <w:ind w:right="851"/>
    </w:pPr>
    <w:rPr>
      <w:sz w:val="20"/>
    </w:rPr>
  </w:style>
  <w:style w:type="paragraph" w:styleId="TOC4">
    <w:name w:val="toc 4"/>
    <w:basedOn w:val="HeadingBase"/>
    <w:next w:val="Normal"/>
    <w:uiPriority w:val="2"/>
    <w:unhideWhenUsed/>
    <w:rsid w:val="00EB0636"/>
    <w:pPr>
      <w:tabs>
        <w:tab w:val="right" w:leader="dot" w:pos="7700"/>
      </w:tabs>
      <w:spacing w:before="40"/>
      <w:ind w:right="851"/>
    </w:pPr>
    <w:rPr>
      <w:sz w:val="20"/>
    </w:rPr>
  </w:style>
  <w:style w:type="paragraph" w:styleId="TOC5">
    <w:name w:val="toc 5"/>
    <w:basedOn w:val="Normal"/>
    <w:next w:val="Normal"/>
    <w:autoRedefine/>
    <w:uiPriority w:val="2"/>
    <w:semiHidden/>
    <w:rsid w:val="00EB0636"/>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EB0636"/>
    <w:pPr>
      <w:tabs>
        <w:tab w:val="left" w:pos="851"/>
      </w:tabs>
      <w:ind w:left="851" w:hanging="851"/>
    </w:pPr>
    <w:rPr>
      <w:color w:val="000000"/>
    </w:rPr>
  </w:style>
  <w:style w:type="paragraph" w:styleId="TOC7">
    <w:name w:val="toc 7"/>
    <w:basedOn w:val="Normal"/>
    <w:next w:val="Normal"/>
    <w:autoRedefine/>
    <w:uiPriority w:val="2"/>
    <w:semiHidden/>
    <w:rsid w:val="00EB0636"/>
    <w:pPr>
      <w:ind w:left="1200"/>
    </w:pPr>
  </w:style>
  <w:style w:type="paragraph" w:styleId="TOC8">
    <w:name w:val="toc 8"/>
    <w:basedOn w:val="Normal"/>
    <w:next w:val="Normal"/>
    <w:autoRedefine/>
    <w:uiPriority w:val="2"/>
    <w:semiHidden/>
    <w:rsid w:val="00EB0636"/>
    <w:pPr>
      <w:ind w:left="1400"/>
    </w:pPr>
  </w:style>
  <w:style w:type="paragraph" w:styleId="TOC9">
    <w:name w:val="toc 9"/>
    <w:basedOn w:val="Normal"/>
    <w:next w:val="Normal"/>
    <w:autoRedefine/>
    <w:uiPriority w:val="2"/>
    <w:semiHidden/>
    <w:rsid w:val="00EB0636"/>
    <w:pPr>
      <w:ind w:left="1600"/>
    </w:pPr>
  </w:style>
  <w:style w:type="paragraph" w:customStyle="1" w:styleId="TPHeading1">
    <w:name w:val="TP Heading 1"/>
    <w:basedOn w:val="HeadingBase"/>
    <w:semiHidden/>
    <w:rsid w:val="00EB0636"/>
    <w:pPr>
      <w:spacing w:before="60" w:after="60"/>
      <w:ind w:left="1134"/>
    </w:pPr>
    <w:rPr>
      <w:rFonts w:ascii="Arial Bold" w:hAnsi="Arial Bold"/>
      <w:b/>
      <w:caps/>
      <w:spacing w:val="-10"/>
      <w:sz w:val="28"/>
    </w:rPr>
  </w:style>
  <w:style w:type="paragraph" w:customStyle="1" w:styleId="TPHeading2">
    <w:name w:val="TP Heading 2"/>
    <w:basedOn w:val="HeadingBase"/>
    <w:semiHidden/>
    <w:rsid w:val="00EB0636"/>
    <w:pPr>
      <w:ind w:left="1134"/>
    </w:pPr>
    <w:rPr>
      <w:caps/>
      <w:spacing w:val="-10"/>
      <w:sz w:val="28"/>
    </w:rPr>
  </w:style>
  <w:style w:type="paragraph" w:customStyle="1" w:styleId="TPHeading3">
    <w:name w:val="TP Heading 3"/>
    <w:basedOn w:val="HeadingBase"/>
    <w:semiHidden/>
    <w:rsid w:val="00EB0636"/>
    <w:pPr>
      <w:ind w:left="1134"/>
    </w:pPr>
    <w:rPr>
      <w:caps/>
      <w:spacing w:val="-10"/>
    </w:rPr>
  </w:style>
  <w:style w:type="paragraph" w:customStyle="1" w:styleId="TPHeading3bold">
    <w:name w:val="TP Heading 3 bold"/>
    <w:basedOn w:val="TPHeading3"/>
    <w:semiHidden/>
    <w:rsid w:val="00EB0636"/>
    <w:rPr>
      <w:rFonts w:cs="Arial"/>
      <w:b/>
      <w:sz w:val="22"/>
      <w:szCs w:val="22"/>
    </w:rPr>
  </w:style>
  <w:style w:type="paragraph" w:customStyle="1" w:styleId="TPHEADING3boldspace">
    <w:name w:val="TP HEADING 3 bold space"/>
    <w:basedOn w:val="TPHeading3bold"/>
    <w:semiHidden/>
    <w:rsid w:val="00EB0636"/>
    <w:pPr>
      <w:spacing w:after="120"/>
    </w:pPr>
  </w:style>
  <w:style w:type="paragraph" w:customStyle="1" w:styleId="TPHEADING3space">
    <w:name w:val="TP HEADING 3 space"/>
    <w:basedOn w:val="TPHeading3"/>
    <w:semiHidden/>
    <w:rsid w:val="00EB0636"/>
    <w:pPr>
      <w:spacing w:before="120" w:after="120"/>
    </w:pPr>
    <w:rPr>
      <w:rFonts w:cs="Arial"/>
      <w:sz w:val="22"/>
      <w:szCs w:val="22"/>
    </w:rPr>
  </w:style>
  <w:style w:type="paragraph" w:customStyle="1" w:styleId="TPHeading4">
    <w:name w:val="TP Heading 4"/>
    <w:basedOn w:val="TPHeading3"/>
    <w:semiHidden/>
    <w:rsid w:val="00EB0636"/>
    <w:rPr>
      <w:sz w:val="20"/>
    </w:rPr>
  </w:style>
  <w:style w:type="paragraph" w:customStyle="1" w:styleId="TPHEADING4space">
    <w:name w:val="TP HEADING 4 space"/>
    <w:basedOn w:val="TPHEADING3space"/>
    <w:semiHidden/>
    <w:rsid w:val="00EB0636"/>
  </w:style>
  <w:style w:type="character" w:customStyle="1" w:styleId="TableHeadingChar">
    <w:name w:val="Table Heading Char"/>
    <w:link w:val="TableHeading"/>
    <w:locked/>
    <w:rsid w:val="00A31CA0"/>
    <w:rPr>
      <w:rFonts w:ascii="Arial" w:eastAsia="Times New Roman" w:hAnsi="Arial"/>
      <w:b/>
    </w:rPr>
  </w:style>
  <w:style w:type="character" w:customStyle="1" w:styleId="BulletChar">
    <w:name w:val="Bullet Char"/>
    <w:link w:val="Bullet"/>
    <w:locked/>
    <w:rsid w:val="00A31CA0"/>
    <w:rPr>
      <w:rFonts w:ascii="Book Antiqua" w:eastAsia="Times New Roman" w:hAnsi="Book Antiqua"/>
    </w:rPr>
  </w:style>
  <w:style w:type="character" w:customStyle="1" w:styleId="ChartandTableFootnoteAlphaChar">
    <w:name w:val="Chart and Table Footnote Alpha Char"/>
    <w:link w:val="ChartandTableFootnoteAlpha"/>
    <w:rsid w:val="00A31CA0"/>
    <w:rPr>
      <w:rFonts w:ascii="Arial" w:eastAsia="Times New Roman" w:hAnsi="Arial"/>
      <w:color w:val="000000"/>
      <w:sz w:val="16"/>
    </w:rPr>
  </w:style>
  <w:style w:type="character" w:customStyle="1" w:styleId="TableGraphicChar">
    <w:name w:val="Table Graphic Char"/>
    <w:link w:val="TableGraphic"/>
    <w:rsid w:val="00A31CA0"/>
    <w:rPr>
      <w:rFonts w:ascii="Book Antiqua" w:eastAsia="Times New Roman" w:hAnsi="Book Antiqua"/>
    </w:rPr>
  </w:style>
  <w:style w:type="paragraph" w:styleId="ListParagraph">
    <w:name w:val="List Paragraph"/>
    <w:basedOn w:val="Normal"/>
    <w:uiPriority w:val="34"/>
    <w:qFormat/>
    <w:rsid w:val="00B5143E"/>
    <w:pPr>
      <w:spacing w:after="0"/>
      <w:ind w:left="720"/>
      <w:jc w:val="left"/>
    </w:pPr>
    <w:rPr>
      <w:rFonts w:ascii="Calibri" w:eastAsiaTheme="minorHAnsi" w:hAnsi="Calibri" w:cs="Calibri"/>
      <w:sz w:val="22"/>
      <w:szCs w:val="22"/>
      <w:lang w:eastAsia="en-US"/>
    </w:rPr>
  </w:style>
  <w:style w:type="paragraph" w:styleId="NormalWeb">
    <w:name w:val="Normal (Web)"/>
    <w:basedOn w:val="Normal"/>
    <w:uiPriority w:val="99"/>
    <w:semiHidden/>
    <w:unhideWhenUsed/>
    <w:rsid w:val="00052538"/>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6211">
      <w:bodyDiv w:val="1"/>
      <w:marLeft w:val="0"/>
      <w:marRight w:val="0"/>
      <w:marTop w:val="0"/>
      <w:marBottom w:val="0"/>
      <w:divBdr>
        <w:top w:val="none" w:sz="0" w:space="0" w:color="auto"/>
        <w:left w:val="none" w:sz="0" w:space="0" w:color="auto"/>
        <w:bottom w:val="none" w:sz="0" w:space="0" w:color="auto"/>
        <w:right w:val="none" w:sz="0" w:space="0" w:color="auto"/>
      </w:divBdr>
    </w:div>
    <w:div w:id="8914286">
      <w:bodyDiv w:val="1"/>
      <w:marLeft w:val="0"/>
      <w:marRight w:val="0"/>
      <w:marTop w:val="0"/>
      <w:marBottom w:val="0"/>
      <w:divBdr>
        <w:top w:val="none" w:sz="0" w:space="0" w:color="auto"/>
        <w:left w:val="none" w:sz="0" w:space="0" w:color="auto"/>
        <w:bottom w:val="none" w:sz="0" w:space="0" w:color="auto"/>
        <w:right w:val="none" w:sz="0" w:space="0" w:color="auto"/>
      </w:divBdr>
    </w:div>
    <w:div w:id="22289196">
      <w:bodyDiv w:val="1"/>
      <w:marLeft w:val="0"/>
      <w:marRight w:val="0"/>
      <w:marTop w:val="0"/>
      <w:marBottom w:val="0"/>
      <w:divBdr>
        <w:top w:val="none" w:sz="0" w:space="0" w:color="auto"/>
        <w:left w:val="none" w:sz="0" w:space="0" w:color="auto"/>
        <w:bottom w:val="none" w:sz="0" w:space="0" w:color="auto"/>
        <w:right w:val="none" w:sz="0" w:space="0" w:color="auto"/>
      </w:divBdr>
    </w:div>
    <w:div w:id="32390500">
      <w:bodyDiv w:val="1"/>
      <w:marLeft w:val="0"/>
      <w:marRight w:val="0"/>
      <w:marTop w:val="0"/>
      <w:marBottom w:val="0"/>
      <w:divBdr>
        <w:top w:val="none" w:sz="0" w:space="0" w:color="auto"/>
        <w:left w:val="none" w:sz="0" w:space="0" w:color="auto"/>
        <w:bottom w:val="none" w:sz="0" w:space="0" w:color="auto"/>
        <w:right w:val="none" w:sz="0" w:space="0" w:color="auto"/>
      </w:divBdr>
    </w:div>
    <w:div w:id="35853783">
      <w:bodyDiv w:val="1"/>
      <w:marLeft w:val="0"/>
      <w:marRight w:val="0"/>
      <w:marTop w:val="0"/>
      <w:marBottom w:val="0"/>
      <w:divBdr>
        <w:top w:val="none" w:sz="0" w:space="0" w:color="auto"/>
        <w:left w:val="none" w:sz="0" w:space="0" w:color="auto"/>
        <w:bottom w:val="none" w:sz="0" w:space="0" w:color="auto"/>
        <w:right w:val="none" w:sz="0" w:space="0" w:color="auto"/>
      </w:divBdr>
    </w:div>
    <w:div w:id="91052943">
      <w:bodyDiv w:val="1"/>
      <w:marLeft w:val="0"/>
      <w:marRight w:val="0"/>
      <w:marTop w:val="0"/>
      <w:marBottom w:val="0"/>
      <w:divBdr>
        <w:top w:val="none" w:sz="0" w:space="0" w:color="auto"/>
        <w:left w:val="none" w:sz="0" w:space="0" w:color="auto"/>
        <w:bottom w:val="none" w:sz="0" w:space="0" w:color="auto"/>
        <w:right w:val="none" w:sz="0" w:space="0" w:color="auto"/>
      </w:divBdr>
    </w:div>
    <w:div w:id="103422617">
      <w:bodyDiv w:val="1"/>
      <w:marLeft w:val="0"/>
      <w:marRight w:val="0"/>
      <w:marTop w:val="0"/>
      <w:marBottom w:val="0"/>
      <w:divBdr>
        <w:top w:val="none" w:sz="0" w:space="0" w:color="auto"/>
        <w:left w:val="none" w:sz="0" w:space="0" w:color="auto"/>
        <w:bottom w:val="none" w:sz="0" w:space="0" w:color="auto"/>
        <w:right w:val="none" w:sz="0" w:space="0" w:color="auto"/>
      </w:divBdr>
    </w:div>
    <w:div w:id="130170969">
      <w:bodyDiv w:val="1"/>
      <w:marLeft w:val="0"/>
      <w:marRight w:val="0"/>
      <w:marTop w:val="0"/>
      <w:marBottom w:val="0"/>
      <w:divBdr>
        <w:top w:val="none" w:sz="0" w:space="0" w:color="auto"/>
        <w:left w:val="none" w:sz="0" w:space="0" w:color="auto"/>
        <w:bottom w:val="none" w:sz="0" w:space="0" w:color="auto"/>
        <w:right w:val="none" w:sz="0" w:space="0" w:color="auto"/>
      </w:divBdr>
    </w:div>
    <w:div w:id="146869057">
      <w:bodyDiv w:val="1"/>
      <w:marLeft w:val="0"/>
      <w:marRight w:val="0"/>
      <w:marTop w:val="0"/>
      <w:marBottom w:val="0"/>
      <w:divBdr>
        <w:top w:val="none" w:sz="0" w:space="0" w:color="auto"/>
        <w:left w:val="none" w:sz="0" w:space="0" w:color="auto"/>
        <w:bottom w:val="none" w:sz="0" w:space="0" w:color="auto"/>
        <w:right w:val="none" w:sz="0" w:space="0" w:color="auto"/>
      </w:divBdr>
    </w:div>
    <w:div w:id="165440428">
      <w:bodyDiv w:val="1"/>
      <w:marLeft w:val="0"/>
      <w:marRight w:val="0"/>
      <w:marTop w:val="0"/>
      <w:marBottom w:val="0"/>
      <w:divBdr>
        <w:top w:val="none" w:sz="0" w:space="0" w:color="auto"/>
        <w:left w:val="none" w:sz="0" w:space="0" w:color="auto"/>
        <w:bottom w:val="none" w:sz="0" w:space="0" w:color="auto"/>
        <w:right w:val="none" w:sz="0" w:space="0" w:color="auto"/>
      </w:divBdr>
    </w:div>
    <w:div w:id="179197112">
      <w:bodyDiv w:val="1"/>
      <w:marLeft w:val="0"/>
      <w:marRight w:val="0"/>
      <w:marTop w:val="0"/>
      <w:marBottom w:val="0"/>
      <w:divBdr>
        <w:top w:val="none" w:sz="0" w:space="0" w:color="auto"/>
        <w:left w:val="none" w:sz="0" w:space="0" w:color="auto"/>
        <w:bottom w:val="none" w:sz="0" w:space="0" w:color="auto"/>
        <w:right w:val="none" w:sz="0" w:space="0" w:color="auto"/>
      </w:divBdr>
    </w:div>
    <w:div w:id="181171149">
      <w:bodyDiv w:val="1"/>
      <w:marLeft w:val="0"/>
      <w:marRight w:val="0"/>
      <w:marTop w:val="0"/>
      <w:marBottom w:val="0"/>
      <w:divBdr>
        <w:top w:val="none" w:sz="0" w:space="0" w:color="auto"/>
        <w:left w:val="none" w:sz="0" w:space="0" w:color="auto"/>
        <w:bottom w:val="none" w:sz="0" w:space="0" w:color="auto"/>
        <w:right w:val="none" w:sz="0" w:space="0" w:color="auto"/>
      </w:divBdr>
    </w:div>
    <w:div w:id="275210992">
      <w:bodyDiv w:val="1"/>
      <w:marLeft w:val="0"/>
      <w:marRight w:val="0"/>
      <w:marTop w:val="0"/>
      <w:marBottom w:val="0"/>
      <w:divBdr>
        <w:top w:val="none" w:sz="0" w:space="0" w:color="auto"/>
        <w:left w:val="none" w:sz="0" w:space="0" w:color="auto"/>
        <w:bottom w:val="none" w:sz="0" w:space="0" w:color="auto"/>
        <w:right w:val="none" w:sz="0" w:space="0" w:color="auto"/>
      </w:divBdr>
    </w:div>
    <w:div w:id="278803141">
      <w:bodyDiv w:val="1"/>
      <w:marLeft w:val="0"/>
      <w:marRight w:val="0"/>
      <w:marTop w:val="0"/>
      <w:marBottom w:val="0"/>
      <w:divBdr>
        <w:top w:val="none" w:sz="0" w:space="0" w:color="auto"/>
        <w:left w:val="none" w:sz="0" w:space="0" w:color="auto"/>
        <w:bottom w:val="none" w:sz="0" w:space="0" w:color="auto"/>
        <w:right w:val="none" w:sz="0" w:space="0" w:color="auto"/>
      </w:divBdr>
    </w:div>
    <w:div w:id="293559093">
      <w:bodyDiv w:val="1"/>
      <w:marLeft w:val="0"/>
      <w:marRight w:val="0"/>
      <w:marTop w:val="0"/>
      <w:marBottom w:val="0"/>
      <w:divBdr>
        <w:top w:val="none" w:sz="0" w:space="0" w:color="auto"/>
        <w:left w:val="none" w:sz="0" w:space="0" w:color="auto"/>
        <w:bottom w:val="none" w:sz="0" w:space="0" w:color="auto"/>
        <w:right w:val="none" w:sz="0" w:space="0" w:color="auto"/>
      </w:divBdr>
    </w:div>
    <w:div w:id="303851741">
      <w:bodyDiv w:val="1"/>
      <w:marLeft w:val="0"/>
      <w:marRight w:val="0"/>
      <w:marTop w:val="0"/>
      <w:marBottom w:val="0"/>
      <w:divBdr>
        <w:top w:val="none" w:sz="0" w:space="0" w:color="auto"/>
        <w:left w:val="none" w:sz="0" w:space="0" w:color="auto"/>
        <w:bottom w:val="none" w:sz="0" w:space="0" w:color="auto"/>
        <w:right w:val="none" w:sz="0" w:space="0" w:color="auto"/>
      </w:divBdr>
    </w:div>
    <w:div w:id="309291734">
      <w:bodyDiv w:val="1"/>
      <w:marLeft w:val="0"/>
      <w:marRight w:val="0"/>
      <w:marTop w:val="0"/>
      <w:marBottom w:val="0"/>
      <w:divBdr>
        <w:top w:val="none" w:sz="0" w:space="0" w:color="auto"/>
        <w:left w:val="none" w:sz="0" w:space="0" w:color="auto"/>
        <w:bottom w:val="none" w:sz="0" w:space="0" w:color="auto"/>
        <w:right w:val="none" w:sz="0" w:space="0" w:color="auto"/>
      </w:divBdr>
    </w:div>
    <w:div w:id="309870447">
      <w:bodyDiv w:val="1"/>
      <w:marLeft w:val="0"/>
      <w:marRight w:val="0"/>
      <w:marTop w:val="0"/>
      <w:marBottom w:val="0"/>
      <w:divBdr>
        <w:top w:val="none" w:sz="0" w:space="0" w:color="auto"/>
        <w:left w:val="none" w:sz="0" w:space="0" w:color="auto"/>
        <w:bottom w:val="none" w:sz="0" w:space="0" w:color="auto"/>
        <w:right w:val="none" w:sz="0" w:space="0" w:color="auto"/>
      </w:divBdr>
    </w:div>
    <w:div w:id="311064678">
      <w:bodyDiv w:val="1"/>
      <w:marLeft w:val="0"/>
      <w:marRight w:val="0"/>
      <w:marTop w:val="0"/>
      <w:marBottom w:val="0"/>
      <w:divBdr>
        <w:top w:val="none" w:sz="0" w:space="0" w:color="auto"/>
        <w:left w:val="none" w:sz="0" w:space="0" w:color="auto"/>
        <w:bottom w:val="none" w:sz="0" w:space="0" w:color="auto"/>
        <w:right w:val="none" w:sz="0" w:space="0" w:color="auto"/>
      </w:divBdr>
    </w:div>
    <w:div w:id="317196358">
      <w:bodyDiv w:val="1"/>
      <w:marLeft w:val="0"/>
      <w:marRight w:val="0"/>
      <w:marTop w:val="0"/>
      <w:marBottom w:val="0"/>
      <w:divBdr>
        <w:top w:val="none" w:sz="0" w:space="0" w:color="auto"/>
        <w:left w:val="none" w:sz="0" w:space="0" w:color="auto"/>
        <w:bottom w:val="none" w:sz="0" w:space="0" w:color="auto"/>
        <w:right w:val="none" w:sz="0" w:space="0" w:color="auto"/>
      </w:divBdr>
    </w:div>
    <w:div w:id="322508427">
      <w:bodyDiv w:val="1"/>
      <w:marLeft w:val="0"/>
      <w:marRight w:val="0"/>
      <w:marTop w:val="0"/>
      <w:marBottom w:val="0"/>
      <w:divBdr>
        <w:top w:val="none" w:sz="0" w:space="0" w:color="auto"/>
        <w:left w:val="none" w:sz="0" w:space="0" w:color="auto"/>
        <w:bottom w:val="none" w:sz="0" w:space="0" w:color="auto"/>
        <w:right w:val="none" w:sz="0" w:space="0" w:color="auto"/>
      </w:divBdr>
    </w:div>
    <w:div w:id="333412887">
      <w:bodyDiv w:val="1"/>
      <w:marLeft w:val="0"/>
      <w:marRight w:val="0"/>
      <w:marTop w:val="0"/>
      <w:marBottom w:val="0"/>
      <w:divBdr>
        <w:top w:val="none" w:sz="0" w:space="0" w:color="auto"/>
        <w:left w:val="none" w:sz="0" w:space="0" w:color="auto"/>
        <w:bottom w:val="none" w:sz="0" w:space="0" w:color="auto"/>
        <w:right w:val="none" w:sz="0" w:space="0" w:color="auto"/>
      </w:divBdr>
    </w:div>
    <w:div w:id="365257017">
      <w:bodyDiv w:val="1"/>
      <w:marLeft w:val="0"/>
      <w:marRight w:val="0"/>
      <w:marTop w:val="0"/>
      <w:marBottom w:val="0"/>
      <w:divBdr>
        <w:top w:val="none" w:sz="0" w:space="0" w:color="auto"/>
        <w:left w:val="none" w:sz="0" w:space="0" w:color="auto"/>
        <w:bottom w:val="none" w:sz="0" w:space="0" w:color="auto"/>
        <w:right w:val="none" w:sz="0" w:space="0" w:color="auto"/>
      </w:divBdr>
    </w:div>
    <w:div w:id="381174402">
      <w:bodyDiv w:val="1"/>
      <w:marLeft w:val="0"/>
      <w:marRight w:val="0"/>
      <w:marTop w:val="0"/>
      <w:marBottom w:val="0"/>
      <w:divBdr>
        <w:top w:val="none" w:sz="0" w:space="0" w:color="auto"/>
        <w:left w:val="none" w:sz="0" w:space="0" w:color="auto"/>
        <w:bottom w:val="none" w:sz="0" w:space="0" w:color="auto"/>
        <w:right w:val="none" w:sz="0" w:space="0" w:color="auto"/>
      </w:divBdr>
    </w:div>
    <w:div w:id="389574337">
      <w:bodyDiv w:val="1"/>
      <w:marLeft w:val="0"/>
      <w:marRight w:val="0"/>
      <w:marTop w:val="0"/>
      <w:marBottom w:val="0"/>
      <w:divBdr>
        <w:top w:val="none" w:sz="0" w:space="0" w:color="auto"/>
        <w:left w:val="none" w:sz="0" w:space="0" w:color="auto"/>
        <w:bottom w:val="none" w:sz="0" w:space="0" w:color="auto"/>
        <w:right w:val="none" w:sz="0" w:space="0" w:color="auto"/>
      </w:divBdr>
    </w:div>
    <w:div w:id="454719278">
      <w:bodyDiv w:val="1"/>
      <w:marLeft w:val="0"/>
      <w:marRight w:val="0"/>
      <w:marTop w:val="0"/>
      <w:marBottom w:val="0"/>
      <w:divBdr>
        <w:top w:val="none" w:sz="0" w:space="0" w:color="auto"/>
        <w:left w:val="none" w:sz="0" w:space="0" w:color="auto"/>
        <w:bottom w:val="none" w:sz="0" w:space="0" w:color="auto"/>
        <w:right w:val="none" w:sz="0" w:space="0" w:color="auto"/>
      </w:divBdr>
    </w:div>
    <w:div w:id="461576076">
      <w:bodyDiv w:val="1"/>
      <w:marLeft w:val="0"/>
      <w:marRight w:val="0"/>
      <w:marTop w:val="0"/>
      <w:marBottom w:val="0"/>
      <w:divBdr>
        <w:top w:val="none" w:sz="0" w:space="0" w:color="auto"/>
        <w:left w:val="none" w:sz="0" w:space="0" w:color="auto"/>
        <w:bottom w:val="none" w:sz="0" w:space="0" w:color="auto"/>
        <w:right w:val="none" w:sz="0" w:space="0" w:color="auto"/>
      </w:divBdr>
    </w:div>
    <w:div w:id="491023835">
      <w:bodyDiv w:val="1"/>
      <w:marLeft w:val="0"/>
      <w:marRight w:val="0"/>
      <w:marTop w:val="0"/>
      <w:marBottom w:val="0"/>
      <w:divBdr>
        <w:top w:val="none" w:sz="0" w:space="0" w:color="auto"/>
        <w:left w:val="none" w:sz="0" w:space="0" w:color="auto"/>
        <w:bottom w:val="none" w:sz="0" w:space="0" w:color="auto"/>
        <w:right w:val="none" w:sz="0" w:space="0" w:color="auto"/>
      </w:divBdr>
    </w:div>
    <w:div w:id="494566841">
      <w:bodyDiv w:val="1"/>
      <w:marLeft w:val="0"/>
      <w:marRight w:val="0"/>
      <w:marTop w:val="0"/>
      <w:marBottom w:val="0"/>
      <w:divBdr>
        <w:top w:val="none" w:sz="0" w:space="0" w:color="auto"/>
        <w:left w:val="none" w:sz="0" w:space="0" w:color="auto"/>
        <w:bottom w:val="none" w:sz="0" w:space="0" w:color="auto"/>
        <w:right w:val="none" w:sz="0" w:space="0" w:color="auto"/>
      </w:divBdr>
    </w:div>
    <w:div w:id="502013235">
      <w:bodyDiv w:val="1"/>
      <w:marLeft w:val="0"/>
      <w:marRight w:val="0"/>
      <w:marTop w:val="0"/>
      <w:marBottom w:val="0"/>
      <w:divBdr>
        <w:top w:val="none" w:sz="0" w:space="0" w:color="auto"/>
        <w:left w:val="none" w:sz="0" w:space="0" w:color="auto"/>
        <w:bottom w:val="none" w:sz="0" w:space="0" w:color="auto"/>
        <w:right w:val="none" w:sz="0" w:space="0" w:color="auto"/>
      </w:divBdr>
    </w:div>
    <w:div w:id="505480275">
      <w:bodyDiv w:val="1"/>
      <w:marLeft w:val="0"/>
      <w:marRight w:val="0"/>
      <w:marTop w:val="0"/>
      <w:marBottom w:val="0"/>
      <w:divBdr>
        <w:top w:val="none" w:sz="0" w:space="0" w:color="auto"/>
        <w:left w:val="none" w:sz="0" w:space="0" w:color="auto"/>
        <w:bottom w:val="none" w:sz="0" w:space="0" w:color="auto"/>
        <w:right w:val="none" w:sz="0" w:space="0" w:color="auto"/>
      </w:divBdr>
    </w:div>
    <w:div w:id="515003698">
      <w:bodyDiv w:val="1"/>
      <w:marLeft w:val="0"/>
      <w:marRight w:val="0"/>
      <w:marTop w:val="0"/>
      <w:marBottom w:val="0"/>
      <w:divBdr>
        <w:top w:val="none" w:sz="0" w:space="0" w:color="auto"/>
        <w:left w:val="none" w:sz="0" w:space="0" w:color="auto"/>
        <w:bottom w:val="none" w:sz="0" w:space="0" w:color="auto"/>
        <w:right w:val="none" w:sz="0" w:space="0" w:color="auto"/>
      </w:divBdr>
    </w:div>
    <w:div w:id="542985095">
      <w:bodyDiv w:val="1"/>
      <w:marLeft w:val="0"/>
      <w:marRight w:val="0"/>
      <w:marTop w:val="0"/>
      <w:marBottom w:val="0"/>
      <w:divBdr>
        <w:top w:val="none" w:sz="0" w:space="0" w:color="auto"/>
        <w:left w:val="none" w:sz="0" w:space="0" w:color="auto"/>
        <w:bottom w:val="none" w:sz="0" w:space="0" w:color="auto"/>
        <w:right w:val="none" w:sz="0" w:space="0" w:color="auto"/>
      </w:divBdr>
    </w:div>
    <w:div w:id="546917526">
      <w:bodyDiv w:val="1"/>
      <w:marLeft w:val="0"/>
      <w:marRight w:val="0"/>
      <w:marTop w:val="0"/>
      <w:marBottom w:val="0"/>
      <w:divBdr>
        <w:top w:val="none" w:sz="0" w:space="0" w:color="auto"/>
        <w:left w:val="none" w:sz="0" w:space="0" w:color="auto"/>
        <w:bottom w:val="none" w:sz="0" w:space="0" w:color="auto"/>
        <w:right w:val="none" w:sz="0" w:space="0" w:color="auto"/>
      </w:divBdr>
    </w:div>
    <w:div w:id="608969551">
      <w:bodyDiv w:val="1"/>
      <w:marLeft w:val="0"/>
      <w:marRight w:val="0"/>
      <w:marTop w:val="0"/>
      <w:marBottom w:val="0"/>
      <w:divBdr>
        <w:top w:val="none" w:sz="0" w:space="0" w:color="auto"/>
        <w:left w:val="none" w:sz="0" w:space="0" w:color="auto"/>
        <w:bottom w:val="none" w:sz="0" w:space="0" w:color="auto"/>
        <w:right w:val="none" w:sz="0" w:space="0" w:color="auto"/>
      </w:divBdr>
    </w:div>
    <w:div w:id="621883224">
      <w:bodyDiv w:val="1"/>
      <w:marLeft w:val="0"/>
      <w:marRight w:val="0"/>
      <w:marTop w:val="0"/>
      <w:marBottom w:val="0"/>
      <w:divBdr>
        <w:top w:val="none" w:sz="0" w:space="0" w:color="auto"/>
        <w:left w:val="none" w:sz="0" w:space="0" w:color="auto"/>
        <w:bottom w:val="none" w:sz="0" w:space="0" w:color="auto"/>
        <w:right w:val="none" w:sz="0" w:space="0" w:color="auto"/>
      </w:divBdr>
    </w:div>
    <w:div w:id="645597535">
      <w:bodyDiv w:val="1"/>
      <w:marLeft w:val="0"/>
      <w:marRight w:val="0"/>
      <w:marTop w:val="0"/>
      <w:marBottom w:val="0"/>
      <w:divBdr>
        <w:top w:val="none" w:sz="0" w:space="0" w:color="auto"/>
        <w:left w:val="none" w:sz="0" w:space="0" w:color="auto"/>
        <w:bottom w:val="none" w:sz="0" w:space="0" w:color="auto"/>
        <w:right w:val="none" w:sz="0" w:space="0" w:color="auto"/>
      </w:divBdr>
    </w:div>
    <w:div w:id="671758035">
      <w:bodyDiv w:val="1"/>
      <w:marLeft w:val="0"/>
      <w:marRight w:val="0"/>
      <w:marTop w:val="0"/>
      <w:marBottom w:val="0"/>
      <w:divBdr>
        <w:top w:val="none" w:sz="0" w:space="0" w:color="auto"/>
        <w:left w:val="none" w:sz="0" w:space="0" w:color="auto"/>
        <w:bottom w:val="none" w:sz="0" w:space="0" w:color="auto"/>
        <w:right w:val="none" w:sz="0" w:space="0" w:color="auto"/>
      </w:divBdr>
    </w:div>
    <w:div w:id="706299298">
      <w:bodyDiv w:val="1"/>
      <w:marLeft w:val="0"/>
      <w:marRight w:val="0"/>
      <w:marTop w:val="0"/>
      <w:marBottom w:val="0"/>
      <w:divBdr>
        <w:top w:val="none" w:sz="0" w:space="0" w:color="auto"/>
        <w:left w:val="none" w:sz="0" w:space="0" w:color="auto"/>
        <w:bottom w:val="none" w:sz="0" w:space="0" w:color="auto"/>
        <w:right w:val="none" w:sz="0" w:space="0" w:color="auto"/>
      </w:divBdr>
    </w:div>
    <w:div w:id="716734121">
      <w:bodyDiv w:val="1"/>
      <w:marLeft w:val="0"/>
      <w:marRight w:val="0"/>
      <w:marTop w:val="0"/>
      <w:marBottom w:val="0"/>
      <w:divBdr>
        <w:top w:val="none" w:sz="0" w:space="0" w:color="auto"/>
        <w:left w:val="none" w:sz="0" w:space="0" w:color="auto"/>
        <w:bottom w:val="none" w:sz="0" w:space="0" w:color="auto"/>
        <w:right w:val="none" w:sz="0" w:space="0" w:color="auto"/>
      </w:divBdr>
    </w:div>
    <w:div w:id="757751303">
      <w:bodyDiv w:val="1"/>
      <w:marLeft w:val="0"/>
      <w:marRight w:val="0"/>
      <w:marTop w:val="0"/>
      <w:marBottom w:val="0"/>
      <w:divBdr>
        <w:top w:val="none" w:sz="0" w:space="0" w:color="auto"/>
        <w:left w:val="none" w:sz="0" w:space="0" w:color="auto"/>
        <w:bottom w:val="none" w:sz="0" w:space="0" w:color="auto"/>
        <w:right w:val="none" w:sz="0" w:space="0" w:color="auto"/>
      </w:divBdr>
    </w:div>
    <w:div w:id="766077167">
      <w:bodyDiv w:val="1"/>
      <w:marLeft w:val="0"/>
      <w:marRight w:val="0"/>
      <w:marTop w:val="0"/>
      <w:marBottom w:val="0"/>
      <w:divBdr>
        <w:top w:val="none" w:sz="0" w:space="0" w:color="auto"/>
        <w:left w:val="none" w:sz="0" w:space="0" w:color="auto"/>
        <w:bottom w:val="none" w:sz="0" w:space="0" w:color="auto"/>
        <w:right w:val="none" w:sz="0" w:space="0" w:color="auto"/>
      </w:divBdr>
    </w:div>
    <w:div w:id="776757440">
      <w:bodyDiv w:val="1"/>
      <w:marLeft w:val="0"/>
      <w:marRight w:val="0"/>
      <w:marTop w:val="0"/>
      <w:marBottom w:val="0"/>
      <w:divBdr>
        <w:top w:val="none" w:sz="0" w:space="0" w:color="auto"/>
        <w:left w:val="none" w:sz="0" w:space="0" w:color="auto"/>
        <w:bottom w:val="none" w:sz="0" w:space="0" w:color="auto"/>
        <w:right w:val="none" w:sz="0" w:space="0" w:color="auto"/>
      </w:divBdr>
    </w:div>
    <w:div w:id="805009344">
      <w:bodyDiv w:val="1"/>
      <w:marLeft w:val="0"/>
      <w:marRight w:val="0"/>
      <w:marTop w:val="0"/>
      <w:marBottom w:val="0"/>
      <w:divBdr>
        <w:top w:val="none" w:sz="0" w:space="0" w:color="auto"/>
        <w:left w:val="none" w:sz="0" w:space="0" w:color="auto"/>
        <w:bottom w:val="none" w:sz="0" w:space="0" w:color="auto"/>
        <w:right w:val="none" w:sz="0" w:space="0" w:color="auto"/>
      </w:divBdr>
    </w:div>
    <w:div w:id="806973794">
      <w:bodyDiv w:val="1"/>
      <w:marLeft w:val="0"/>
      <w:marRight w:val="0"/>
      <w:marTop w:val="0"/>
      <w:marBottom w:val="0"/>
      <w:divBdr>
        <w:top w:val="none" w:sz="0" w:space="0" w:color="auto"/>
        <w:left w:val="none" w:sz="0" w:space="0" w:color="auto"/>
        <w:bottom w:val="none" w:sz="0" w:space="0" w:color="auto"/>
        <w:right w:val="none" w:sz="0" w:space="0" w:color="auto"/>
      </w:divBdr>
    </w:div>
    <w:div w:id="820000856">
      <w:bodyDiv w:val="1"/>
      <w:marLeft w:val="0"/>
      <w:marRight w:val="0"/>
      <w:marTop w:val="0"/>
      <w:marBottom w:val="0"/>
      <w:divBdr>
        <w:top w:val="none" w:sz="0" w:space="0" w:color="auto"/>
        <w:left w:val="none" w:sz="0" w:space="0" w:color="auto"/>
        <w:bottom w:val="none" w:sz="0" w:space="0" w:color="auto"/>
        <w:right w:val="none" w:sz="0" w:space="0" w:color="auto"/>
      </w:divBdr>
    </w:div>
    <w:div w:id="821194089">
      <w:bodyDiv w:val="1"/>
      <w:marLeft w:val="0"/>
      <w:marRight w:val="0"/>
      <w:marTop w:val="0"/>
      <w:marBottom w:val="0"/>
      <w:divBdr>
        <w:top w:val="none" w:sz="0" w:space="0" w:color="auto"/>
        <w:left w:val="none" w:sz="0" w:space="0" w:color="auto"/>
        <w:bottom w:val="none" w:sz="0" w:space="0" w:color="auto"/>
        <w:right w:val="none" w:sz="0" w:space="0" w:color="auto"/>
      </w:divBdr>
    </w:div>
    <w:div w:id="859273797">
      <w:bodyDiv w:val="1"/>
      <w:marLeft w:val="0"/>
      <w:marRight w:val="0"/>
      <w:marTop w:val="0"/>
      <w:marBottom w:val="0"/>
      <w:divBdr>
        <w:top w:val="none" w:sz="0" w:space="0" w:color="auto"/>
        <w:left w:val="none" w:sz="0" w:space="0" w:color="auto"/>
        <w:bottom w:val="none" w:sz="0" w:space="0" w:color="auto"/>
        <w:right w:val="none" w:sz="0" w:space="0" w:color="auto"/>
      </w:divBdr>
    </w:div>
    <w:div w:id="865144386">
      <w:bodyDiv w:val="1"/>
      <w:marLeft w:val="0"/>
      <w:marRight w:val="0"/>
      <w:marTop w:val="0"/>
      <w:marBottom w:val="0"/>
      <w:divBdr>
        <w:top w:val="none" w:sz="0" w:space="0" w:color="auto"/>
        <w:left w:val="none" w:sz="0" w:space="0" w:color="auto"/>
        <w:bottom w:val="none" w:sz="0" w:space="0" w:color="auto"/>
        <w:right w:val="none" w:sz="0" w:space="0" w:color="auto"/>
      </w:divBdr>
    </w:div>
    <w:div w:id="872377899">
      <w:bodyDiv w:val="1"/>
      <w:marLeft w:val="0"/>
      <w:marRight w:val="0"/>
      <w:marTop w:val="0"/>
      <w:marBottom w:val="0"/>
      <w:divBdr>
        <w:top w:val="none" w:sz="0" w:space="0" w:color="auto"/>
        <w:left w:val="none" w:sz="0" w:space="0" w:color="auto"/>
        <w:bottom w:val="none" w:sz="0" w:space="0" w:color="auto"/>
        <w:right w:val="none" w:sz="0" w:space="0" w:color="auto"/>
      </w:divBdr>
    </w:div>
    <w:div w:id="875846300">
      <w:bodyDiv w:val="1"/>
      <w:marLeft w:val="0"/>
      <w:marRight w:val="0"/>
      <w:marTop w:val="0"/>
      <w:marBottom w:val="0"/>
      <w:divBdr>
        <w:top w:val="none" w:sz="0" w:space="0" w:color="auto"/>
        <w:left w:val="none" w:sz="0" w:space="0" w:color="auto"/>
        <w:bottom w:val="none" w:sz="0" w:space="0" w:color="auto"/>
        <w:right w:val="none" w:sz="0" w:space="0" w:color="auto"/>
      </w:divBdr>
    </w:div>
    <w:div w:id="890461376">
      <w:bodyDiv w:val="1"/>
      <w:marLeft w:val="0"/>
      <w:marRight w:val="0"/>
      <w:marTop w:val="0"/>
      <w:marBottom w:val="0"/>
      <w:divBdr>
        <w:top w:val="none" w:sz="0" w:space="0" w:color="auto"/>
        <w:left w:val="none" w:sz="0" w:space="0" w:color="auto"/>
        <w:bottom w:val="none" w:sz="0" w:space="0" w:color="auto"/>
        <w:right w:val="none" w:sz="0" w:space="0" w:color="auto"/>
      </w:divBdr>
    </w:div>
    <w:div w:id="890652104">
      <w:bodyDiv w:val="1"/>
      <w:marLeft w:val="0"/>
      <w:marRight w:val="0"/>
      <w:marTop w:val="0"/>
      <w:marBottom w:val="0"/>
      <w:divBdr>
        <w:top w:val="none" w:sz="0" w:space="0" w:color="auto"/>
        <w:left w:val="none" w:sz="0" w:space="0" w:color="auto"/>
        <w:bottom w:val="none" w:sz="0" w:space="0" w:color="auto"/>
        <w:right w:val="none" w:sz="0" w:space="0" w:color="auto"/>
      </w:divBdr>
    </w:div>
    <w:div w:id="895047978">
      <w:bodyDiv w:val="1"/>
      <w:marLeft w:val="0"/>
      <w:marRight w:val="0"/>
      <w:marTop w:val="0"/>
      <w:marBottom w:val="0"/>
      <w:divBdr>
        <w:top w:val="none" w:sz="0" w:space="0" w:color="auto"/>
        <w:left w:val="none" w:sz="0" w:space="0" w:color="auto"/>
        <w:bottom w:val="none" w:sz="0" w:space="0" w:color="auto"/>
        <w:right w:val="none" w:sz="0" w:space="0" w:color="auto"/>
      </w:divBdr>
    </w:div>
    <w:div w:id="914971883">
      <w:bodyDiv w:val="1"/>
      <w:marLeft w:val="0"/>
      <w:marRight w:val="0"/>
      <w:marTop w:val="0"/>
      <w:marBottom w:val="0"/>
      <w:divBdr>
        <w:top w:val="none" w:sz="0" w:space="0" w:color="auto"/>
        <w:left w:val="none" w:sz="0" w:space="0" w:color="auto"/>
        <w:bottom w:val="none" w:sz="0" w:space="0" w:color="auto"/>
        <w:right w:val="none" w:sz="0" w:space="0" w:color="auto"/>
      </w:divBdr>
    </w:div>
    <w:div w:id="938754171">
      <w:bodyDiv w:val="1"/>
      <w:marLeft w:val="0"/>
      <w:marRight w:val="0"/>
      <w:marTop w:val="0"/>
      <w:marBottom w:val="0"/>
      <w:divBdr>
        <w:top w:val="none" w:sz="0" w:space="0" w:color="auto"/>
        <w:left w:val="none" w:sz="0" w:space="0" w:color="auto"/>
        <w:bottom w:val="none" w:sz="0" w:space="0" w:color="auto"/>
        <w:right w:val="none" w:sz="0" w:space="0" w:color="auto"/>
      </w:divBdr>
    </w:div>
    <w:div w:id="941839729">
      <w:bodyDiv w:val="1"/>
      <w:marLeft w:val="0"/>
      <w:marRight w:val="0"/>
      <w:marTop w:val="0"/>
      <w:marBottom w:val="0"/>
      <w:divBdr>
        <w:top w:val="none" w:sz="0" w:space="0" w:color="auto"/>
        <w:left w:val="none" w:sz="0" w:space="0" w:color="auto"/>
        <w:bottom w:val="none" w:sz="0" w:space="0" w:color="auto"/>
        <w:right w:val="none" w:sz="0" w:space="0" w:color="auto"/>
      </w:divBdr>
    </w:div>
    <w:div w:id="944847091">
      <w:bodyDiv w:val="1"/>
      <w:marLeft w:val="0"/>
      <w:marRight w:val="0"/>
      <w:marTop w:val="0"/>
      <w:marBottom w:val="0"/>
      <w:divBdr>
        <w:top w:val="none" w:sz="0" w:space="0" w:color="auto"/>
        <w:left w:val="none" w:sz="0" w:space="0" w:color="auto"/>
        <w:bottom w:val="none" w:sz="0" w:space="0" w:color="auto"/>
        <w:right w:val="none" w:sz="0" w:space="0" w:color="auto"/>
      </w:divBdr>
    </w:div>
    <w:div w:id="981084915">
      <w:bodyDiv w:val="1"/>
      <w:marLeft w:val="0"/>
      <w:marRight w:val="0"/>
      <w:marTop w:val="0"/>
      <w:marBottom w:val="0"/>
      <w:divBdr>
        <w:top w:val="none" w:sz="0" w:space="0" w:color="auto"/>
        <w:left w:val="none" w:sz="0" w:space="0" w:color="auto"/>
        <w:bottom w:val="none" w:sz="0" w:space="0" w:color="auto"/>
        <w:right w:val="none" w:sz="0" w:space="0" w:color="auto"/>
      </w:divBdr>
    </w:div>
    <w:div w:id="983313037">
      <w:bodyDiv w:val="1"/>
      <w:marLeft w:val="0"/>
      <w:marRight w:val="0"/>
      <w:marTop w:val="0"/>
      <w:marBottom w:val="0"/>
      <w:divBdr>
        <w:top w:val="none" w:sz="0" w:space="0" w:color="auto"/>
        <w:left w:val="none" w:sz="0" w:space="0" w:color="auto"/>
        <w:bottom w:val="none" w:sz="0" w:space="0" w:color="auto"/>
        <w:right w:val="none" w:sz="0" w:space="0" w:color="auto"/>
      </w:divBdr>
    </w:div>
    <w:div w:id="1019283571">
      <w:bodyDiv w:val="1"/>
      <w:marLeft w:val="0"/>
      <w:marRight w:val="0"/>
      <w:marTop w:val="0"/>
      <w:marBottom w:val="0"/>
      <w:divBdr>
        <w:top w:val="none" w:sz="0" w:space="0" w:color="auto"/>
        <w:left w:val="none" w:sz="0" w:space="0" w:color="auto"/>
        <w:bottom w:val="none" w:sz="0" w:space="0" w:color="auto"/>
        <w:right w:val="none" w:sz="0" w:space="0" w:color="auto"/>
      </w:divBdr>
    </w:div>
    <w:div w:id="1060787588">
      <w:bodyDiv w:val="1"/>
      <w:marLeft w:val="0"/>
      <w:marRight w:val="0"/>
      <w:marTop w:val="0"/>
      <w:marBottom w:val="0"/>
      <w:divBdr>
        <w:top w:val="none" w:sz="0" w:space="0" w:color="auto"/>
        <w:left w:val="none" w:sz="0" w:space="0" w:color="auto"/>
        <w:bottom w:val="none" w:sz="0" w:space="0" w:color="auto"/>
        <w:right w:val="none" w:sz="0" w:space="0" w:color="auto"/>
      </w:divBdr>
    </w:div>
    <w:div w:id="1068957957">
      <w:bodyDiv w:val="1"/>
      <w:marLeft w:val="0"/>
      <w:marRight w:val="0"/>
      <w:marTop w:val="0"/>
      <w:marBottom w:val="0"/>
      <w:divBdr>
        <w:top w:val="none" w:sz="0" w:space="0" w:color="auto"/>
        <w:left w:val="none" w:sz="0" w:space="0" w:color="auto"/>
        <w:bottom w:val="none" w:sz="0" w:space="0" w:color="auto"/>
        <w:right w:val="none" w:sz="0" w:space="0" w:color="auto"/>
      </w:divBdr>
    </w:div>
    <w:div w:id="1084297226">
      <w:bodyDiv w:val="1"/>
      <w:marLeft w:val="0"/>
      <w:marRight w:val="0"/>
      <w:marTop w:val="0"/>
      <w:marBottom w:val="0"/>
      <w:divBdr>
        <w:top w:val="none" w:sz="0" w:space="0" w:color="auto"/>
        <w:left w:val="none" w:sz="0" w:space="0" w:color="auto"/>
        <w:bottom w:val="none" w:sz="0" w:space="0" w:color="auto"/>
        <w:right w:val="none" w:sz="0" w:space="0" w:color="auto"/>
      </w:divBdr>
    </w:div>
    <w:div w:id="1088036351">
      <w:bodyDiv w:val="1"/>
      <w:marLeft w:val="0"/>
      <w:marRight w:val="0"/>
      <w:marTop w:val="0"/>
      <w:marBottom w:val="0"/>
      <w:divBdr>
        <w:top w:val="none" w:sz="0" w:space="0" w:color="auto"/>
        <w:left w:val="none" w:sz="0" w:space="0" w:color="auto"/>
        <w:bottom w:val="none" w:sz="0" w:space="0" w:color="auto"/>
        <w:right w:val="none" w:sz="0" w:space="0" w:color="auto"/>
      </w:divBdr>
    </w:div>
    <w:div w:id="1132139915">
      <w:bodyDiv w:val="1"/>
      <w:marLeft w:val="0"/>
      <w:marRight w:val="0"/>
      <w:marTop w:val="0"/>
      <w:marBottom w:val="0"/>
      <w:divBdr>
        <w:top w:val="none" w:sz="0" w:space="0" w:color="auto"/>
        <w:left w:val="none" w:sz="0" w:space="0" w:color="auto"/>
        <w:bottom w:val="none" w:sz="0" w:space="0" w:color="auto"/>
        <w:right w:val="none" w:sz="0" w:space="0" w:color="auto"/>
      </w:divBdr>
    </w:div>
    <w:div w:id="1142163729">
      <w:bodyDiv w:val="1"/>
      <w:marLeft w:val="0"/>
      <w:marRight w:val="0"/>
      <w:marTop w:val="0"/>
      <w:marBottom w:val="0"/>
      <w:divBdr>
        <w:top w:val="none" w:sz="0" w:space="0" w:color="auto"/>
        <w:left w:val="none" w:sz="0" w:space="0" w:color="auto"/>
        <w:bottom w:val="none" w:sz="0" w:space="0" w:color="auto"/>
        <w:right w:val="none" w:sz="0" w:space="0" w:color="auto"/>
      </w:divBdr>
    </w:div>
    <w:div w:id="1142576760">
      <w:bodyDiv w:val="1"/>
      <w:marLeft w:val="0"/>
      <w:marRight w:val="0"/>
      <w:marTop w:val="0"/>
      <w:marBottom w:val="0"/>
      <w:divBdr>
        <w:top w:val="none" w:sz="0" w:space="0" w:color="auto"/>
        <w:left w:val="none" w:sz="0" w:space="0" w:color="auto"/>
        <w:bottom w:val="none" w:sz="0" w:space="0" w:color="auto"/>
        <w:right w:val="none" w:sz="0" w:space="0" w:color="auto"/>
      </w:divBdr>
    </w:div>
    <w:div w:id="1171992227">
      <w:bodyDiv w:val="1"/>
      <w:marLeft w:val="0"/>
      <w:marRight w:val="0"/>
      <w:marTop w:val="0"/>
      <w:marBottom w:val="0"/>
      <w:divBdr>
        <w:top w:val="none" w:sz="0" w:space="0" w:color="auto"/>
        <w:left w:val="none" w:sz="0" w:space="0" w:color="auto"/>
        <w:bottom w:val="none" w:sz="0" w:space="0" w:color="auto"/>
        <w:right w:val="none" w:sz="0" w:space="0" w:color="auto"/>
      </w:divBdr>
    </w:div>
    <w:div w:id="1176992748">
      <w:bodyDiv w:val="1"/>
      <w:marLeft w:val="0"/>
      <w:marRight w:val="0"/>
      <w:marTop w:val="0"/>
      <w:marBottom w:val="0"/>
      <w:divBdr>
        <w:top w:val="none" w:sz="0" w:space="0" w:color="auto"/>
        <w:left w:val="none" w:sz="0" w:space="0" w:color="auto"/>
        <w:bottom w:val="none" w:sz="0" w:space="0" w:color="auto"/>
        <w:right w:val="none" w:sz="0" w:space="0" w:color="auto"/>
      </w:divBdr>
    </w:div>
    <w:div w:id="1177042437">
      <w:bodyDiv w:val="1"/>
      <w:marLeft w:val="0"/>
      <w:marRight w:val="0"/>
      <w:marTop w:val="0"/>
      <w:marBottom w:val="0"/>
      <w:divBdr>
        <w:top w:val="none" w:sz="0" w:space="0" w:color="auto"/>
        <w:left w:val="none" w:sz="0" w:space="0" w:color="auto"/>
        <w:bottom w:val="none" w:sz="0" w:space="0" w:color="auto"/>
        <w:right w:val="none" w:sz="0" w:space="0" w:color="auto"/>
      </w:divBdr>
    </w:div>
    <w:div w:id="1186554770">
      <w:bodyDiv w:val="1"/>
      <w:marLeft w:val="0"/>
      <w:marRight w:val="0"/>
      <w:marTop w:val="0"/>
      <w:marBottom w:val="0"/>
      <w:divBdr>
        <w:top w:val="none" w:sz="0" w:space="0" w:color="auto"/>
        <w:left w:val="none" w:sz="0" w:space="0" w:color="auto"/>
        <w:bottom w:val="none" w:sz="0" w:space="0" w:color="auto"/>
        <w:right w:val="none" w:sz="0" w:space="0" w:color="auto"/>
      </w:divBdr>
    </w:div>
    <w:div w:id="1203320941">
      <w:bodyDiv w:val="1"/>
      <w:marLeft w:val="0"/>
      <w:marRight w:val="0"/>
      <w:marTop w:val="0"/>
      <w:marBottom w:val="0"/>
      <w:divBdr>
        <w:top w:val="none" w:sz="0" w:space="0" w:color="auto"/>
        <w:left w:val="none" w:sz="0" w:space="0" w:color="auto"/>
        <w:bottom w:val="none" w:sz="0" w:space="0" w:color="auto"/>
        <w:right w:val="none" w:sz="0" w:space="0" w:color="auto"/>
      </w:divBdr>
    </w:div>
    <w:div w:id="1214078805">
      <w:bodyDiv w:val="1"/>
      <w:marLeft w:val="0"/>
      <w:marRight w:val="0"/>
      <w:marTop w:val="0"/>
      <w:marBottom w:val="0"/>
      <w:divBdr>
        <w:top w:val="none" w:sz="0" w:space="0" w:color="auto"/>
        <w:left w:val="none" w:sz="0" w:space="0" w:color="auto"/>
        <w:bottom w:val="none" w:sz="0" w:space="0" w:color="auto"/>
        <w:right w:val="none" w:sz="0" w:space="0" w:color="auto"/>
      </w:divBdr>
    </w:div>
    <w:div w:id="1219246963">
      <w:bodyDiv w:val="1"/>
      <w:marLeft w:val="0"/>
      <w:marRight w:val="0"/>
      <w:marTop w:val="0"/>
      <w:marBottom w:val="0"/>
      <w:divBdr>
        <w:top w:val="none" w:sz="0" w:space="0" w:color="auto"/>
        <w:left w:val="none" w:sz="0" w:space="0" w:color="auto"/>
        <w:bottom w:val="none" w:sz="0" w:space="0" w:color="auto"/>
        <w:right w:val="none" w:sz="0" w:space="0" w:color="auto"/>
      </w:divBdr>
    </w:div>
    <w:div w:id="1247308058">
      <w:bodyDiv w:val="1"/>
      <w:marLeft w:val="0"/>
      <w:marRight w:val="0"/>
      <w:marTop w:val="0"/>
      <w:marBottom w:val="0"/>
      <w:divBdr>
        <w:top w:val="none" w:sz="0" w:space="0" w:color="auto"/>
        <w:left w:val="none" w:sz="0" w:space="0" w:color="auto"/>
        <w:bottom w:val="none" w:sz="0" w:space="0" w:color="auto"/>
        <w:right w:val="none" w:sz="0" w:space="0" w:color="auto"/>
      </w:divBdr>
    </w:div>
    <w:div w:id="1263220213">
      <w:bodyDiv w:val="1"/>
      <w:marLeft w:val="0"/>
      <w:marRight w:val="0"/>
      <w:marTop w:val="0"/>
      <w:marBottom w:val="0"/>
      <w:divBdr>
        <w:top w:val="none" w:sz="0" w:space="0" w:color="auto"/>
        <w:left w:val="none" w:sz="0" w:space="0" w:color="auto"/>
        <w:bottom w:val="none" w:sz="0" w:space="0" w:color="auto"/>
        <w:right w:val="none" w:sz="0" w:space="0" w:color="auto"/>
      </w:divBdr>
    </w:div>
    <w:div w:id="1273130928">
      <w:bodyDiv w:val="1"/>
      <w:marLeft w:val="0"/>
      <w:marRight w:val="0"/>
      <w:marTop w:val="0"/>
      <w:marBottom w:val="0"/>
      <w:divBdr>
        <w:top w:val="none" w:sz="0" w:space="0" w:color="auto"/>
        <w:left w:val="none" w:sz="0" w:space="0" w:color="auto"/>
        <w:bottom w:val="none" w:sz="0" w:space="0" w:color="auto"/>
        <w:right w:val="none" w:sz="0" w:space="0" w:color="auto"/>
      </w:divBdr>
    </w:div>
    <w:div w:id="1298148436">
      <w:bodyDiv w:val="1"/>
      <w:marLeft w:val="0"/>
      <w:marRight w:val="0"/>
      <w:marTop w:val="0"/>
      <w:marBottom w:val="0"/>
      <w:divBdr>
        <w:top w:val="none" w:sz="0" w:space="0" w:color="auto"/>
        <w:left w:val="none" w:sz="0" w:space="0" w:color="auto"/>
        <w:bottom w:val="none" w:sz="0" w:space="0" w:color="auto"/>
        <w:right w:val="none" w:sz="0" w:space="0" w:color="auto"/>
      </w:divBdr>
    </w:div>
    <w:div w:id="1308165131">
      <w:bodyDiv w:val="1"/>
      <w:marLeft w:val="0"/>
      <w:marRight w:val="0"/>
      <w:marTop w:val="0"/>
      <w:marBottom w:val="0"/>
      <w:divBdr>
        <w:top w:val="none" w:sz="0" w:space="0" w:color="auto"/>
        <w:left w:val="none" w:sz="0" w:space="0" w:color="auto"/>
        <w:bottom w:val="none" w:sz="0" w:space="0" w:color="auto"/>
        <w:right w:val="none" w:sz="0" w:space="0" w:color="auto"/>
      </w:divBdr>
    </w:div>
    <w:div w:id="1336306210">
      <w:bodyDiv w:val="1"/>
      <w:marLeft w:val="0"/>
      <w:marRight w:val="0"/>
      <w:marTop w:val="0"/>
      <w:marBottom w:val="0"/>
      <w:divBdr>
        <w:top w:val="none" w:sz="0" w:space="0" w:color="auto"/>
        <w:left w:val="none" w:sz="0" w:space="0" w:color="auto"/>
        <w:bottom w:val="none" w:sz="0" w:space="0" w:color="auto"/>
        <w:right w:val="none" w:sz="0" w:space="0" w:color="auto"/>
      </w:divBdr>
    </w:div>
    <w:div w:id="1340427509">
      <w:bodyDiv w:val="1"/>
      <w:marLeft w:val="0"/>
      <w:marRight w:val="0"/>
      <w:marTop w:val="0"/>
      <w:marBottom w:val="0"/>
      <w:divBdr>
        <w:top w:val="none" w:sz="0" w:space="0" w:color="auto"/>
        <w:left w:val="none" w:sz="0" w:space="0" w:color="auto"/>
        <w:bottom w:val="none" w:sz="0" w:space="0" w:color="auto"/>
        <w:right w:val="none" w:sz="0" w:space="0" w:color="auto"/>
      </w:divBdr>
    </w:div>
    <w:div w:id="1347370891">
      <w:bodyDiv w:val="1"/>
      <w:marLeft w:val="0"/>
      <w:marRight w:val="0"/>
      <w:marTop w:val="0"/>
      <w:marBottom w:val="0"/>
      <w:divBdr>
        <w:top w:val="none" w:sz="0" w:space="0" w:color="auto"/>
        <w:left w:val="none" w:sz="0" w:space="0" w:color="auto"/>
        <w:bottom w:val="none" w:sz="0" w:space="0" w:color="auto"/>
        <w:right w:val="none" w:sz="0" w:space="0" w:color="auto"/>
      </w:divBdr>
    </w:div>
    <w:div w:id="1378309969">
      <w:bodyDiv w:val="1"/>
      <w:marLeft w:val="0"/>
      <w:marRight w:val="0"/>
      <w:marTop w:val="0"/>
      <w:marBottom w:val="0"/>
      <w:divBdr>
        <w:top w:val="none" w:sz="0" w:space="0" w:color="auto"/>
        <w:left w:val="none" w:sz="0" w:space="0" w:color="auto"/>
        <w:bottom w:val="none" w:sz="0" w:space="0" w:color="auto"/>
        <w:right w:val="none" w:sz="0" w:space="0" w:color="auto"/>
      </w:divBdr>
    </w:div>
    <w:div w:id="1395277700">
      <w:bodyDiv w:val="1"/>
      <w:marLeft w:val="0"/>
      <w:marRight w:val="0"/>
      <w:marTop w:val="0"/>
      <w:marBottom w:val="0"/>
      <w:divBdr>
        <w:top w:val="none" w:sz="0" w:space="0" w:color="auto"/>
        <w:left w:val="none" w:sz="0" w:space="0" w:color="auto"/>
        <w:bottom w:val="none" w:sz="0" w:space="0" w:color="auto"/>
        <w:right w:val="none" w:sz="0" w:space="0" w:color="auto"/>
      </w:divBdr>
    </w:div>
    <w:div w:id="1399278769">
      <w:bodyDiv w:val="1"/>
      <w:marLeft w:val="0"/>
      <w:marRight w:val="0"/>
      <w:marTop w:val="0"/>
      <w:marBottom w:val="0"/>
      <w:divBdr>
        <w:top w:val="none" w:sz="0" w:space="0" w:color="auto"/>
        <w:left w:val="none" w:sz="0" w:space="0" w:color="auto"/>
        <w:bottom w:val="none" w:sz="0" w:space="0" w:color="auto"/>
        <w:right w:val="none" w:sz="0" w:space="0" w:color="auto"/>
      </w:divBdr>
    </w:div>
    <w:div w:id="1423527187">
      <w:bodyDiv w:val="1"/>
      <w:marLeft w:val="0"/>
      <w:marRight w:val="0"/>
      <w:marTop w:val="0"/>
      <w:marBottom w:val="0"/>
      <w:divBdr>
        <w:top w:val="none" w:sz="0" w:space="0" w:color="auto"/>
        <w:left w:val="none" w:sz="0" w:space="0" w:color="auto"/>
        <w:bottom w:val="none" w:sz="0" w:space="0" w:color="auto"/>
        <w:right w:val="none" w:sz="0" w:space="0" w:color="auto"/>
      </w:divBdr>
    </w:div>
    <w:div w:id="1430468902">
      <w:bodyDiv w:val="1"/>
      <w:marLeft w:val="0"/>
      <w:marRight w:val="0"/>
      <w:marTop w:val="0"/>
      <w:marBottom w:val="0"/>
      <w:divBdr>
        <w:top w:val="none" w:sz="0" w:space="0" w:color="auto"/>
        <w:left w:val="none" w:sz="0" w:space="0" w:color="auto"/>
        <w:bottom w:val="none" w:sz="0" w:space="0" w:color="auto"/>
        <w:right w:val="none" w:sz="0" w:space="0" w:color="auto"/>
      </w:divBdr>
    </w:div>
    <w:div w:id="1461073366">
      <w:bodyDiv w:val="1"/>
      <w:marLeft w:val="0"/>
      <w:marRight w:val="0"/>
      <w:marTop w:val="0"/>
      <w:marBottom w:val="0"/>
      <w:divBdr>
        <w:top w:val="none" w:sz="0" w:space="0" w:color="auto"/>
        <w:left w:val="none" w:sz="0" w:space="0" w:color="auto"/>
        <w:bottom w:val="none" w:sz="0" w:space="0" w:color="auto"/>
        <w:right w:val="none" w:sz="0" w:space="0" w:color="auto"/>
      </w:divBdr>
    </w:div>
    <w:div w:id="1462384961">
      <w:bodyDiv w:val="1"/>
      <w:marLeft w:val="0"/>
      <w:marRight w:val="0"/>
      <w:marTop w:val="0"/>
      <w:marBottom w:val="0"/>
      <w:divBdr>
        <w:top w:val="none" w:sz="0" w:space="0" w:color="auto"/>
        <w:left w:val="none" w:sz="0" w:space="0" w:color="auto"/>
        <w:bottom w:val="none" w:sz="0" w:space="0" w:color="auto"/>
        <w:right w:val="none" w:sz="0" w:space="0" w:color="auto"/>
      </w:divBdr>
    </w:div>
    <w:div w:id="1475752628">
      <w:bodyDiv w:val="1"/>
      <w:marLeft w:val="0"/>
      <w:marRight w:val="0"/>
      <w:marTop w:val="0"/>
      <w:marBottom w:val="0"/>
      <w:divBdr>
        <w:top w:val="none" w:sz="0" w:space="0" w:color="auto"/>
        <w:left w:val="none" w:sz="0" w:space="0" w:color="auto"/>
        <w:bottom w:val="none" w:sz="0" w:space="0" w:color="auto"/>
        <w:right w:val="none" w:sz="0" w:space="0" w:color="auto"/>
      </w:divBdr>
    </w:div>
    <w:div w:id="1493639043">
      <w:bodyDiv w:val="1"/>
      <w:marLeft w:val="0"/>
      <w:marRight w:val="0"/>
      <w:marTop w:val="0"/>
      <w:marBottom w:val="0"/>
      <w:divBdr>
        <w:top w:val="none" w:sz="0" w:space="0" w:color="auto"/>
        <w:left w:val="none" w:sz="0" w:space="0" w:color="auto"/>
        <w:bottom w:val="none" w:sz="0" w:space="0" w:color="auto"/>
        <w:right w:val="none" w:sz="0" w:space="0" w:color="auto"/>
      </w:divBdr>
    </w:div>
    <w:div w:id="1496528741">
      <w:bodyDiv w:val="1"/>
      <w:marLeft w:val="0"/>
      <w:marRight w:val="0"/>
      <w:marTop w:val="0"/>
      <w:marBottom w:val="0"/>
      <w:divBdr>
        <w:top w:val="none" w:sz="0" w:space="0" w:color="auto"/>
        <w:left w:val="none" w:sz="0" w:space="0" w:color="auto"/>
        <w:bottom w:val="none" w:sz="0" w:space="0" w:color="auto"/>
        <w:right w:val="none" w:sz="0" w:space="0" w:color="auto"/>
      </w:divBdr>
    </w:div>
    <w:div w:id="1527408958">
      <w:bodyDiv w:val="1"/>
      <w:marLeft w:val="0"/>
      <w:marRight w:val="0"/>
      <w:marTop w:val="0"/>
      <w:marBottom w:val="0"/>
      <w:divBdr>
        <w:top w:val="none" w:sz="0" w:space="0" w:color="auto"/>
        <w:left w:val="none" w:sz="0" w:space="0" w:color="auto"/>
        <w:bottom w:val="none" w:sz="0" w:space="0" w:color="auto"/>
        <w:right w:val="none" w:sz="0" w:space="0" w:color="auto"/>
      </w:divBdr>
    </w:div>
    <w:div w:id="1571111047">
      <w:bodyDiv w:val="1"/>
      <w:marLeft w:val="0"/>
      <w:marRight w:val="0"/>
      <w:marTop w:val="0"/>
      <w:marBottom w:val="0"/>
      <w:divBdr>
        <w:top w:val="none" w:sz="0" w:space="0" w:color="auto"/>
        <w:left w:val="none" w:sz="0" w:space="0" w:color="auto"/>
        <w:bottom w:val="none" w:sz="0" w:space="0" w:color="auto"/>
        <w:right w:val="none" w:sz="0" w:space="0" w:color="auto"/>
      </w:divBdr>
    </w:div>
    <w:div w:id="1575899033">
      <w:bodyDiv w:val="1"/>
      <w:marLeft w:val="0"/>
      <w:marRight w:val="0"/>
      <w:marTop w:val="0"/>
      <w:marBottom w:val="0"/>
      <w:divBdr>
        <w:top w:val="none" w:sz="0" w:space="0" w:color="auto"/>
        <w:left w:val="none" w:sz="0" w:space="0" w:color="auto"/>
        <w:bottom w:val="none" w:sz="0" w:space="0" w:color="auto"/>
        <w:right w:val="none" w:sz="0" w:space="0" w:color="auto"/>
      </w:divBdr>
    </w:div>
    <w:div w:id="1596859516">
      <w:bodyDiv w:val="1"/>
      <w:marLeft w:val="0"/>
      <w:marRight w:val="0"/>
      <w:marTop w:val="0"/>
      <w:marBottom w:val="0"/>
      <w:divBdr>
        <w:top w:val="none" w:sz="0" w:space="0" w:color="auto"/>
        <w:left w:val="none" w:sz="0" w:space="0" w:color="auto"/>
        <w:bottom w:val="none" w:sz="0" w:space="0" w:color="auto"/>
        <w:right w:val="none" w:sz="0" w:space="0" w:color="auto"/>
      </w:divBdr>
    </w:div>
    <w:div w:id="1600798262">
      <w:bodyDiv w:val="1"/>
      <w:marLeft w:val="0"/>
      <w:marRight w:val="0"/>
      <w:marTop w:val="0"/>
      <w:marBottom w:val="0"/>
      <w:divBdr>
        <w:top w:val="none" w:sz="0" w:space="0" w:color="auto"/>
        <w:left w:val="none" w:sz="0" w:space="0" w:color="auto"/>
        <w:bottom w:val="none" w:sz="0" w:space="0" w:color="auto"/>
        <w:right w:val="none" w:sz="0" w:space="0" w:color="auto"/>
      </w:divBdr>
    </w:div>
    <w:div w:id="1622498177">
      <w:bodyDiv w:val="1"/>
      <w:marLeft w:val="0"/>
      <w:marRight w:val="0"/>
      <w:marTop w:val="0"/>
      <w:marBottom w:val="0"/>
      <w:divBdr>
        <w:top w:val="none" w:sz="0" w:space="0" w:color="auto"/>
        <w:left w:val="none" w:sz="0" w:space="0" w:color="auto"/>
        <w:bottom w:val="none" w:sz="0" w:space="0" w:color="auto"/>
        <w:right w:val="none" w:sz="0" w:space="0" w:color="auto"/>
      </w:divBdr>
    </w:div>
    <w:div w:id="1624379499">
      <w:bodyDiv w:val="1"/>
      <w:marLeft w:val="0"/>
      <w:marRight w:val="0"/>
      <w:marTop w:val="0"/>
      <w:marBottom w:val="0"/>
      <w:divBdr>
        <w:top w:val="none" w:sz="0" w:space="0" w:color="auto"/>
        <w:left w:val="none" w:sz="0" w:space="0" w:color="auto"/>
        <w:bottom w:val="none" w:sz="0" w:space="0" w:color="auto"/>
        <w:right w:val="none" w:sz="0" w:space="0" w:color="auto"/>
      </w:divBdr>
    </w:div>
    <w:div w:id="1633124329">
      <w:bodyDiv w:val="1"/>
      <w:marLeft w:val="0"/>
      <w:marRight w:val="0"/>
      <w:marTop w:val="0"/>
      <w:marBottom w:val="0"/>
      <w:divBdr>
        <w:top w:val="none" w:sz="0" w:space="0" w:color="auto"/>
        <w:left w:val="none" w:sz="0" w:space="0" w:color="auto"/>
        <w:bottom w:val="none" w:sz="0" w:space="0" w:color="auto"/>
        <w:right w:val="none" w:sz="0" w:space="0" w:color="auto"/>
      </w:divBdr>
    </w:div>
    <w:div w:id="1637833046">
      <w:bodyDiv w:val="1"/>
      <w:marLeft w:val="0"/>
      <w:marRight w:val="0"/>
      <w:marTop w:val="0"/>
      <w:marBottom w:val="0"/>
      <w:divBdr>
        <w:top w:val="none" w:sz="0" w:space="0" w:color="auto"/>
        <w:left w:val="none" w:sz="0" w:space="0" w:color="auto"/>
        <w:bottom w:val="none" w:sz="0" w:space="0" w:color="auto"/>
        <w:right w:val="none" w:sz="0" w:space="0" w:color="auto"/>
      </w:divBdr>
    </w:div>
    <w:div w:id="1659721862">
      <w:bodyDiv w:val="1"/>
      <w:marLeft w:val="0"/>
      <w:marRight w:val="0"/>
      <w:marTop w:val="0"/>
      <w:marBottom w:val="0"/>
      <w:divBdr>
        <w:top w:val="none" w:sz="0" w:space="0" w:color="auto"/>
        <w:left w:val="none" w:sz="0" w:space="0" w:color="auto"/>
        <w:bottom w:val="none" w:sz="0" w:space="0" w:color="auto"/>
        <w:right w:val="none" w:sz="0" w:space="0" w:color="auto"/>
      </w:divBdr>
    </w:div>
    <w:div w:id="1681614431">
      <w:bodyDiv w:val="1"/>
      <w:marLeft w:val="0"/>
      <w:marRight w:val="0"/>
      <w:marTop w:val="0"/>
      <w:marBottom w:val="0"/>
      <w:divBdr>
        <w:top w:val="none" w:sz="0" w:space="0" w:color="auto"/>
        <w:left w:val="none" w:sz="0" w:space="0" w:color="auto"/>
        <w:bottom w:val="none" w:sz="0" w:space="0" w:color="auto"/>
        <w:right w:val="none" w:sz="0" w:space="0" w:color="auto"/>
      </w:divBdr>
    </w:div>
    <w:div w:id="1771003212">
      <w:bodyDiv w:val="1"/>
      <w:marLeft w:val="0"/>
      <w:marRight w:val="0"/>
      <w:marTop w:val="0"/>
      <w:marBottom w:val="0"/>
      <w:divBdr>
        <w:top w:val="none" w:sz="0" w:space="0" w:color="auto"/>
        <w:left w:val="none" w:sz="0" w:space="0" w:color="auto"/>
        <w:bottom w:val="none" w:sz="0" w:space="0" w:color="auto"/>
        <w:right w:val="none" w:sz="0" w:space="0" w:color="auto"/>
      </w:divBdr>
    </w:div>
    <w:div w:id="1773277607">
      <w:bodyDiv w:val="1"/>
      <w:marLeft w:val="0"/>
      <w:marRight w:val="0"/>
      <w:marTop w:val="0"/>
      <w:marBottom w:val="0"/>
      <w:divBdr>
        <w:top w:val="none" w:sz="0" w:space="0" w:color="auto"/>
        <w:left w:val="none" w:sz="0" w:space="0" w:color="auto"/>
        <w:bottom w:val="none" w:sz="0" w:space="0" w:color="auto"/>
        <w:right w:val="none" w:sz="0" w:space="0" w:color="auto"/>
      </w:divBdr>
    </w:div>
    <w:div w:id="1842816531">
      <w:bodyDiv w:val="1"/>
      <w:marLeft w:val="0"/>
      <w:marRight w:val="0"/>
      <w:marTop w:val="0"/>
      <w:marBottom w:val="0"/>
      <w:divBdr>
        <w:top w:val="none" w:sz="0" w:space="0" w:color="auto"/>
        <w:left w:val="none" w:sz="0" w:space="0" w:color="auto"/>
        <w:bottom w:val="none" w:sz="0" w:space="0" w:color="auto"/>
        <w:right w:val="none" w:sz="0" w:space="0" w:color="auto"/>
      </w:divBdr>
    </w:div>
    <w:div w:id="1845588528">
      <w:bodyDiv w:val="1"/>
      <w:marLeft w:val="0"/>
      <w:marRight w:val="0"/>
      <w:marTop w:val="0"/>
      <w:marBottom w:val="0"/>
      <w:divBdr>
        <w:top w:val="none" w:sz="0" w:space="0" w:color="auto"/>
        <w:left w:val="none" w:sz="0" w:space="0" w:color="auto"/>
        <w:bottom w:val="none" w:sz="0" w:space="0" w:color="auto"/>
        <w:right w:val="none" w:sz="0" w:space="0" w:color="auto"/>
      </w:divBdr>
    </w:div>
    <w:div w:id="1867668234">
      <w:bodyDiv w:val="1"/>
      <w:marLeft w:val="0"/>
      <w:marRight w:val="0"/>
      <w:marTop w:val="0"/>
      <w:marBottom w:val="0"/>
      <w:divBdr>
        <w:top w:val="none" w:sz="0" w:space="0" w:color="auto"/>
        <w:left w:val="none" w:sz="0" w:space="0" w:color="auto"/>
        <w:bottom w:val="none" w:sz="0" w:space="0" w:color="auto"/>
        <w:right w:val="none" w:sz="0" w:space="0" w:color="auto"/>
      </w:divBdr>
    </w:div>
    <w:div w:id="1880127517">
      <w:bodyDiv w:val="1"/>
      <w:marLeft w:val="0"/>
      <w:marRight w:val="0"/>
      <w:marTop w:val="0"/>
      <w:marBottom w:val="0"/>
      <w:divBdr>
        <w:top w:val="none" w:sz="0" w:space="0" w:color="auto"/>
        <w:left w:val="none" w:sz="0" w:space="0" w:color="auto"/>
        <w:bottom w:val="none" w:sz="0" w:space="0" w:color="auto"/>
        <w:right w:val="none" w:sz="0" w:space="0" w:color="auto"/>
      </w:divBdr>
    </w:div>
    <w:div w:id="1886331910">
      <w:bodyDiv w:val="1"/>
      <w:marLeft w:val="0"/>
      <w:marRight w:val="0"/>
      <w:marTop w:val="0"/>
      <w:marBottom w:val="0"/>
      <w:divBdr>
        <w:top w:val="none" w:sz="0" w:space="0" w:color="auto"/>
        <w:left w:val="none" w:sz="0" w:space="0" w:color="auto"/>
        <w:bottom w:val="none" w:sz="0" w:space="0" w:color="auto"/>
        <w:right w:val="none" w:sz="0" w:space="0" w:color="auto"/>
      </w:divBdr>
    </w:div>
    <w:div w:id="1888683862">
      <w:bodyDiv w:val="1"/>
      <w:marLeft w:val="0"/>
      <w:marRight w:val="0"/>
      <w:marTop w:val="0"/>
      <w:marBottom w:val="0"/>
      <w:divBdr>
        <w:top w:val="none" w:sz="0" w:space="0" w:color="auto"/>
        <w:left w:val="none" w:sz="0" w:space="0" w:color="auto"/>
        <w:bottom w:val="none" w:sz="0" w:space="0" w:color="auto"/>
        <w:right w:val="none" w:sz="0" w:space="0" w:color="auto"/>
      </w:divBdr>
    </w:div>
    <w:div w:id="1892957296">
      <w:bodyDiv w:val="1"/>
      <w:marLeft w:val="0"/>
      <w:marRight w:val="0"/>
      <w:marTop w:val="0"/>
      <w:marBottom w:val="0"/>
      <w:divBdr>
        <w:top w:val="none" w:sz="0" w:space="0" w:color="auto"/>
        <w:left w:val="none" w:sz="0" w:space="0" w:color="auto"/>
        <w:bottom w:val="none" w:sz="0" w:space="0" w:color="auto"/>
        <w:right w:val="none" w:sz="0" w:space="0" w:color="auto"/>
      </w:divBdr>
    </w:div>
    <w:div w:id="1902324556">
      <w:bodyDiv w:val="1"/>
      <w:marLeft w:val="0"/>
      <w:marRight w:val="0"/>
      <w:marTop w:val="0"/>
      <w:marBottom w:val="0"/>
      <w:divBdr>
        <w:top w:val="none" w:sz="0" w:space="0" w:color="auto"/>
        <w:left w:val="none" w:sz="0" w:space="0" w:color="auto"/>
        <w:bottom w:val="none" w:sz="0" w:space="0" w:color="auto"/>
        <w:right w:val="none" w:sz="0" w:space="0" w:color="auto"/>
      </w:divBdr>
    </w:div>
    <w:div w:id="1925800948">
      <w:bodyDiv w:val="1"/>
      <w:marLeft w:val="0"/>
      <w:marRight w:val="0"/>
      <w:marTop w:val="0"/>
      <w:marBottom w:val="0"/>
      <w:divBdr>
        <w:top w:val="none" w:sz="0" w:space="0" w:color="auto"/>
        <w:left w:val="none" w:sz="0" w:space="0" w:color="auto"/>
        <w:bottom w:val="none" w:sz="0" w:space="0" w:color="auto"/>
        <w:right w:val="none" w:sz="0" w:space="0" w:color="auto"/>
      </w:divBdr>
    </w:div>
    <w:div w:id="1927492365">
      <w:bodyDiv w:val="1"/>
      <w:marLeft w:val="0"/>
      <w:marRight w:val="0"/>
      <w:marTop w:val="0"/>
      <w:marBottom w:val="0"/>
      <w:divBdr>
        <w:top w:val="none" w:sz="0" w:space="0" w:color="auto"/>
        <w:left w:val="none" w:sz="0" w:space="0" w:color="auto"/>
        <w:bottom w:val="none" w:sz="0" w:space="0" w:color="auto"/>
        <w:right w:val="none" w:sz="0" w:space="0" w:color="auto"/>
      </w:divBdr>
    </w:div>
    <w:div w:id="1939634787">
      <w:bodyDiv w:val="1"/>
      <w:marLeft w:val="0"/>
      <w:marRight w:val="0"/>
      <w:marTop w:val="0"/>
      <w:marBottom w:val="0"/>
      <w:divBdr>
        <w:top w:val="none" w:sz="0" w:space="0" w:color="auto"/>
        <w:left w:val="none" w:sz="0" w:space="0" w:color="auto"/>
        <w:bottom w:val="none" w:sz="0" w:space="0" w:color="auto"/>
        <w:right w:val="none" w:sz="0" w:space="0" w:color="auto"/>
      </w:divBdr>
    </w:div>
    <w:div w:id="1986737909">
      <w:bodyDiv w:val="1"/>
      <w:marLeft w:val="0"/>
      <w:marRight w:val="0"/>
      <w:marTop w:val="0"/>
      <w:marBottom w:val="0"/>
      <w:divBdr>
        <w:top w:val="none" w:sz="0" w:space="0" w:color="auto"/>
        <w:left w:val="none" w:sz="0" w:space="0" w:color="auto"/>
        <w:bottom w:val="none" w:sz="0" w:space="0" w:color="auto"/>
        <w:right w:val="none" w:sz="0" w:space="0" w:color="auto"/>
      </w:divBdr>
    </w:div>
    <w:div w:id="2001234115">
      <w:bodyDiv w:val="1"/>
      <w:marLeft w:val="0"/>
      <w:marRight w:val="0"/>
      <w:marTop w:val="0"/>
      <w:marBottom w:val="0"/>
      <w:divBdr>
        <w:top w:val="none" w:sz="0" w:space="0" w:color="auto"/>
        <w:left w:val="none" w:sz="0" w:space="0" w:color="auto"/>
        <w:bottom w:val="none" w:sz="0" w:space="0" w:color="auto"/>
        <w:right w:val="none" w:sz="0" w:space="0" w:color="auto"/>
      </w:divBdr>
    </w:div>
    <w:div w:id="2010329069">
      <w:bodyDiv w:val="1"/>
      <w:marLeft w:val="0"/>
      <w:marRight w:val="0"/>
      <w:marTop w:val="0"/>
      <w:marBottom w:val="0"/>
      <w:divBdr>
        <w:top w:val="none" w:sz="0" w:space="0" w:color="auto"/>
        <w:left w:val="none" w:sz="0" w:space="0" w:color="auto"/>
        <w:bottom w:val="none" w:sz="0" w:space="0" w:color="auto"/>
        <w:right w:val="none" w:sz="0" w:space="0" w:color="auto"/>
      </w:divBdr>
    </w:div>
    <w:div w:id="2028866530">
      <w:bodyDiv w:val="1"/>
      <w:marLeft w:val="0"/>
      <w:marRight w:val="0"/>
      <w:marTop w:val="0"/>
      <w:marBottom w:val="0"/>
      <w:divBdr>
        <w:top w:val="none" w:sz="0" w:space="0" w:color="auto"/>
        <w:left w:val="none" w:sz="0" w:space="0" w:color="auto"/>
        <w:bottom w:val="none" w:sz="0" w:space="0" w:color="auto"/>
        <w:right w:val="none" w:sz="0" w:space="0" w:color="auto"/>
      </w:divBdr>
    </w:div>
    <w:div w:id="2038118207">
      <w:bodyDiv w:val="1"/>
      <w:marLeft w:val="0"/>
      <w:marRight w:val="0"/>
      <w:marTop w:val="0"/>
      <w:marBottom w:val="0"/>
      <w:divBdr>
        <w:top w:val="none" w:sz="0" w:space="0" w:color="auto"/>
        <w:left w:val="none" w:sz="0" w:space="0" w:color="auto"/>
        <w:bottom w:val="none" w:sz="0" w:space="0" w:color="auto"/>
        <w:right w:val="none" w:sz="0" w:space="0" w:color="auto"/>
      </w:divBdr>
    </w:div>
    <w:div w:id="2044094613">
      <w:bodyDiv w:val="1"/>
      <w:marLeft w:val="0"/>
      <w:marRight w:val="0"/>
      <w:marTop w:val="0"/>
      <w:marBottom w:val="0"/>
      <w:divBdr>
        <w:top w:val="none" w:sz="0" w:space="0" w:color="auto"/>
        <w:left w:val="none" w:sz="0" w:space="0" w:color="auto"/>
        <w:bottom w:val="none" w:sz="0" w:space="0" w:color="auto"/>
        <w:right w:val="none" w:sz="0" w:space="0" w:color="auto"/>
      </w:divBdr>
    </w:div>
    <w:div w:id="2047753103">
      <w:bodyDiv w:val="1"/>
      <w:marLeft w:val="0"/>
      <w:marRight w:val="0"/>
      <w:marTop w:val="0"/>
      <w:marBottom w:val="0"/>
      <w:divBdr>
        <w:top w:val="none" w:sz="0" w:space="0" w:color="auto"/>
        <w:left w:val="none" w:sz="0" w:space="0" w:color="auto"/>
        <w:bottom w:val="none" w:sz="0" w:space="0" w:color="auto"/>
        <w:right w:val="none" w:sz="0" w:space="0" w:color="auto"/>
      </w:divBdr>
    </w:div>
    <w:div w:id="2063626455">
      <w:bodyDiv w:val="1"/>
      <w:marLeft w:val="0"/>
      <w:marRight w:val="0"/>
      <w:marTop w:val="0"/>
      <w:marBottom w:val="0"/>
      <w:divBdr>
        <w:top w:val="none" w:sz="0" w:space="0" w:color="auto"/>
        <w:left w:val="none" w:sz="0" w:space="0" w:color="auto"/>
        <w:bottom w:val="none" w:sz="0" w:space="0" w:color="auto"/>
        <w:right w:val="none" w:sz="0" w:space="0" w:color="auto"/>
      </w:divBdr>
    </w:div>
    <w:div w:id="2064601794">
      <w:bodyDiv w:val="1"/>
      <w:marLeft w:val="0"/>
      <w:marRight w:val="0"/>
      <w:marTop w:val="0"/>
      <w:marBottom w:val="0"/>
      <w:divBdr>
        <w:top w:val="none" w:sz="0" w:space="0" w:color="auto"/>
        <w:left w:val="none" w:sz="0" w:space="0" w:color="auto"/>
        <w:bottom w:val="none" w:sz="0" w:space="0" w:color="auto"/>
        <w:right w:val="none" w:sz="0" w:space="0" w:color="auto"/>
      </w:divBdr>
    </w:div>
    <w:div w:id="2070610090">
      <w:bodyDiv w:val="1"/>
      <w:marLeft w:val="0"/>
      <w:marRight w:val="0"/>
      <w:marTop w:val="0"/>
      <w:marBottom w:val="0"/>
      <w:divBdr>
        <w:top w:val="none" w:sz="0" w:space="0" w:color="auto"/>
        <w:left w:val="none" w:sz="0" w:space="0" w:color="auto"/>
        <w:bottom w:val="none" w:sz="0" w:space="0" w:color="auto"/>
        <w:right w:val="none" w:sz="0" w:space="0" w:color="auto"/>
      </w:divBdr>
    </w:div>
    <w:div w:id="2073112190">
      <w:bodyDiv w:val="1"/>
      <w:marLeft w:val="0"/>
      <w:marRight w:val="0"/>
      <w:marTop w:val="0"/>
      <w:marBottom w:val="0"/>
      <w:divBdr>
        <w:top w:val="none" w:sz="0" w:space="0" w:color="auto"/>
        <w:left w:val="none" w:sz="0" w:space="0" w:color="auto"/>
        <w:bottom w:val="none" w:sz="0" w:space="0" w:color="auto"/>
        <w:right w:val="none" w:sz="0" w:space="0" w:color="auto"/>
      </w:divBdr>
    </w:div>
    <w:div w:id="2123573393">
      <w:bodyDiv w:val="1"/>
      <w:marLeft w:val="0"/>
      <w:marRight w:val="0"/>
      <w:marTop w:val="0"/>
      <w:marBottom w:val="0"/>
      <w:divBdr>
        <w:top w:val="none" w:sz="0" w:space="0" w:color="auto"/>
        <w:left w:val="none" w:sz="0" w:space="0" w:color="auto"/>
        <w:bottom w:val="none" w:sz="0" w:space="0" w:color="auto"/>
        <w:right w:val="none" w:sz="0" w:space="0" w:color="auto"/>
      </w:divBdr>
    </w:div>
    <w:div w:id="2125466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Publications\Budge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FAD12-0E9A-44EC-9DB1-B1F3103CA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Budget Template.dotm</Template>
  <TotalTime>300</TotalTime>
  <Pages>15</Pages>
  <Words>4210</Words>
  <Characters>23295</Characters>
  <Application>Microsoft Office Word</Application>
  <DocSecurity>0</DocSecurity>
  <Lines>1391</Lines>
  <Paragraphs>893</Paragraphs>
  <ScaleCrop>false</ScaleCrop>
  <HeadingPairs>
    <vt:vector size="2" baseType="variant">
      <vt:variant>
        <vt:lpstr>Title</vt:lpstr>
      </vt:variant>
      <vt:variant>
        <vt:i4>1</vt:i4>
      </vt:variant>
    </vt:vector>
  </HeadingPairs>
  <TitlesOfParts>
    <vt:vector size="1" baseType="lpstr">
      <vt:lpstr>Final Budget Outcome 2019-20</vt:lpstr>
    </vt:vector>
  </TitlesOfParts>
  <Company>Australian Government - The Treasury</Company>
  <LinksUpToDate>false</LinksUpToDate>
  <CharactersWithSpaces>26936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Budget Outcome 2019-20</dc:title>
  <dc:subject>Part 1: Australian Government Budget Outcome</dc:subject>
  <dc:creator>Australian Government</dc:creator>
  <cp:keywords>#-</cp:keywords>
  <dc:description/>
  <cp:lastModifiedBy>Hill, Christine</cp:lastModifiedBy>
  <cp:revision>107</cp:revision>
  <cp:lastPrinted>2020-09-18T03:55:00Z</cp:lastPrinted>
  <dcterms:created xsi:type="dcterms:W3CDTF">2020-09-14T02:49:00Z</dcterms:created>
  <dcterms:modified xsi:type="dcterms:W3CDTF">2020-09-24T02:26:00Z</dcterms:modified>
  <cp:category/>
</cp:coreProperties>
</file>