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B4502B"/>
          <w:spacing w:val="40"/>
          <w:sz w:val="22"/>
          <w:szCs w:val="22"/>
        </w:rPr>
        <w:t xml:space="preserve">PROPOSITION DE PARTENARIAT À TIKA</w:t>
      </w:r>
    </w:p>
    <w:p>
      <w:pPr>
        <w:spacing w:after="240"/>
      </w:pPr>
      <w:r>
        <w:rPr>
          <w:rFonts w:ascii="Georgia" w:cs="Georgia" w:eastAsia="Georgia" w:hAnsi="Georgia"/>
          <w:b/>
          <w:bCs/>
          <w:color w:val="1C2A33"/>
          <w:sz w:val="60"/>
          <w:szCs w:val="60"/>
        </w:rPr>
        <w:t xml:space="preserve">Le Programme CAEF Connect</w:t>
      </w:r>
    </w:p>
    <w:p>
      <w:pPr>
        <w:pBdr>
          <w:bottom w:val="single" w:color="E2A63B" w:sz="12" w:space="12"/>
        </w:pBdr>
        <w:spacing w:after="600"/>
      </w:pPr>
      <w:r>
        <w:rPr>
          <w:color w:val="1C2A33"/>
          <w:sz w:val="32"/>
          <w:szCs w:val="32"/>
        </w:rPr>
        <w:t xml:space="preserve">Le programme de digitalisation des CAEF et des structures dépendantes</w:t>
      </w:r>
    </w:p>
    <w:p>
      <w:pPr>
        <w:spacing w:after="400"/>
      </w:pPr>
      <w:r>
        <w:rPr>
          <w:b/>
          <w:bCs/>
          <w:color w:val="B4502B"/>
        </w:rPr>
        <w:t xml:space="preserve">Première étape proposée : </w:t>
      </w:r>
      <w:r>
        <w:t xml:space="preserve">le pilote au CAEF Cameroun, à Dixinn</w:t>
      </w:r>
    </w:p>
    <w:p>
      <w:pPr>
        <w:spacing w:after="140" w:line="300"/>
      </w:pPr>
      <w:r>
        <w:rPr>
          <w:b/>
          <w:bCs/>
        </w:rPr>
        <w:t xml:space="preserve">Destinataire : </w:t>
      </w:r>
      <w:r>
        <w:t xml:space="preserve">TIKA, Agence turque de coopération et de coordination</w:t>
      </w:r>
    </w:p>
    <w:p>
      <w:pPr>
        <w:spacing w:after="140" w:line="300"/>
      </w:pPr>
      <w:r>
        <w:rPr>
          <w:b/>
          <w:bCs/>
        </w:rPr>
        <w:t xml:space="preserve">Bénéficiaire : </w:t>
      </w:r>
      <w:r>
        <w:t xml:space="preserve">Direction Générale des CAEF</w:t>
      </w:r>
    </w:p>
    <w:p>
      <w:pPr>
        <w:spacing w:after="140" w:line="300"/>
      </w:pPr>
      <w:r>
        <w:rPr>
          <w:b/>
          <w:bCs/>
        </w:rPr>
        <w:t xml:space="preserve">Présenté par : </w:t>
      </w:r>
      <w:r>
        <w:t xml:space="preserve">Boubacar Yarie BANGOURA, Lead Developer Product &amp; Chef de Projet Digital</w:t>
      </w:r>
    </w:p>
    <w:p>
      <w:pPr>
        <w:spacing w:after="140" w:line="300"/>
      </w:pPr>
      <w:r>
        <w:rPr>
          <w:b/>
          <w:bCs/>
        </w:rPr>
        <w:t xml:space="preserve">Date : </w:t>
      </w:r>
      <w:r>
        <w:t xml:space="preserve">octobre 2026</w:t>
      </w:r>
    </w:p>
    <w:p>
      <w:r>
        <w:br w:type="page"/>
      </w:r>
    </w:p>
    <w:p>
      <w:pPr>
        <w:spacing w:after="200"/>
      </w:pPr>
      <w:r>
        <w:rPr>
          <w:rFonts w:ascii="Georgia" w:cs="Georgia" w:eastAsia="Georgia" w:hAnsi="Georgia"/>
          <w:b/>
          <w:bCs/>
          <w:color w:val="1C2A33"/>
          <w:sz w:val="32"/>
          <w:szCs w:val="32"/>
        </w:rPr>
        <w:t xml:space="preserve">Sommaire</w:t>
      </w:r>
    </w:p>
    <w:p>
      <w:pPr>
        <w:spacing w:after="100"/>
      </w:pPr>
      <w:r>
        <w:rPr>
          <w:sz w:val="23"/>
          <w:szCs w:val="23"/>
        </w:rPr>
        <w:t xml:space="preserve">1. Le programme en bref</w:t>
      </w:r>
    </w:p>
    <w:p>
      <w:pPr>
        <w:spacing w:after="100"/>
      </w:pPr>
      <w:r>
        <w:rPr>
          <w:sz w:val="23"/>
          <w:szCs w:val="23"/>
        </w:rPr>
        <w:t xml:space="preserve">2. Le constat au CAEF Cameroun</w:t>
      </w:r>
    </w:p>
    <w:p>
      <w:pPr>
        <w:spacing w:after="100"/>
      </w:pPr>
      <w:r>
        <w:rPr>
          <w:sz w:val="23"/>
          <w:szCs w:val="23"/>
        </w:rPr>
        <w:t xml:space="preserve">3. La plateforme, outil du programme</w:t>
      </w:r>
    </w:p>
    <w:p>
      <w:pPr>
        <w:spacing w:after="100"/>
      </w:pPr>
      <w:r>
        <w:rPr>
          <w:sz w:val="23"/>
          <w:szCs w:val="23"/>
        </w:rPr>
        <w:t xml:space="preserve">4. Première étape : le pilote de Dixinn</w:t>
      </w:r>
    </w:p>
    <w:p>
      <w:pPr>
        <w:spacing w:after="100"/>
      </w:pPr>
      <w:r>
        <w:rPr>
          <w:sz w:val="23"/>
          <w:szCs w:val="23"/>
        </w:rPr>
        <w:t xml:space="preserve">5. Cas d'usage au CAEF Cameroun</w:t>
      </w:r>
    </w:p>
    <w:p>
      <w:pPr>
        <w:spacing w:after="100"/>
      </w:pPr>
      <w:r>
        <w:rPr>
          <w:sz w:val="23"/>
          <w:szCs w:val="23"/>
        </w:rPr>
        <w:t xml:space="preserve">6. Aperçu des écrans clés</w:t>
      </w:r>
    </w:p>
    <w:p>
      <w:pPr>
        <w:spacing w:after="100"/>
      </w:pPr>
      <w:r>
        <w:rPr>
          <w:sz w:val="23"/>
          <w:szCs w:val="23"/>
        </w:rPr>
        <w:t xml:space="preserve">7. Un dossier de conception déjà rédigé</w:t>
      </w:r>
    </w:p>
    <w:p>
      <w:pPr>
        <w:spacing w:after="100"/>
      </w:pPr>
      <w:r>
        <w:rPr>
          <w:sz w:val="23"/>
          <w:szCs w:val="23"/>
        </w:rPr>
        <w:t xml:space="preserve">8. Budget</w:t>
      </w:r>
    </w:p>
    <w:p>
      <w:pPr>
        <w:spacing w:after="100"/>
      </w:pPr>
      <w:r>
        <w:rPr>
          <w:sz w:val="23"/>
          <w:szCs w:val="23"/>
        </w:rPr>
        <w:t xml:space="preserve">9. Ce que nous demandons à TIKA</w:t>
      </w:r>
    </w:p>
    <w:p>
      <w:pPr>
        <w:spacing w:after="100"/>
      </w:pPr>
      <w:r>
        <w:rPr>
          <w:sz w:val="23"/>
          <w:szCs w:val="23"/>
        </w:rPr>
        <w:t xml:space="preserve">10. Nos engagements</w:t>
      </w:r>
    </w:p>
    <w:p>
      <w:pPr>
        <w:spacing w:after="100"/>
      </w:pPr>
      <w:r>
        <w:rPr>
          <w:sz w:val="23"/>
          <w:szCs w:val="23"/>
        </w:rPr>
        <w:t xml:space="preserve">11. Critères de succès du pilote</w:t>
      </w:r>
    </w:p>
    <w:p>
      <w:pPr>
        <w:spacing w:after="100"/>
      </w:pPr>
      <w:r>
        <w:rPr>
          <w:sz w:val="23"/>
          <w:szCs w:val="23"/>
        </w:rPr>
        <w:t xml:space="preserve">12. Prochaines étapes et contact</w:t>
      </w:r>
    </w:p>
    <w:p>
      <w:r>
        <w:br w:type="page"/>
      </w:r>
    </w:p>
    <w:p>
      <w:pPr>
        <w:pStyle w:val="Heading1"/>
      </w:pPr>
      <w:r>
        <w:t xml:space="preserve">1. Le programme en bref</w:t>
      </w:r>
    </w:p>
    <w:p>
      <w:pPr>
        <w:spacing w:after="140" w:line="300"/>
      </w:pPr>
      <w:r>
        <w:rPr>
          <w:b/>
          <w:bCs/>
        </w:rPr>
        <w:t xml:space="preserve">Le Programme CAEF Connect est le programme de digitalisation des CAEF et des structures dépendantes. </w:t>
      </w:r>
      <w:r>
        <w:t xml:space="preserve">Il fait passer leur gestion du papier à des données fiables, partagées et vérifiables.</w:t>
      </w:r>
    </w:p>
    <w:p>
      <w:pPr>
        <w:spacing w:after="140" w:line="300"/>
      </w:pPr>
      <w:r>
        <w:t xml:space="preserve">Son outil est la plateforme CAEF Connect : chaque centre y gère ses bénéficiaires, ses formations et sa boutique, et la Direction Générale pilote l'ensemble sur les mêmes chiffres. Le programme avance par étapes, et chaque étape ne démarre qu'après le bilan de la précédente.</w:t>
      </w:r>
    </w:p>
    <w:p>
      <w:pPr>
        <w:spacing w:after="140" w:line="300"/>
      </w:pPr>
      <w:r>
        <w:t xml:space="preserve">La première étape est un pilote dans un seul centre, le CAEF Cameroun, dans la commune de Dixinn à Conakry. Nous proposons à TIKA, Agence turque de coopération et de coordination, d'accompagner cette première étape en offrant aux CAEF sa réalisation et son démarrage.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E0D8CA" w:sz="4"/>
              <w:left w:val="single" w:color="E0D8CA" w:sz="4"/>
              <w:bottom w:val="single" w:color="E0D8CA" w:sz="4"/>
              <w:right w:val="single" w:color="E0D8CA" w:sz="4"/>
            </w:tcBorders>
            <w:shd w:fill="1C2A33" w:color="auto" w:val="clear"/>
            <w:tcMar>
              <w:top w:type="dxa" w:w="80"/>
              <w:left w:type="dxa" w:w="120"/>
              <w:bottom w:type="dxa" w:w="80"/>
              <w:right w:type="dxa" w:w="120"/>
            </w:tcMar>
          </w:tcPr>
          <w:p>
            <w:pPr>
              <w:spacing w:after="0" w:line="270"/>
            </w:pPr>
            <w:r>
              <w:rPr>
                <w:b/>
                <w:bCs/>
                <w:color w:val="FFFFFF"/>
              </w:rPr>
              <w:t xml:space="preserve">Élément</w:t>
            </w:r>
          </w:p>
        </w:tc>
        <w:tc>
          <w:tcPr>
            <w:tcW w:type="dxa" w:w="6747"/>
            <w:tcBorders>
              <w:top w:val="single" w:color="E0D8CA" w:sz="4"/>
              <w:left w:val="single" w:color="E0D8CA" w:sz="4"/>
              <w:bottom w:val="single" w:color="E0D8CA" w:sz="4"/>
              <w:right w:val="single" w:color="E0D8CA" w:sz="4"/>
            </w:tcBorders>
            <w:shd w:fill="1C2A33" w:color="auto" w:val="clear"/>
            <w:tcMar>
              <w:top w:type="dxa" w:w="80"/>
              <w:left w:type="dxa" w:w="120"/>
              <w:bottom w:type="dxa" w:w="80"/>
              <w:right w:type="dxa" w:w="120"/>
            </w:tcMar>
          </w:tcPr>
          <w:p>
            <w:pPr>
              <w:spacing w:after="0" w:line="270"/>
            </w:pPr>
            <w:r>
              <w:rPr>
                <w:b/>
                <w:bCs/>
                <w:color w:val="FFFFFF"/>
              </w:rPr>
              <w:t xml:space="preserve">Proposition</w:t>
            </w:r>
          </w:p>
        </w:tc>
      </w:tr>
      <w:tr>
        <w:tc>
          <w:tcPr>
            <w:tcW w:type="dxa" w:w="2891"/>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rPr>
                <w:b/>
                <w:bCs/>
              </w:rPr>
              <w:t xml:space="preserve">Programme</w:t>
            </w:r>
          </w:p>
        </w:tc>
        <w:tc>
          <w:tcPr>
            <w:tcW w:type="dxa" w:w="6747"/>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Programme CAEF Connect, digitalisation des CAEF et des structures dépendantes</w:t>
            </w:r>
          </w:p>
        </w:tc>
      </w:tr>
      <w:tr>
        <w:tc>
          <w:tcPr>
            <w:tcW w:type="dxa" w:w="2891"/>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rPr>
                <w:b/>
                <w:bCs/>
              </w:rPr>
              <w:t xml:space="preserve">Outil</w:t>
            </w:r>
          </w:p>
        </w:tc>
        <w:tc>
          <w:tcPr>
            <w:tcW w:type="dxa" w:w="6747"/>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t xml:space="preserve">La plateforme CAEF Connect, de gestion et de pilotage</w:t>
            </w:r>
          </w:p>
        </w:tc>
      </w:tr>
      <w:tr>
        <w:tc>
          <w:tcPr>
            <w:tcW w:type="dxa" w:w="2891"/>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rPr>
                <w:b/>
                <w:bCs/>
              </w:rPr>
              <w:t xml:space="preserve">Première étape</w:t>
            </w:r>
          </w:p>
        </w:tc>
        <w:tc>
          <w:tcPr>
            <w:tcW w:type="dxa" w:w="6747"/>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Pilote au CAEF Cameroun, quartier Cameroun, commune de Dixinn, Conakry, sur 13 mois indicatifs</w:t>
            </w:r>
          </w:p>
        </w:tc>
      </w:tr>
      <w:tr>
        <w:tc>
          <w:tcPr>
            <w:tcW w:type="dxa" w:w="2891"/>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rPr>
                <w:b/>
                <w:bCs/>
              </w:rPr>
              <w:t xml:space="preserve">Étapes suivantes</w:t>
            </w:r>
          </w:p>
        </w:tc>
        <w:tc>
          <w:tcPr>
            <w:tcW w:type="dxa" w:w="6747"/>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t xml:space="preserve">Extension par vagues aux autres CAEF et aux structures dépendantes, après le bilan du pilote</w:t>
            </w:r>
          </w:p>
        </w:tc>
      </w:tr>
      <w:tr>
        <w:tc>
          <w:tcPr>
            <w:tcW w:type="dxa" w:w="2891"/>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rPr>
                <w:b/>
                <w:bCs/>
              </w:rPr>
              <w:t xml:space="preserve">Bénéficiaire</w:t>
            </w:r>
          </w:p>
        </w:tc>
        <w:tc>
          <w:tcPr>
            <w:tcW w:type="dxa" w:w="6747"/>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Direction Générale des CAEF</w:t>
            </w:r>
          </w:p>
        </w:tc>
      </w:tr>
      <w:tr>
        <w:tc>
          <w:tcPr>
            <w:tcW w:type="dxa" w:w="2891"/>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rPr>
                <w:b/>
                <w:bCs/>
              </w:rPr>
              <w:t xml:space="preserve">Partenaire sollicité</w:t>
            </w:r>
          </w:p>
        </w:tc>
        <w:tc>
          <w:tcPr>
            <w:tcW w:type="dxa" w:w="6747"/>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t xml:space="preserve">TIKA, pour la première étape</w:t>
            </w:r>
          </w:p>
        </w:tc>
      </w:tr>
      <w:tr>
        <w:tc>
          <w:tcPr>
            <w:tcW w:type="dxa" w:w="2891"/>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rPr>
                <w:b/>
                <w:bCs/>
              </w:rPr>
              <w:t xml:space="preserve">Porteur du programme</w:t>
            </w:r>
          </w:p>
        </w:tc>
        <w:tc>
          <w:tcPr>
            <w:tcW w:type="dxa" w:w="6747"/>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Boubacar Yarie BANGOURA, Lead Developer Product &amp; Chef de Projet Digital</w:t>
            </w:r>
          </w:p>
        </w:tc>
      </w:tr>
    </w:tbl>
    <w:p>
      <w:pPr>
        <w:spacing w:after="120"/>
      </w:pPr>
    </w:p>
    <w:p>
      <w:pPr>
        <w:spacing w:after="140" w:line="300"/>
      </w:pPr>
      <w:r>
        <w:rPr>
          <w:b/>
          <w:bCs/>
        </w:rPr>
        <w:t xml:space="preserve">Le programme est porté par Boubacar Yarie BANGOURA, </w:t>
      </w:r>
      <w:r>
        <w:t xml:space="preserve">Lead Developer Product &amp; Chef de Projet Digital. Il a travaillé au CAEF Cameroun à Dixinn comme consultant digital et communication, où il a constaté directement les limites de la gestion sur papier et l'écart entre les chiffres de la comptable et ceux de la responsable du centre. Il a conduit la conception de CAEF Connect et en assurera la direction de projet et la conduite technique.</w:t>
      </w:r>
    </w:p>
    <w:p>
      <w:pPr>
        <w:spacing w:after="140" w:line="300"/>
      </w:pPr>
      <w:r>
        <w:t xml:space="preserve">Ce document présente le constat, la plateforme, le pilote proposé, des cas d'usage concrets et des maquettes des écrans clés, puis les volets que nous souhaitons convenir par écrit avec TIKA. Le périmètre du pilote reste à formaliser par la Direction Générale des CAEF.</w:t>
      </w:r>
    </w:p>
    <w:p>
      <w:pPr>
        <w:pStyle w:val="Heading1"/>
      </w:pPr>
      <w:r>
        <w:t xml:space="preserve">2. Le constat au CAEF Cameroun</w:t>
      </w:r>
    </w:p>
    <w:p>
      <w:pPr>
        <w:spacing w:after="140" w:line="300"/>
      </w:pPr>
      <w:r>
        <w:t xml:space="preserve">Au CAEF Cameroun, toute la gestion repose encore sur le papier, et les chiffres du centre ne concordent pas d'une personne à l'autre.</w:t>
      </w:r>
    </w:p>
    <w:p>
      <w:pPr>
        <w:pStyle w:val="ListParagraph"/>
        <w:numPr>
          <w:ilvl w:val="0"/>
          <w:numId w:val="2"/>
        </w:numPr>
        <w:spacing w:after="80" w:line="290"/>
      </w:pPr>
      <w:r>
        <w:rPr>
          <w:b/>
          <w:bCs/>
        </w:rPr>
        <w:t xml:space="preserve">Livrets et feuilles volantes. </w:t>
      </w:r>
      <w:r>
        <w:t xml:space="preserve">Bénéficiaires, présences, ventes et caisse sont tenus à la main, sans aucun système existant.</w:t>
      </w:r>
    </w:p>
    <w:p>
      <w:pPr>
        <w:pStyle w:val="ListParagraph"/>
        <w:numPr>
          <w:ilvl w:val="0"/>
          <w:numId w:val="2"/>
        </w:numPr>
        <w:spacing w:after="80" w:line="290"/>
      </w:pPr>
      <w:r>
        <w:rPr>
          <w:b/>
          <w:bCs/>
        </w:rPr>
        <w:t xml:space="preserve">Deux versions des chiffres. </w:t>
      </w:r>
      <w:r>
        <w:t xml:space="preserve">Les montants tenus par la comptable diffèrent de ceux de la responsable du centre.</w:t>
      </w:r>
    </w:p>
    <w:p>
      <w:pPr>
        <w:pStyle w:val="ListParagraph"/>
        <w:numPr>
          <w:ilvl w:val="0"/>
          <w:numId w:val="2"/>
        </w:numPr>
        <w:spacing w:after="80" w:line="290"/>
      </w:pPr>
      <w:r>
        <w:rPr>
          <w:b/>
          <w:bCs/>
        </w:rPr>
        <w:t xml:space="preserve">Pas de vue d'ensemble. </w:t>
      </w:r>
      <w:r>
        <w:t xml:space="preserve">La Direction Générale ne dispose pas d'une vue consolidée et fiable de ses centres.</w:t>
      </w:r>
    </w:p>
    <w:p>
      <w:pPr>
        <w:pStyle w:val="ListParagraph"/>
        <w:numPr>
          <w:ilvl w:val="0"/>
          <w:numId w:val="2"/>
        </w:numPr>
        <w:spacing w:after="80" w:line="290"/>
      </w:pPr>
      <w:r>
        <w:rPr>
          <w:b/>
          <w:bCs/>
        </w:rPr>
        <w:t xml:space="preserve">Des résultats difficiles à prouver. </w:t>
      </w:r>
      <w:r>
        <w:t xml:space="preserve">Les résultats présentés aux partenaires sont difficiles à relier à leurs sources.</w:t>
      </w:r>
    </w:p>
    <w:p>
      <w:pPr>
        <w:spacing w:after="120"/>
      </w:pPr>
    </w:p>
    <w:p>
      <w:pPr>
        <w:pStyle w:val="Heading1"/>
      </w:pPr>
      <w:r>
        <w:t xml:space="preserve">3. La plateforme, outil du programme</w:t>
      </w:r>
    </w:p>
    <w:p>
      <w:pPr>
        <w:spacing w:after="140" w:line="300"/>
      </w:pPr>
      <w:r>
        <w:t xml:space="preserve">CAEF Connect fait saisir chaque donnée une seule fois, pour que tout le monde travaille sur les mêmes chiffres. Chaque centre y gère ses bénéficiaires, ses formations et sa boutique ; la Direction Générale pilote le réseau sur des données vérifiables.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E0D8CA" w:sz="4"/>
              <w:left w:val="single" w:color="E0D8CA" w:sz="4"/>
              <w:bottom w:val="single" w:color="E0D8CA" w:sz="4"/>
              <w:right w:val="single" w:color="E0D8CA" w:sz="4"/>
            </w:tcBorders>
            <w:shd w:fill="1C2A33" w:color="auto" w:val="clear"/>
            <w:tcMar>
              <w:top w:type="dxa" w:w="80"/>
              <w:left w:type="dxa" w:w="120"/>
              <w:bottom w:type="dxa" w:w="80"/>
              <w:right w:type="dxa" w:w="120"/>
            </w:tcMar>
          </w:tcPr>
          <w:p>
            <w:pPr>
              <w:spacing w:after="0" w:line="270"/>
            </w:pPr>
            <w:r>
              <w:rPr>
                <w:b/>
                <w:bCs/>
                <w:color w:val="FFFFFF"/>
              </w:rPr>
              <w:t xml:space="preserve">Public</w:t>
            </w:r>
          </w:p>
        </w:tc>
        <w:tc>
          <w:tcPr>
            <w:tcW w:type="dxa" w:w="6747"/>
            <w:tcBorders>
              <w:top w:val="single" w:color="E0D8CA" w:sz="4"/>
              <w:left w:val="single" w:color="E0D8CA" w:sz="4"/>
              <w:bottom w:val="single" w:color="E0D8CA" w:sz="4"/>
              <w:right w:val="single" w:color="E0D8CA" w:sz="4"/>
            </w:tcBorders>
            <w:shd w:fill="1C2A33" w:color="auto" w:val="clear"/>
            <w:tcMar>
              <w:top w:type="dxa" w:w="80"/>
              <w:left w:type="dxa" w:w="120"/>
              <w:bottom w:type="dxa" w:w="80"/>
              <w:right w:type="dxa" w:w="120"/>
            </w:tcMar>
          </w:tcPr>
          <w:p>
            <w:pPr>
              <w:spacing w:after="0" w:line="270"/>
            </w:pPr>
            <w:r>
              <w:rPr>
                <w:b/>
                <w:bCs/>
                <w:color w:val="FFFFFF"/>
              </w:rPr>
              <w:t xml:space="preserve">Ce que CAEF Connect lui apporte</w:t>
            </w:r>
          </w:p>
        </w:tc>
      </w:tr>
      <w:tr>
        <w:tc>
          <w:tcPr>
            <w:tcW w:type="dxa" w:w="2891"/>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rPr>
                <w:b/>
                <w:bCs/>
              </w:rPr>
              <w:t xml:space="preserve">Le centre</w:t>
            </w:r>
          </w:p>
        </w:tc>
        <w:tc>
          <w:tcPr>
            <w:tcW w:type="dxa" w:w="6747"/>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Un dossier unique par bénéficiaire, des présences suivies sans double saisie, des rapports produits sans ressaisie</w:t>
            </w:r>
          </w:p>
        </w:tc>
      </w:tr>
      <w:tr>
        <w:tc>
          <w:tcPr>
            <w:tcW w:type="dxa" w:w="2891"/>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rPr>
                <w:b/>
                <w:bCs/>
              </w:rPr>
              <w:t xml:space="preserve">Les femmes productrices</w:t>
            </w:r>
          </w:p>
        </w:tc>
        <w:tc>
          <w:tcPr>
            <w:tcW w:type="dxa" w:w="6747"/>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t xml:space="preserve">Les ventes de leurs produits et la part qui leur revient sont tracées : leurs revenus deviennent mesurables</w:t>
            </w:r>
          </w:p>
        </w:tc>
      </w:tr>
      <w:tr>
        <w:tc>
          <w:tcPr>
            <w:tcW w:type="dxa" w:w="2891"/>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rPr>
                <w:b/>
                <w:bCs/>
              </w:rPr>
              <w:t xml:space="preserve">La Direction Générale</w:t>
            </w:r>
          </w:p>
        </w:tc>
        <w:tc>
          <w:tcPr>
            <w:tcW w:type="dxa" w:w="6747"/>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Des indicateurs définis, consolidés et reliés à leurs sources</w:t>
            </w:r>
          </w:p>
        </w:tc>
      </w:tr>
      <w:tr>
        <w:tc>
          <w:tcPr>
            <w:tcW w:type="dxa" w:w="2891"/>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rPr>
                <w:b/>
                <w:bCs/>
              </w:rPr>
              <w:t xml:space="preserve">Les partenaires, dont TIKA</w:t>
            </w:r>
          </w:p>
        </w:tc>
        <w:tc>
          <w:tcPr>
            <w:tcW w:type="dxa" w:w="6747"/>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t xml:space="preserve">Des rapports chiffrés et justifiés sur l'usage de leurs contributions, du promis au reçu puis à l'exécuté</w:t>
            </w:r>
          </w:p>
        </w:tc>
      </w:tr>
    </w:tbl>
    <w:p>
      <w:pPr>
        <w:spacing w:after="120"/>
      </w:pPr>
    </w:p>
    <w:p>
      <w:pPr>
        <w:spacing w:after="140" w:line="300"/>
      </w:pPr>
      <w:r>
        <w:t xml:space="preserve">Le principe qui guide l'outil : une proposition ne vaut pas convention, une convention ne vaut pas encaissement, un encaissement ne vaut pas preuve d'exécution. Chaque indicateur distingue le déclaré du vérifié.</w:t>
      </w:r>
    </w:p>
    <w:p>
      <w:pPr>
        <w:pStyle w:val="Heading1"/>
      </w:pPr>
      <w:r>
        <w:t xml:space="preserve">4. Première étape : le pilote de Dixinn</w:t>
      </w:r>
    </w:p>
    <w:p>
      <w:pPr>
        <w:spacing w:after="140" w:line="300"/>
      </w:pPr>
      <w:r>
        <w:t xml:space="preserve">La première étape du programme livre un premier lot complet dans un seul centre, le CAEF Cameroun, sur 13 mois indicatifs. La crèche, l'insertion et les portails partenaires viendront plus tard, après le bilan du pilote.</w:t>
      </w:r>
    </w:p>
    <w:p>
      <w:pPr>
        <w:pStyle w:val="Heading2"/>
      </w:pPr>
      <w:r>
        <w:t xml:space="preserve">Périmètre du premier 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E0D8CA" w:sz="4"/>
              <w:left w:val="single" w:color="E0D8CA" w:sz="4"/>
              <w:bottom w:val="single" w:color="E0D8CA" w:sz="4"/>
              <w:right w:val="single" w:color="E0D8CA" w:sz="4"/>
            </w:tcBorders>
            <w:shd w:fill="1C2A33" w:color="auto" w:val="clear"/>
            <w:tcMar>
              <w:top w:type="dxa" w:w="80"/>
              <w:left w:type="dxa" w:w="120"/>
              <w:bottom w:type="dxa" w:w="80"/>
              <w:right w:type="dxa" w:w="120"/>
            </w:tcMar>
          </w:tcPr>
          <w:p>
            <w:pPr>
              <w:spacing w:after="0" w:line="270"/>
            </w:pPr>
            <w:r>
              <w:rPr>
                <w:b/>
                <w:bCs/>
                <w:color w:val="FFFFFF"/>
              </w:rPr>
              <w:t xml:space="preserve">Module</w:t>
            </w:r>
          </w:p>
        </w:tc>
        <w:tc>
          <w:tcPr>
            <w:tcW w:type="dxa" w:w="6939"/>
            <w:tcBorders>
              <w:top w:val="single" w:color="E0D8CA" w:sz="4"/>
              <w:left w:val="single" w:color="E0D8CA" w:sz="4"/>
              <w:bottom w:val="single" w:color="E0D8CA" w:sz="4"/>
              <w:right w:val="single" w:color="E0D8CA" w:sz="4"/>
            </w:tcBorders>
            <w:shd w:fill="1C2A33" w:color="auto" w:val="clear"/>
            <w:tcMar>
              <w:top w:type="dxa" w:w="80"/>
              <w:left w:type="dxa" w:w="120"/>
              <w:bottom w:type="dxa" w:w="80"/>
              <w:right w:type="dxa" w:w="120"/>
            </w:tcMar>
          </w:tcPr>
          <w:p>
            <w:pPr>
              <w:spacing w:after="0" w:line="270"/>
            </w:pPr>
            <w:r>
              <w:rPr>
                <w:b/>
                <w:bCs/>
                <w:color w:val="FFFFFF"/>
              </w:rPr>
              <w:t xml:space="preserve">Contenu</w:t>
            </w:r>
          </w:p>
        </w:tc>
      </w:tr>
      <w:tr>
        <w:tc>
          <w:tcPr>
            <w:tcW w:type="dxa" w:w="2699"/>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rPr>
                <w:b/>
                <w:bCs/>
              </w:rPr>
              <w:t xml:space="preserve">Socle</w:t>
            </w:r>
          </w:p>
        </w:tc>
        <w:tc>
          <w:tcPr>
            <w:tcW w:type="dxa" w:w="6939"/>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Utilisateurs, bénéficiaires, formations, présences, tableaux de bord, rapports, sécurité et sauvegardes</w:t>
            </w:r>
          </w:p>
        </w:tc>
      </w:tr>
      <w:tr>
        <w:tc>
          <w:tcPr>
            <w:tcW w:type="dxa" w:w="2699"/>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rPr>
                <w:b/>
                <w:bCs/>
              </w:rPr>
              <w:t xml:space="preserve">RSE et partenaires</w:t>
            </w:r>
          </w:p>
        </w:tc>
        <w:tc>
          <w:tcPr>
            <w:tcW w:type="dxa" w:w="6939"/>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t xml:space="preserve">Prospection, conventions, contributions reçues et justifiées, tableau de bord RSE</w:t>
            </w:r>
          </w:p>
        </w:tc>
      </w:tr>
      <w:tr>
        <w:tc>
          <w:tcPr>
            <w:tcW w:type="dxa" w:w="2699"/>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rPr>
                <w:b/>
                <w:bCs/>
              </w:rPr>
              <w:t xml:space="preserve">Boutique</w:t>
            </w:r>
          </w:p>
        </w:tc>
        <w:tc>
          <w:tcPr>
            <w:tcW w:type="dxa" w:w="6939"/>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Catalogue, stock, ventes avec reçus numérotés, caisse, reversements aux productrices</w:t>
            </w:r>
          </w:p>
        </w:tc>
      </w:tr>
      <w:tr>
        <w:tc>
          <w:tcPr>
            <w:tcW w:type="dxa" w:w="2699"/>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rPr>
                <w:b/>
                <w:bCs/>
              </w:rPr>
              <w:t xml:space="preserve">Clôture mensuelle</w:t>
            </w:r>
          </w:p>
        </w:tc>
        <w:tc>
          <w:tcPr>
            <w:tcW w:type="dxa" w:w="6939"/>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t xml:space="preserve">Rapprochement vérifié par la comptable, validé par la responsable, puis mois verrouillé</w:t>
            </w:r>
          </w:p>
        </w:tc>
      </w:tr>
    </w:tbl>
    <w:p>
      <w:pPr>
        <w:spacing w:after="120"/>
      </w:pPr>
    </w:p>
    <w:p>
      <w:pPr>
        <w:pStyle w:val="Heading2"/>
      </w:pPr>
      <w:r>
        <w:t xml:space="preserve">La boutique du centre</w:t>
      </w:r>
    </w:p>
    <w:p>
      <w:pPr>
        <w:spacing w:after="140" w:line="300"/>
      </w:pPr>
      <w:r>
        <w:t xml:space="preserve">La boutique rend visibles les revenus des femmes qui y déposent leurs produits.</w:t>
      </w:r>
    </w:p>
    <w:p>
      <w:pPr>
        <w:pStyle w:val="ListParagraph"/>
        <w:numPr>
          <w:ilvl w:val="0"/>
          <w:numId w:val="3"/>
        </w:numPr>
        <w:spacing w:after="80" w:line="290"/>
      </w:pPr>
      <w:r>
        <w:rPr>
          <w:b/>
          <w:bCs/>
        </w:rPr>
        <w:t xml:space="preserve">Dépôt. </w:t>
      </w:r>
      <w:r>
        <w:t xml:space="preserve">La productrice dépose son produit et l'entrée en stock est enregistrée.</w:t>
      </w:r>
    </w:p>
    <w:p>
      <w:pPr>
        <w:pStyle w:val="ListParagraph"/>
        <w:numPr>
          <w:ilvl w:val="0"/>
          <w:numId w:val="3"/>
        </w:numPr>
        <w:spacing w:after="80" w:line="290"/>
      </w:pPr>
      <w:r>
        <w:rPr>
          <w:b/>
          <w:bCs/>
        </w:rPr>
        <w:t xml:space="preserve">Vente. </w:t>
      </w:r>
      <w:r>
        <w:t xml:space="preserve">Chaque vente reçoit un reçu numéroté en continu.</w:t>
      </w:r>
    </w:p>
    <w:p>
      <w:pPr>
        <w:pStyle w:val="ListParagraph"/>
        <w:numPr>
          <w:ilvl w:val="0"/>
          <w:numId w:val="3"/>
        </w:numPr>
        <w:spacing w:after="80" w:line="290"/>
      </w:pPr>
      <w:r>
        <w:rPr>
          <w:b/>
          <w:bCs/>
        </w:rPr>
        <w:t xml:space="preserve">Clôture de caisse. </w:t>
      </w:r>
      <w:r>
        <w:t xml:space="preserve">Chaque jour, la caisse est comptée et validée.</w:t>
      </w:r>
    </w:p>
    <w:p>
      <w:pPr>
        <w:pStyle w:val="ListParagraph"/>
        <w:numPr>
          <w:ilvl w:val="0"/>
          <w:numId w:val="3"/>
        </w:numPr>
        <w:spacing w:after="80" w:line="290"/>
      </w:pPr>
      <w:r>
        <w:rPr>
          <w:b/>
          <w:bCs/>
        </w:rPr>
        <w:t xml:space="preserve">Reversement. </w:t>
      </w:r>
      <w:r>
        <w:t xml:space="preserve">La part de la productrice lui est reversée et tracée.</w:t>
      </w:r>
    </w:p>
    <w:p>
      <w:pPr>
        <w:spacing w:after="140" w:before="120"/>
      </w:pPr>
      <w:r>
        <w:t xml:space="preserve">Aucun prélèvement n'est fait sur les recettes des productrices pour financer la plateforme.</w:t>
      </w:r>
    </w:p>
    <w:p>
      <w:pPr>
        <w:pStyle w:val="Heading2"/>
      </w:pPr>
      <w:r>
        <w:t xml:space="preserve">Calendrier indicatif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891"/>
        <w:gridCol w:w="5012"/>
      </w:tblGrid>
      <w:tr>
        <w:trPr>
          <w:tblHeader/>
        </w:trPr>
        <w:tc>
          <w:tcPr>
            <w:tcW w:type="dxa" w:w="1735"/>
            <w:tcBorders>
              <w:top w:val="single" w:color="E0D8CA" w:sz="4"/>
              <w:left w:val="single" w:color="E0D8CA" w:sz="4"/>
              <w:bottom w:val="single" w:color="E0D8CA" w:sz="4"/>
              <w:right w:val="single" w:color="E0D8CA" w:sz="4"/>
            </w:tcBorders>
            <w:shd w:fill="1C2A33" w:color="auto" w:val="clear"/>
            <w:tcMar>
              <w:top w:type="dxa" w:w="80"/>
              <w:left w:type="dxa" w:w="120"/>
              <w:bottom w:type="dxa" w:w="80"/>
              <w:right w:type="dxa" w:w="120"/>
            </w:tcMar>
          </w:tcPr>
          <w:p>
            <w:pPr>
              <w:spacing w:after="0" w:line="270"/>
            </w:pPr>
            <w:r>
              <w:rPr>
                <w:b/>
                <w:bCs/>
                <w:color w:val="FFFFFF"/>
              </w:rPr>
              <w:t xml:space="preserve">Période</w:t>
            </w:r>
          </w:p>
        </w:tc>
        <w:tc>
          <w:tcPr>
            <w:tcW w:type="dxa" w:w="2891"/>
            <w:tcBorders>
              <w:top w:val="single" w:color="E0D8CA" w:sz="4"/>
              <w:left w:val="single" w:color="E0D8CA" w:sz="4"/>
              <w:bottom w:val="single" w:color="E0D8CA" w:sz="4"/>
              <w:right w:val="single" w:color="E0D8CA" w:sz="4"/>
            </w:tcBorders>
            <w:shd w:fill="1C2A33" w:color="auto" w:val="clear"/>
            <w:tcMar>
              <w:top w:type="dxa" w:w="80"/>
              <w:left w:type="dxa" w:w="120"/>
              <w:bottom w:type="dxa" w:w="80"/>
              <w:right w:type="dxa" w:w="120"/>
            </w:tcMar>
          </w:tcPr>
          <w:p>
            <w:pPr>
              <w:spacing w:after="0" w:line="270"/>
            </w:pPr>
            <w:r>
              <w:rPr>
                <w:b/>
                <w:bCs/>
                <w:color w:val="FFFFFF"/>
              </w:rPr>
              <w:t xml:space="preserve">Phase</w:t>
            </w:r>
          </w:p>
        </w:tc>
        <w:tc>
          <w:tcPr>
            <w:tcW w:type="dxa" w:w="5012"/>
            <w:tcBorders>
              <w:top w:val="single" w:color="E0D8CA" w:sz="4"/>
              <w:left w:val="single" w:color="E0D8CA" w:sz="4"/>
              <w:bottom w:val="single" w:color="E0D8CA" w:sz="4"/>
              <w:right w:val="single" w:color="E0D8CA" w:sz="4"/>
            </w:tcBorders>
            <w:shd w:fill="1C2A33" w:color="auto" w:val="clear"/>
            <w:tcMar>
              <w:top w:type="dxa" w:w="80"/>
              <w:left w:type="dxa" w:w="120"/>
              <w:bottom w:type="dxa" w:w="80"/>
              <w:right w:type="dxa" w:w="120"/>
            </w:tcMar>
          </w:tcPr>
          <w:p>
            <w:pPr>
              <w:spacing w:after="0" w:line="270"/>
            </w:pPr>
            <w:r>
              <w:rPr>
                <w:b/>
                <w:bCs/>
                <w:color w:val="FFFFFF"/>
              </w:rPr>
              <w:t xml:space="preserve">Contenu</w:t>
            </w:r>
          </w:p>
        </w:tc>
      </w:tr>
      <w:tr>
        <w:tc>
          <w:tcPr>
            <w:tcW w:type="dxa" w:w="1735"/>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rPr>
                <w:b/>
                <w:bCs/>
              </w:rPr>
              <w:t xml:space="preserve">Mois 1 à 4</w:t>
            </w:r>
          </w:p>
        </w:tc>
        <w:tc>
          <w:tcPr>
            <w:tcW w:type="dxa" w:w="2891"/>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Cadrage et conception</w:t>
            </w:r>
          </w:p>
        </w:tc>
        <w:tc>
          <w:tcPr>
            <w:tcW w:type="dxa" w:w="5012"/>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Diagnostic du centre, inventaire des registres papier, validation des documents</w:t>
            </w:r>
          </w:p>
        </w:tc>
      </w:tr>
      <w:tr>
        <w:tc>
          <w:tcPr>
            <w:tcW w:type="dxa" w:w="1735"/>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rPr>
                <w:b/>
                <w:bCs/>
              </w:rPr>
              <w:t xml:space="preserve">Mois 5 à 8</w:t>
            </w:r>
          </w:p>
        </w:tc>
        <w:tc>
          <w:tcPr>
            <w:tcW w:type="dxa" w:w="2891"/>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t xml:space="preserve">Développement du premier lot</w:t>
            </w:r>
          </w:p>
        </w:tc>
        <w:tc>
          <w:tcPr>
            <w:tcW w:type="dxa" w:w="5012"/>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t xml:space="preserve">Le socle d'abord, puis la RSE et la boutique en parallèle</w:t>
            </w:r>
          </w:p>
        </w:tc>
      </w:tr>
      <w:tr>
        <w:tc>
          <w:tcPr>
            <w:tcW w:type="dxa" w:w="1735"/>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rPr>
                <w:b/>
                <w:bCs/>
              </w:rPr>
              <w:t xml:space="preserve">Mois 9 et 10</w:t>
            </w:r>
          </w:p>
        </w:tc>
        <w:tc>
          <w:tcPr>
            <w:tcW w:type="dxa" w:w="2891"/>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Tests et formation</w:t>
            </w:r>
          </w:p>
        </w:tc>
        <w:tc>
          <w:tcPr>
            <w:tcW w:type="dxa" w:w="5012"/>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Recette, reprise des registres papier, équipement du centre</w:t>
            </w:r>
          </w:p>
        </w:tc>
      </w:tr>
      <w:tr>
        <w:tc>
          <w:tcPr>
            <w:tcW w:type="dxa" w:w="1735"/>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rPr>
                <w:b/>
                <w:bCs/>
              </w:rPr>
              <w:t xml:space="preserve">Mois 11 à 13</w:t>
            </w:r>
          </w:p>
        </w:tc>
        <w:tc>
          <w:tcPr>
            <w:tcW w:type="dxa" w:w="2891"/>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t xml:space="preserve">Pilote au centre</w:t>
            </w:r>
          </w:p>
        </w:tc>
        <w:tc>
          <w:tcPr>
            <w:tcW w:type="dxa" w:w="5012"/>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t xml:space="preserve">Usage réel, clôtures mensuelles, bilan et décision</w:t>
            </w:r>
          </w:p>
        </w:tc>
      </w:tr>
    </w:tbl>
    <w:p>
      <w:pPr>
        <w:spacing w:after="120"/>
      </w:pPr>
    </w:p>
    <w:p>
      <w:pPr>
        <w:spacing w:after="140" w:line="300"/>
      </w:pPr>
      <w:r>
        <w:t xml:space="preserve">Ce calendrier sera recalé après le diagnostic du centre, la validation du périmètre et l'estimation du prestataire retenu.</w:t>
      </w:r>
    </w:p>
    <w:p>
      <w:pPr>
        <w:pStyle w:val="Heading1"/>
      </w:pPr>
      <w:r>
        <w:t xml:space="preserve">5. Cas d'usage au CAEF Cameroun</w:t>
      </w:r>
    </w:p>
    <w:p>
      <w:pPr>
        <w:spacing w:after="140" w:line="300"/>
      </w:pPr>
      <w:r>
        <w:t xml:space="preserve">Les cas ci-dessous décrivent des situations quotidiennes du centre de Dixinn, telles qu'elles se passent aujourd'hui et telles qu'elles se passeront avec CAEF Connect. Ils suivent la vie du centre : d'abord la gestion des bénéficiaires et des formations, puis les partenaires et la Direction Générale, enfin les finances et la boutique. Ils serviront de scénarios de démonstration et de recette pendant le pilote.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433"/>
        <w:gridCol w:w="2892"/>
      </w:tblGrid>
      <w:tr>
        <w:trPr>
          <w:tblHeader/>
        </w:trPr>
        <w:tc>
          <w:tcPr>
            <w:tcW w:type="dxa" w:w="2313"/>
            <w:tcBorders>
              <w:top w:val="single" w:color="E0D8CA" w:sz="4"/>
              <w:left w:val="single" w:color="E0D8CA" w:sz="4"/>
              <w:bottom w:val="single" w:color="E0D8CA" w:sz="4"/>
              <w:right w:val="single" w:color="E0D8CA" w:sz="4"/>
            </w:tcBorders>
            <w:shd w:fill="1C2A33" w:color="auto" w:val="clear"/>
            <w:tcMar>
              <w:top w:type="dxa" w:w="80"/>
              <w:left w:type="dxa" w:w="120"/>
              <w:bottom w:type="dxa" w:w="80"/>
              <w:right w:type="dxa" w:w="120"/>
            </w:tcMar>
          </w:tcPr>
          <w:p>
            <w:pPr>
              <w:spacing w:after="0" w:line="270"/>
            </w:pPr>
            <w:r>
              <w:rPr>
                <w:b/>
                <w:bCs/>
                <w:color w:val="FFFFFF"/>
              </w:rPr>
              <w:t xml:space="preserve">Domaine</w:t>
            </w:r>
          </w:p>
        </w:tc>
        <w:tc>
          <w:tcPr>
            <w:tcW w:type="dxa" w:w="4433"/>
            <w:tcBorders>
              <w:top w:val="single" w:color="E0D8CA" w:sz="4"/>
              <w:left w:val="single" w:color="E0D8CA" w:sz="4"/>
              <w:bottom w:val="single" w:color="E0D8CA" w:sz="4"/>
              <w:right w:val="single" w:color="E0D8CA" w:sz="4"/>
            </w:tcBorders>
            <w:shd w:fill="1C2A33" w:color="auto" w:val="clear"/>
            <w:tcMar>
              <w:top w:type="dxa" w:w="80"/>
              <w:left w:type="dxa" w:w="120"/>
              <w:bottom w:type="dxa" w:w="80"/>
              <w:right w:type="dxa" w:w="120"/>
            </w:tcMar>
          </w:tcPr>
          <w:p>
            <w:pPr>
              <w:spacing w:after="0" w:line="270"/>
            </w:pPr>
            <w:r>
              <w:rPr>
                <w:b/>
                <w:bCs/>
                <w:color w:val="FFFFFF"/>
              </w:rPr>
              <w:t xml:space="preserve">Cas d'usage</w:t>
            </w:r>
          </w:p>
        </w:tc>
        <w:tc>
          <w:tcPr>
            <w:tcW w:type="dxa" w:w="2892"/>
            <w:tcBorders>
              <w:top w:val="single" w:color="E0D8CA" w:sz="4"/>
              <w:left w:val="single" w:color="E0D8CA" w:sz="4"/>
              <w:bottom w:val="single" w:color="E0D8CA" w:sz="4"/>
              <w:right w:val="single" w:color="E0D8CA" w:sz="4"/>
            </w:tcBorders>
            <w:shd w:fill="1C2A33" w:color="auto" w:val="clear"/>
            <w:tcMar>
              <w:top w:type="dxa" w:w="80"/>
              <w:left w:type="dxa" w:w="120"/>
              <w:bottom w:type="dxa" w:w="80"/>
              <w:right w:type="dxa" w:w="120"/>
            </w:tcMar>
          </w:tcPr>
          <w:p>
            <w:pPr>
              <w:spacing w:after="0" w:line="270"/>
            </w:pPr>
            <w:r>
              <w:rPr>
                <w:b/>
                <w:bCs/>
                <w:color w:val="FFFFFF"/>
              </w:rPr>
              <w:t xml:space="preserve">Utilisateurs principaux</w:t>
            </w:r>
          </w:p>
        </w:tc>
      </w:tr>
      <w:tr>
        <w:tc>
          <w:tcPr>
            <w:tcW w:type="dxa" w:w="2313"/>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rPr>
                <w:b/>
                <w:bCs/>
              </w:rPr>
              <w:t xml:space="preserve">A. Gestion du centre</w:t>
            </w:r>
          </w:p>
        </w:tc>
        <w:tc>
          <w:tcPr>
            <w:tcW w:type="dxa" w:w="4433"/>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5.1 à 5.7 : accueil, parcours, sessions, présences, attestations, pilotage, rapport mensuel</w:t>
            </w:r>
          </w:p>
        </w:tc>
        <w:tc>
          <w:tcPr>
            <w:tcW w:type="dxa" w:w="2892"/>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Agent administratif, responsable pédagogique, formatrices, responsable du centre</w:t>
            </w:r>
          </w:p>
        </w:tc>
      </w:tr>
      <w:tr>
        <w:tc>
          <w:tcPr>
            <w:tcW w:type="dxa" w:w="2313"/>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rPr>
                <w:b/>
                <w:bCs/>
              </w:rPr>
              <w:t xml:space="preserve">B. Partenaires et Direction</w:t>
            </w:r>
          </w:p>
        </w:tc>
        <w:tc>
          <w:tcPr>
            <w:tcW w:type="dxa" w:w="4433"/>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t xml:space="preserve">5.8 à 5.11 : partenariat RSE, rapport partenaire, suivi national, droits d'accès</w:t>
            </w:r>
          </w:p>
        </w:tc>
        <w:tc>
          <w:tcPr>
            <w:tcW w:type="dxa" w:w="2892"/>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t xml:space="preserve">Responsable RSE, Direction Générale, administrateur</w:t>
            </w:r>
          </w:p>
        </w:tc>
      </w:tr>
      <w:tr>
        <w:tc>
          <w:tcPr>
            <w:tcW w:type="dxa" w:w="2313"/>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rPr>
                <w:b/>
                <w:bCs/>
              </w:rPr>
              <w:t xml:space="preserve">C. Finances et boutique</w:t>
            </w:r>
          </w:p>
        </w:tc>
        <w:tc>
          <w:tcPr>
            <w:tcW w:type="dxa" w:w="4433"/>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5.12 à 5.16 : clôture du mois, dépôt, caisse, reversement, inventaire</w:t>
            </w:r>
          </w:p>
        </w:tc>
        <w:tc>
          <w:tcPr>
            <w:tcW w:type="dxa" w:w="2892"/>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Comptable, vendeuse, responsable du centre, productrices</w:t>
            </w:r>
          </w:p>
        </w:tc>
      </w:tr>
      <w:tr>
        <w:tc>
          <w:tcPr>
            <w:tcW w:type="dxa" w:w="2313"/>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rPr>
                <w:b/>
                <w:bCs/>
              </w:rPr>
              <w:t xml:space="preserve">D. Mise en route</w:t>
            </w:r>
          </w:p>
        </w:tc>
        <w:tc>
          <w:tcPr>
            <w:tcW w:type="dxa" w:w="4433"/>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t xml:space="preserve">5.17 : reprise des registres papier</w:t>
            </w:r>
          </w:p>
        </w:tc>
        <w:tc>
          <w:tcPr>
            <w:tcW w:type="dxa" w:w="2892"/>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t xml:space="preserve">Équipe du centre, prestataire</w:t>
            </w:r>
          </w:p>
        </w:tc>
      </w:tr>
    </w:tbl>
    <w:p>
      <w:pPr>
        <w:spacing w:after="120"/>
      </w:pPr>
    </w:p>
    <w:p>
      <w:pPr>
        <w:pStyle w:val="Heading2"/>
      </w:pPr>
      <w:r>
        <w:t xml:space="preserve">A. Gestion du centre</w:t>
      </w:r>
    </w:p>
    <w:p>
      <w:pPr>
        <w:pStyle w:val="Heading3"/>
      </w:pPr>
      <w:r>
        <w:t xml:space="preserve">5.1 L'accueil et l'inscription d'une nouvelle bénéficiaire</w:t>
      </w:r>
    </w:p>
    <w:p>
      <w:pPr>
        <w:spacing w:after="140" w:line="300"/>
      </w:pPr>
      <w:r>
        <w:rPr>
          <w:b/>
          <w:bCs/>
          <w:color w:val="5E6A73"/>
        </w:rPr>
        <w:t xml:space="preserve">Qui : </w:t>
      </w:r>
      <w:r>
        <w:rPr>
          <w:color w:val="5E6A73"/>
        </w:rPr>
        <w:t xml:space="preserve">l'agent administratif</w:t>
      </w:r>
    </w:p>
    <w:p>
      <w:pPr>
        <w:spacing w:after="140" w:line="300"/>
      </w:pPr>
      <w:r>
        <w:rPr>
          <w:b/>
          <w:bCs/>
          <w:color w:val="B4502B"/>
        </w:rPr>
        <w:t xml:space="preserve">Aujourd'hui : </w:t>
      </w:r>
      <w:r>
        <w:t xml:space="preserve">la candidate remplit une fiche papier, rangée dans un classeur. Rien n'empêche d'ouvrir un deuxième dossier pour une femme déjà venue, et une fiche incomplète passe inaperçue.</w:t>
      </w:r>
    </w:p>
    <w:p>
      <w:pPr>
        <w:spacing w:after="140" w:line="300"/>
      </w:pPr>
      <w:r>
        <w:rPr>
          <w:b/>
          <w:bCs/>
          <w:color w:val="B4502B"/>
        </w:rPr>
        <w:t xml:space="preserve">Avec CAEF Connect : </w:t>
      </w:r>
      <w:r>
        <w:t xml:space="preserve">l'agent recherche d'abord si la personne est déjà connue ; l'outil signale les doublons possibles. La candidature est enregistrée, l'outil vérifie que les champs obligatoires sont remplis, puis la responsable la valide ou la rejette avec un motif. Une liste d'attente est tenue quand les places manquent.</w:t>
      </w:r>
    </w:p>
    <w:p>
      <w:pPr>
        <w:spacing w:after="140" w:line="300"/>
      </w:pPr>
      <w:r>
        <w:rPr>
          <w:b/>
          <w:bCs/>
          <w:color w:val="B4502B"/>
        </w:rPr>
        <w:t xml:space="preserve">Ce que cela change : </w:t>
      </w:r>
      <w:r>
        <w:t xml:space="preserve">chaque femme a un seul dossier, complet, avec l'historique de chaque décision.</w:t>
      </w:r>
    </w:p>
    <w:p>
      <w:pPr>
        <w:pStyle w:val="Heading3"/>
      </w:pPr>
      <w:r>
        <w:t xml:space="preserve">5.2 Le suivi d'une bénéficiaire tout au long de son parcours</w:t>
      </w:r>
    </w:p>
    <w:p>
      <w:pPr>
        <w:spacing w:after="140" w:line="300"/>
      </w:pPr>
      <w:r>
        <w:rPr>
          <w:b/>
          <w:bCs/>
          <w:color w:val="5E6A73"/>
        </w:rPr>
        <w:t xml:space="preserve">Qui : </w:t>
      </w:r>
      <w:r>
        <w:rPr>
          <w:color w:val="5E6A73"/>
        </w:rPr>
        <w:t xml:space="preserve">l'agent administratif, la responsable du centre</w:t>
      </w:r>
    </w:p>
    <w:p>
      <w:pPr>
        <w:spacing w:after="140" w:line="300"/>
      </w:pPr>
      <w:r>
        <w:rPr>
          <w:b/>
          <w:bCs/>
          <w:color w:val="B4502B"/>
        </w:rPr>
        <w:t xml:space="preserve">Aujourd'hui : </w:t>
      </w:r>
      <w:r>
        <w:t xml:space="preserve">pour savoir ce qu'une femme a suivi, il faut fouiller plusieurs cahiers et feuilles volantes. Son parcours et ses revenus ne sont visibles nulle part.</w:t>
      </w:r>
    </w:p>
    <w:p>
      <w:pPr>
        <w:spacing w:after="140" w:line="300"/>
      </w:pPr>
      <w:r>
        <w:rPr>
          <w:b/>
          <w:bCs/>
          <w:color w:val="B4502B"/>
        </w:rPr>
        <w:t xml:space="preserve">Avec CAEF Connect : </w:t>
      </w:r>
      <w:r>
        <w:t xml:space="preserve">sa fiche affiche son parcours dans l'ordre : candidature, inscriptions, présences, formations achevées. Si elle dépose ses produits en boutique, ses ventes et ses reversements y apparaissent aussi. Les pièces jointes sont à accès restreint.</w:t>
      </w:r>
    </w:p>
    <w:p>
      <w:pPr>
        <w:spacing w:after="140" w:line="300"/>
      </w:pPr>
      <w:r>
        <w:rPr>
          <w:b/>
          <w:bCs/>
          <w:color w:val="B4502B"/>
        </w:rPr>
        <w:t xml:space="preserve">Ce que cela change : </w:t>
      </w:r>
      <w:r>
        <w:t xml:space="preserve">le centre peut montrer ce que le parcours a changé pour elle, revenus compris. (voir figure 2)</w:t>
      </w:r>
    </w:p>
    <w:p>
      <w:pPr>
        <w:pStyle w:val="Heading3"/>
      </w:pPr>
      <w:r>
        <w:t xml:space="preserve">5.3 La programmation des sessions de formation</w:t>
      </w:r>
    </w:p>
    <w:p>
      <w:pPr>
        <w:spacing w:after="140" w:line="300"/>
      </w:pPr>
      <w:r>
        <w:rPr>
          <w:b/>
          <w:bCs/>
          <w:color w:val="5E6A73"/>
        </w:rPr>
        <w:t xml:space="preserve">Qui : </w:t>
      </w:r>
      <w:r>
        <w:rPr>
          <w:color w:val="5E6A73"/>
        </w:rPr>
        <w:t xml:space="preserve">la responsable pédagogique</w:t>
      </w:r>
    </w:p>
    <w:p>
      <w:pPr>
        <w:spacing w:after="140" w:line="300"/>
      </w:pPr>
      <w:r>
        <w:rPr>
          <w:b/>
          <w:bCs/>
          <w:color w:val="B4502B"/>
        </w:rPr>
        <w:t xml:space="preserve">Aujourd'hui : </w:t>
      </w:r>
      <w:r>
        <w:t xml:space="preserve">les sessions sont organisées au tableau ou dans un cahier. Le nombre d'inscrites peut dépasser les places sans que personne le voie.</w:t>
      </w:r>
    </w:p>
    <w:p>
      <w:pPr>
        <w:spacing w:after="140" w:line="300"/>
      </w:pPr>
      <w:r>
        <w:rPr>
          <w:b/>
          <w:bCs/>
          <w:color w:val="B4502B"/>
        </w:rPr>
        <w:t xml:space="preserve">Avec CAEF Connect : </w:t>
      </w:r>
      <w:r>
        <w:t xml:space="preserve">la responsable crée chaque session à partir du catalogue des formations, avec dates, horaires, lieu et capacité, et y affecte une formatrice. L'outil refuse une session incomplète et alerte quand la capacité est dépassée. Les bénéficiaires validées y sont inscrites.</w:t>
      </w:r>
    </w:p>
    <w:p>
      <w:pPr>
        <w:spacing w:after="140" w:line="300"/>
      </w:pPr>
      <w:r>
        <w:rPr>
          <w:b/>
          <w:bCs/>
          <w:color w:val="B4502B"/>
        </w:rPr>
        <w:t xml:space="preserve">Ce que cela change : </w:t>
      </w:r>
      <w:r>
        <w:t xml:space="preserve">le planning du centre est clair, à jour et partagé.</w:t>
      </w:r>
    </w:p>
    <w:p>
      <w:pPr>
        <w:pStyle w:val="Heading3"/>
      </w:pPr>
      <w:r>
        <w:t xml:space="preserve">5.4 L'appel en séance sur téléphone</w:t>
      </w:r>
    </w:p>
    <w:p>
      <w:pPr>
        <w:spacing w:after="140" w:line="300"/>
      </w:pPr>
      <w:r>
        <w:rPr>
          <w:b/>
          <w:bCs/>
          <w:color w:val="5E6A73"/>
        </w:rPr>
        <w:t xml:space="preserve">Qui : </w:t>
      </w:r>
      <w:r>
        <w:rPr>
          <w:color w:val="5E6A73"/>
        </w:rPr>
        <w:t xml:space="preserve">les formatrices</w:t>
      </w:r>
    </w:p>
    <w:p>
      <w:pPr>
        <w:spacing w:after="140" w:line="300"/>
      </w:pPr>
      <w:r>
        <w:rPr>
          <w:b/>
          <w:bCs/>
          <w:color w:val="B4502B"/>
        </w:rPr>
        <w:t xml:space="preserve">Aujourd'hui : </w:t>
      </w:r>
      <w:r>
        <w:t xml:space="preserve">les présences sont notées sur des feuilles volantes, qui se perdent ou arrivent en retard au bureau.</w:t>
      </w:r>
    </w:p>
    <w:p>
      <w:pPr>
        <w:spacing w:after="140" w:line="300"/>
      </w:pPr>
      <w:r>
        <w:rPr>
          <w:b/>
          <w:bCs/>
          <w:color w:val="B4502B"/>
        </w:rPr>
        <w:t xml:space="preserve">Avec CAEF Connect : </w:t>
      </w:r>
      <w:r>
        <w:t xml:space="preserve">à chaque séance, la formatrice coche les présences et les absences sur son téléphone. Le statut de chaque participante (inscrite, commencée, achevée, suspendue, abandonnée) se met à jour.</w:t>
      </w:r>
    </w:p>
    <w:p>
      <w:pPr>
        <w:spacing w:after="140" w:line="300"/>
      </w:pPr>
      <w:r>
        <w:rPr>
          <w:b/>
          <w:bCs/>
          <w:color w:val="B4502B"/>
        </w:rPr>
        <w:t xml:space="preserve">Ce que cela change : </w:t>
      </w:r>
      <w:r>
        <w:t xml:space="preserve">les absences répétées se voient tout de suite, et le taux de présence est calculé sans ressaisie.</w:t>
      </w:r>
    </w:p>
    <w:p>
      <w:pPr>
        <w:pStyle w:val="Heading3"/>
      </w:pPr>
      <w:r>
        <w:t xml:space="preserve">5.5 La fin d'une session et la délivrance des attestations</w:t>
      </w:r>
    </w:p>
    <w:p>
      <w:pPr>
        <w:spacing w:after="140" w:line="300"/>
      </w:pPr>
      <w:r>
        <w:rPr>
          <w:b/>
          <w:bCs/>
          <w:color w:val="5E6A73"/>
        </w:rPr>
        <w:t xml:space="preserve">Qui : </w:t>
      </w:r>
      <w:r>
        <w:rPr>
          <w:color w:val="5E6A73"/>
        </w:rPr>
        <w:t xml:space="preserve">la responsable pédagogique, la responsable du centre</w:t>
      </w:r>
    </w:p>
    <w:p>
      <w:pPr>
        <w:spacing w:after="140" w:line="300"/>
      </w:pPr>
      <w:r>
        <w:rPr>
          <w:b/>
          <w:bCs/>
          <w:color w:val="B4502B"/>
        </w:rPr>
        <w:t xml:space="preserve">Aujourd'hui : </w:t>
      </w:r>
      <w:r>
        <w:t xml:space="preserve">les résultats et les attestations sont gérés à la main, sans contrôle des conditions de réussite.</w:t>
      </w:r>
    </w:p>
    <w:p>
      <w:pPr>
        <w:spacing w:after="140" w:line="300"/>
      </w:pPr>
      <w:r>
        <w:rPr>
          <w:b/>
          <w:bCs/>
          <w:color w:val="B4502B"/>
        </w:rPr>
        <w:t xml:space="preserve">Avec CAEF Connect : </w:t>
      </w:r>
      <w:r>
        <w:t xml:space="preserve">les évaluations sont saisies et chaque modification est tracée. Une attestation n'est enregistrée que si les conditions du programme sont remplies. La session est clôturée, son rapport produit, et elle ne peut plus être modifiée sans droit particulier.</w:t>
      </w:r>
    </w:p>
    <w:p>
      <w:pPr>
        <w:spacing w:after="140" w:line="300"/>
      </w:pPr>
      <w:r>
        <w:rPr>
          <w:b/>
          <w:bCs/>
          <w:color w:val="B4502B"/>
        </w:rPr>
        <w:t xml:space="preserve">Ce que cela change : </w:t>
      </w:r>
      <w:r>
        <w:t xml:space="preserve">chaque attestation délivrée est justifiée et vérifiable.</w:t>
      </w:r>
    </w:p>
    <w:p>
      <w:pPr>
        <w:pStyle w:val="Heading3"/>
      </w:pPr>
      <w:r>
        <w:t xml:space="preserve">5.6 Le pilotage quotidien par la responsable du centre</w:t>
      </w:r>
    </w:p>
    <w:p>
      <w:pPr>
        <w:spacing w:after="140" w:line="300"/>
      </w:pPr>
      <w:r>
        <w:rPr>
          <w:b/>
          <w:bCs/>
          <w:color w:val="5E6A73"/>
        </w:rPr>
        <w:t xml:space="preserve">Qui : </w:t>
      </w:r>
      <w:r>
        <w:rPr>
          <w:color w:val="5E6A73"/>
        </w:rPr>
        <w:t xml:space="preserve">la responsable du centre et son adjointe</w:t>
      </w:r>
    </w:p>
    <w:p>
      <w:pPr>
        <w:spacing w:after="140" w:line="300"/>
      </w:pPr>
      <w:r>
        <w:rPr>
          <w:b/>
          <w:bCs/>
          <w:color w:val="B4502B"/>
        </w:rPr>
        <w:t xml:space="preserve">Aujourd'hui : </w:t>
      </w:r>
      <w:r>
        <w:t xml:space="preserve">pour connaître la situation du centre, la responsable doit demander à chacun et additionner des cahiers.</w:t>
      </w:r>
    </w:p>
    <w:p>
      <w:pPr>
        <w:spacing w:after="140" w:line="300"/>
      </w:pPr>
      <w:r>
        <w:rPr>
          <w:b/>
          <w:bCs/>
          <w:color w:val="B4502B"/>
        </w:rPr>
        <w:t xml:space="preserve">Avec CAEF Connect : </w:t>
      </w:r>
      <w:r>
        <w:t xml:space="preserve">en ouvrant l'outil, elle voit son tableau de bord : bénéficiaires actives, sessions en cours, présences, ventes, reversements dus, et les tâches qui l'attendent (validations, dossiers incomplets, clôtures). Pendant son absence, un intérim déclaré permet à son adjointe de valider à sa place.</w:t>
      </w:r>
    </w:p>
    <w:p>
      <w:pPr>
        <w:spacing w:after="140" w:line="300"/>
      </w:pPr>
      <w:r>
        <w:rPr>
          <w:b/>
          <w:bCs/>
          <w:color w:val="B4502B"/>
        </w:rPr>
        <w:t xml:space="preserve">Ce que cela change : </w:t>
      </w:r>
      <w:r>
        <w:t xml:space="preserve">la responsable pilote son centre sur des chiffres du jour, sans attendre la fin du mois. (voir figure 1)</w:t>
      </w:r>
    </w:p>
    <w:p>
      <w:pPr>
        <w:pStyle w:val="Heading3"/>
      </w:pPr>
      <w:r>
        <w:t xml:space="preserve">5.7 Le rapport mensuel du centre</w:t>
      </w:r>
    </w:p>
    <w:p>
      <w:pPr>
        <w:spacing w:after="140" w:line="300"/>
      </w:pPr>
      <w:r>
        <w:rPr>
          <w:b/>
          <w:bCs/>
          <w:color w:val="5E6A73"/>
        </w:rPr>
        <w:t xml:space="preserve">Qui : </w:t>
      </w:r>
      <w:r>
        <w:rPr>
          <w:color w:val="5E6A73"/>
        </w:rPr>
        <w:t xml:space="preserve">la responsable du centre</w:t>
      </w:r>
    </w:p>
    <w:p>
      <w:pPr>
        <w:spacing w:after="140" w:line="300"/>
      </w:pPr>
      <w:r>
        <w:rPr>
          <w:b/>
          <w:bCs/>
          <w:color w:val="B4502B"/>
        </w:rPr>
        <w:t xml:space="preserve">Aujourd'hui : </w:t>
      </w:r>
      <w:r>
        <w:t xml:space="preserve">le rapport est recopié à la main à partir des cahiers, avec des chiffres difficiles à vérifier.</w:t>
      </w:r>
    </w:p>
    <w:p>
      <w:pPr>
        <w:spacing w:after="140" w:line="300"/>
      </w:pPr>
      <w:r>
        <w:rPr>
          <w:b/>
          <w:bCs/>
          <w:color w:val="B4502B"/>
        </w:rPr>
        <w:t xml:space="preserve">Avec CAEF Connect : </w:t>
      </w:r>
      <w:r>
        <w:t xml:space="preserve">le rapport périodique du centre est produit à partir des données saisies, avec sa période et sa date de production. Les listes peuvent être exportées, et chaque export est journalisé.</w:t>
      </w:r>
    </w:p>
    <w:p>
      <w:pPr>
        <w:spacing w:after="140" w:line="300"/>
      </w:pPr>
      <w:r>
        <w:rPr>
          <w:b/>
          <w:bCs/>
          <w:color w:val="B4502B"/>
        </w:rPr>
        <w:t xml:space="preserve">Ce que cela change : </w:t>
      </w:r>
      <w:r>
        <w:t xml:space="preserve">le rapport part à temps, et chaque chiffre renvoie à ses données sources.</w:t>
      </w:r>
    </w:p>
    <w:p>
      <w:pPr>
        <w:pStyle w:val="Heading2"/>
      </w:pPr>
      <w:r>
        <w:t xml:space="preserve">B. Partenaires et Direction Générale</w:t>
      </w:r>
    </w:p>
    <w:p>
      <w:pPr>
        <w:pStyle w:val="Heading3"/>
      </w:pPr>
      <w:r>
        <w:t xml:space="preserve">5.8 Le suivi d'un partenariat RSE, de la prospection à la convention</w:t>
      </w:r>
    </w:p>
    <w:p>
      <w:pPr>
        <w:spacing w:after="140" w:line="300"/>
      </w:pPr>
      <w:r>
        <w:rPr>
          <w:b/>
          <w:bCs/>
          <w:color w:val="5E6A73"/>
        </w:rPr>
        <w:t xml:space="preserve">Qui : </w:t>
      </w:r>
      <w:r>
        <w:rPr>
          <w:color w:val="5E6A73"/>
        </w:rPr>
        <w:t xml:space="preserve">la responsable RSE et partenariats</w:t>
      </w:r>
    </w:p>
    <w:p>
      <w:pPr>
        <w:spacing w:after="140" w:line="300"/>
      </w:pPr>
      <w:r>
        <w:rPr>
          <w:b/>
          <w:bCs/>
          <w:color w:val="B4502B"/>
        </w:rPr>
        <w:t xml:space="preserve">Aujourd'hui : </w:t>
      </w:r>
      <w:r>
        <w:t xml:space="preserve">les contacts avec les entreprises sont suivis de mémoire ou dans un carnet personnel. Une promesse orale peut être comptée comme acquise.</w:t>
      </w:r>
    </w:p>
    <w:p>
      <w:pPr>
        <w:spacing w:after="140" w:line="300"/>
      </w:pPr>
      <w:r>
        <w:rPr>
          <w:b/>
          <w:bCs/>
          <w:color w:val="B4502B"/>
        </w:rPr>
        <w:t xml:space="preserve">Avec CAEF Connect : </w:t>
      </w:r>
      <w:r>
        <w:t xml:space="preserve">chaque partenaire a sa fiche, avec ses interlocuteurs et l'historique des échanges. L'opportunité avance dans un pipeline par étapes ; la proposition est validée en interne avant envoi ; la convention signée est enregistrée avec ses engagements et ses échéances, et l'outil alerte avant chaque échéance.</w:t>
      </w:r>
    </w:p>
    <w:p>
      <w:pPr>
        <w:spacing w:after="140" w:line="300"/>
      </w:pPr>
      <w:r>
        <w:rPr>
          <w:b/>
          <w:bCs/>
          <w:color w:val="B4502B"/>
        </w:rPr>
        <w:t xml:space="preserve">Ce que cela change : </w:t>
      </w:r>
      <w:r>
        <w:t xml:space="preserve">le centre distingue clairement ce qui est promis, signé, reçu et exécuté. (voir figure 3)</w:t>
      </w:r>
    </w:p>
    <w:p>
      <w:pPr>
        <w:pStyle w:val="Heading3"/>
      </w:pPr>
      <w:r>
        <w:t xml:space="preserve">5.9 Le rapport à un partenaire, dont TIKA</w:t>
      </w:r>
    </w:p>
    <w:p>
      <w:pPr>
        <w:spacing w:after="140" w:line="300"/>
      </w:pPr>
      <w:r>
        <w:rPr>
          <w:b/>
          <w:bCs/>
          <w:color w:val="5E6A73"/>
        </w:rPr>
        <w:t xml:space="preserve">Qui : </w:t>
      </w:r>
      <w:r>
        <w:rPr>
          <w:color w:val="5E6A73"/>
        </w:rPr>
        <w:t xml:space="preserve">la responsable RSE et partenariats</w:t>
      </w:r>
    </w:p>
    <w:p>
      <w:pPr>
        <w:spacing w:after="140" w:line="300"/>
      </w:pPr>
      <w:r>
        <w:rPr>
          <w:b/>
          <w:bCs/>
          <w:color w:val="B4502B"/>
        </w:rPr>
        <w:t xml:space="preserve">Aujourd'hui : </w:t>
      </w:r>
      <w:r>
        <w:t xml:space="preserve">pour rendre compte à un partenaire, il faut rassembler des chiffres dispersés dans plusieurs cahiers, sans pouvoir toujours les justifier.</w:t>
      </w:r>
    </w:p>
    <w:p>
      <w:pPr>
        <w:spacing w:after="140" w:line="300"/>
      </w:pPr>
      <w:r>
        <w:rPr>
          <w:b/>
          <w:bCs/>
          <w:color w:val="B4502B"/>
        </w:rPr>
        <w:t xml:space="preserve">Avec CAEF Connect : </w:t>
      </w:r>
      <w:r>
        <w:t xml:space="preserve">chaque contribution est suivie de la promesse à la réception, avec son justificatif, puis validée. Le rapport partenaire est généré à partir de ces enregistrements.</w:t>
      </w:r>
    </w:p>
    <w:p>
      <w:pPr>
        <w:spacing w:after="140" w:line="300"/>
      </w:pPr>
      <w:r>
        <w:rPr>
          <w:b/>
          <w:bCs/>
          <w:color w:val="B4502B"/>
        </w:rPr>
        <w:t xml:space="preserve">Ce que cela change : </w:t>
      </w:r>
      <w:r>
        <w:t xml:space="preserve">TIKA recevra un rapport chiffré et justifié sur l'usage de sa contribution : équipement livré, personnes formées, utilisation réelle de l'outil. (voir figure 3)</w:t>
      </w:r>
    </w:p>
    <w:p>
      <w:pPr>
        <w:pStyle w:val="Heading3"/>
      </w:pPr>
      <w:r>
        <w:t xml:space="preserve">5.10 La Direction Générale suit le centre pilote</w:t>
      </w:r>
    </w:p>
    <w:p>
      <w:pPr>
        <w:spacing w:after="140" w:line="300"/>
      </w:pPr>
      <w:r>
        <w:rPr>
          <w:b/>
          <w:bCs/>
          <w:color w:val="5E6A73"/>
        </w:rPr>
        <w:t xml:space="preserve">Qui : </w:t>
      </w:r>
      <w:r>
        <w:rPr>
          <w:color w:val="5E6A73"/>
        </w:rPr>
        <w:t xml:space="preserve">la Direction Générale des CAEF</w:t>
      </w:r>
    </w:p>
    <w:p>
      <w:pPr>
        <w:spacing w:after="140" w:line="300"/>
      </w:pPr>
      <w:r>
        <w:rPr>
          <w:b/>
          <w:bCs/>
          <w:color w:val="B4502B"/>
        </w:rPr>
        <w:t xml:space="preserve">Aujourd'hui : </w:t>
      </w:r>
      <w:r>
        <w:t xml:space="preserve">elle attend des rapports papier, produits avec retard et difficiles à vérifier.</w:t>
      </w:r>
    </w:p>
    <w:p>
      <w:pPr>
        <w:spacing w:after="140" w:line="300"/>
      </w:pPr>
      <w:r>
        <w:rPr>
          <w:b/>
          <w:bCs/>
          <w:color w:val="B4502B"/>
        </w:rPr>
        <w:t xml:space="preserve">Avec CAEF Connect : </w:t>
      </w:r>
      <w:r>
        <w:t xml:space="preserve">elle consulte un tableau de bord dont chaque indicateur a une définition validée, une date de mise à jour et un niveau de validation, et renvoie à ses données sources. Les données sont agrégées, sans information nominative par défaut.</w:t>
      </w:r>
    </w:p>
    <w:p>
      <w:pPr>
        <w:spacing w:after="140" w:line="300"/>
      </w:pPr>
      <w:r>
        <w:rPr>
          <w:b/>
          <w:bCs/>
          <w:color w:val="B4502B"/>
        </w:rPr>
        <w:t xml:space="preserve">Ce que cela change : </w:t>
      </w:r>
      <w:r>
        <w:t xml:space="preserve">les décisions sur la suite du programme se prennent sur des chiffres vérifiables.</w:t>
      </w:r>
    </w:p>
    <w:p>
      <w:pPr>
        <w:pStyle w:val="Heading3"/>
      </w:pPr>
      <w:r>
        <w:t xml:space="preserve">5.11 Les droits d'accès : chacun voit ce qui le concerne</w:t>
      </w:r>
    </w:p>
    <w:p>
      <w:pPr>
        <w:spacing w:after="140" w:line="300"/>
      </w:pPr>
      <w:r>
        <w:rPr>
          <w:b/>
          <w:bCs/>
          <w:color w:val="5E6A73"/>
        </w:rPr>
        <w:t xml:space="preserve">Qui : </w:t>
      </w:r>
      <w:r>
        <w:rPr>
          <w:color w:val="5E6A73"/>
        </w:rPr>
        <w:t xml:space="preserve">l'administrateur, tous les utilisateurs</w:t>
      </w:r>
    </w:p>
    <w:p>
      <w:pPr>
        <w:spacing w:after="140" w:line="300"/>
      </w:pPr>
      <w:r>
        <w:rPr>
          <w:b/>
          <w:bCs/>
          <w:color w:val="B4502B"/>
        </w:rPr>
        <w:t xml:space="preserve">Aujourd'hui : </w:t>
      </w:r>
      <w:r>
        <w:t xml:space="preserve">les cahiers et les classeurs sont accessibles à qui les ouvre, et rien ne dit qui a modifié quoi.</w:t>
      </w:r>
    </w:p>
    <w:p>
      <w:pPr>
        <w:spacing w:after="140" w:line="300"/>
      </w:pPr>
      <w:r>
        <w:rPr>
          <w:b/>
          <w:bCs/>
          <w:color w:val="B4502B"/>
        </w:rPr>
        <w:t xml:space="preserve">Avec CAEF Connect : </w:t>
      </w:r>
      <w:r>
        <w:t xml:space="preserve">chaque utilisateur a un compte personnel et un rôle limité à ce dont il a besoin : la vendeuse ne voit pas les dossiers des bénéficiaires, la responsable RSE ne voit que des chiffres agrégés. Les données d'un centre ne sont pas visibles depuis un autre. Les actions sensibles (validation, export, changement de droits) sont journalisées.</w:t>
      </w:r>
    </w:p>
    <w:p>
      <w:pPr>
        <w:spacing w:after="140" w:line="300"/>
      </w:pPr>
      <w:r>
        <w:rPr>
          <w:b/>
          <w:bCs/>
          <w:color w:val="B4502B"/>
        </w:rPr>
        <w:t xml:space="preserve">Ce que cela change : </w:t>
      </w:r>
      <w:r>
        <w:t xml:space="preserve">les données des femmes sont protégées, et chaque action a un auteur identifié.</w:t>
      </w:r>
    </w:p>
    <w:p>
      <w:pPr>
        <w:pStyle w:val="Heading2"/>
      </w:pPr>
      <w:r>
        <w:t xml:space="preserve">C. Finances et boutique</w:t>
      </w:r>
    </w:p>
    <w:p>
      <w:pPr>
        <w:pStyle w:val="Heading3"/>
      </w:pPr>
      <w:r>
        <w:t xml:space="preserve">5.12 La fin du mois entre la comptable et la responsable</w:t>
      </w:r>
    </w:p>
    <w:p>
      <w:pPr>
        <w:spacing w:after="140" w:line="300"/>
      </w:pPr>
      <w:r>
        <w:rPr>
          <w:b/>
          <w:bCs/>
          <w:color w:val="5E6A73"/>
        </w:rPr>
        <w:t xml:space="preserve">Qui : </w:t>
      </w:r>
      <w:r>
        <w:rPr>
          <w:color w:val="5E6A73"/>
        </w:rPr>
        <w:t xml:space="preserve">la comptable du centre, la responsable du centre</w:t>
      </w:r>
    </w:p>
    <w:p>
      <w:pPr>
        <w:spacing w:after="140" w:line="300"/>
      </w:pPr>
      <w:r>
        <w:rPr>
          <w:b/>
          <w:bCs/>
          <w:color w:val="B4502B"/>
        </w:rPr>
        <w:t xml:space="preserve">Aujourd'hui : </w:t>
      </w:r>
      <w:r>
        <w:t xml:space="preserve">chacune tient ses propres cahiers. En fin de mois, les deux totaux ne concordent pas, et rien ne permet de savoir lequel est juste.</w:t>
      </w:r>
    </w:p>
    <w:p>
      <w:pPr>
        <w:spacing w:after="140" w:line="300"/>
      </w:pPr>
      <w:r>
        <w:rPr>
          <w:b/>
          <w:bCs/>
          <w:color w:val="B4502B"/>
        </w:rPr>
        <w:t xml:space="preserve">Avec CAEF Connect : </w:t>
      </w:r>
      <w:r>
        <w:t xml:space="preserve">l'outil génère l'état de rapprochement du mois à partir des ventes, des caisses, des reversements et des contributions reçues. La comptable le vérifie face aux pièces, la responsable le valide, puis le mois est verrouillé.</w:t>
      </w:r>
    </w:p>
    <w:p>
      <w:pPr>
        <w:spacing w:after="140" w:line="300"/>
      </w:pPr>
      <w:r>
        <w:rPr>
          <w:b/>
          <w:bCs/>
          <w:color w:val="B4502B"/>
        </w:rPr>
        <w:t xml:space="preserve">Ce que cela change : </w:t>
      </w:r>
      <w:r>
        <w:t xml:space="preserve">la comptable, la responsable et le rapport mensuel affichent les mêmes chiffres. Une correction après verrouillage passe par une écriture du mois suivant. (voir figure 4)</w:t>
      </w:r>
    </w:p>
    <w:p>
      <w:pPr>
        <w:pStyle w:val="Heading3"/>
      </w:pPr>
      <w:r>
        <w:t xml:space="preserve">5.13 Le dépôt d'un produit par une productrice</w:t>
      </w:r>
    </w:p>
    <w:p>
      <w:pPr>
        <w:spacing w:after="140" w:line="300"/>
      </w:pPr>
      <w:r>
        <w:rPr>
          <w:b/>
          <w:bCs/>
          <w:color w:val="5E6A73"/>
        </w:rPr>
        <w:t xml:space="preserve">Qui : </w:t>
      </w:r>
      <w:r>
        <w:rPr>
          <w:color w:val="5E6A73"/>
        </w:rPr>
        <w:t xml:space="preserve">la vendeuse de la boutique, les productrices</w:t>
      </w:r>
    </w:p>
    <w:p>
      <w:pPr>
        <w:spacing w:after="140" w:line="300"/>
      </w:pPr>
      <w:r>
        <w:rPr>
          <w:b/>
          <w:bCs/>
          <w:color w:val="B4502B"/>
        </w:rPr>
        <w:t xml:space="preserve">Aujourd'hui : </w:t>
      </w:r>
      <w:r>
        <w:t xml:space="preserve">les dépôts sont notés dans un cahier, sans toujours préciser le prix convenu ni la part qui revient à la productrice.</w:t>
      </w:r>
    </w:p>
    <w:p>
      <w:pPr>
        <w:spacing w:after="140" w:line="300"/>
      </w:pPr>
      <w:r>
        <w:rPr>
          <w:b/>
          <w:bCs/>
          <w:color w:val="B4502B"/>
        </w:rPr>
        <w:t xml:space="preserve">Avec CAEF Connect : </w:t>
      </w:r>
      <w:r>
        <w:t xml:space="preserve">chaque produit est inscrit au catalogue avec sa catégorie, son prix et son origine (atelier du centre, productrice ou groupement en dépôt-vente). L'entrée en stock est enregistrée au nom de la productrice. Un changement de prix est daté et n'affecte pas les ventes passées.</w:t>
      </w:r>
    </w:p>
    <w:p>
      <w:pPr>
        <w:spacing w:after="140" w:line="300"/>
      </w:pPr>
      <w:r>
        <w:rPr>
          <w:b/>
          <w:bCs/>
          <w:color w:val="B4502B"/>
        </w:rPr>
        <w:t xml:space="preserve">Ce que cela change : </w:t>
      </w:r>
      <w:r>
        <w:t xml:space="preserve">le stock est connu à tout moment, et chaque productrice sait ce qu'elle a déposé.</w:t>
      </w:r>
    </w:p>
    <w:p>
      <w:pPr>
        <w:pStyle w:val="Heading3"/>
      </w:pPr>
      <w:r>
        <w:t xml:space="preserve">5.14 La clôture de caisse du soir</w:t>
      </w:r>
    </w:p>
    <w:p>
      <w:pPr>
        <w:spacing w:after="140" w:line="300"/>
      </w:pPr>
      <w:r>
        <w:rPr>
          <w:b/>
          <w:bCs/>
          <w:color w:val="5E6A73"/>
        </w:rPr>
        <w:t xml:space="preserve">Qui : </w:t>
      </w:r>
      <w:r>
        <w:rPr>
          <w:color w:val="5E6A73"/>
        </w:rPr>
        <w:t xml:space="preserve">la vendeuse de la boutique, la responsable du centre</w:t>
      </w:r>
    </w:p>
    <w:p>
      <w:pPr>
        <w:spacing w:after="140" w:line="300"/>
      </w:pPr>
      <w:r>
        <w:rPr>
          <w:b/>
          <w:bCs/>
          <w:color w:val="B4502B"/>
        </w:rPr>
        <w:t xml:space="preserve">Aujourd'hui : </w:t>
      </w:r>
      <w:r>
        <w:t xml:space="preserve">les ventes sont notées dans un carnet. Un manque dans la caisse est souvent découvert des jours plus tard, sans que personne puisse l'expliquer.</w:t>
      </w:r>
    </w:p>
    <w:p>
      <w:pPr>
        <w:spacing w:after="140" w:line="300"/>
      </w:pPr>
      <w:r>
        <w:rPr>
          <w:b/>
          <w:bCs/>
          <w:color w:val="B4502B"/>
        </w:rPr>
        <w:t xml:space="preserve">Avec CAEF Connect : </w:t>
      </w:r>
      <w:r>
        <w:t xml:space="preserve">chaque vente reçoit un reçu numéroté. Le soir, l'outil calcule les espèces attendues ; la vendeuse compte la caisse et saisit le montant. Tout écart doit être motivé avant la validation par la responsable. Une vente annulée reste visible, corrigée par contre-écriture. En cas de coupure de connexion, un reçu papier numéroté sert de secours et la vente est saisie dans la journée.</w:t>
      </w:r>
    </w:p>
    <w:p>
      <w:pPr>
        <w:spacing w:after="140" w:line="300"/>
      </w:pPr>
      <w:r>
        <w:rPr>
          <w:b/>
          <w:bCs/>
          <w:color w:val="B4502B"/>
        </w:rPr>
        <w:t xml:space="preserve">Ce que cela change : </w:t>
      </w:r>
      <w:r>
        <w:t xml:space="preserve">un écart est repéré le jour même, expliqué et tracé. (voir figure 5)</w:t>
      </w:r>
    </w:p>
    <w:p>
      <w:pPr>
        <w:pStyle w:val="Heading3"/>
      </w:pPr>
      <w:r>
        <w:t xml:space="preserve">5.15 Le reversement mensuel aux productrices</w:t>
      </w:r>
    </w:p>
    <w:p>
      <w:pPr>
        <w:spacing w:after="140" w:line="300"/>
      </w:pPr>
      <w:r>
        <w:rPr>
          <w:b/>
          <w:bCs/>
          <w:color w:val="5E6A73"/>
        </w:rPr>
        <w:t xml:space="preserve">Qui : </w:t>
      </w:r>
      <w:r>
        <w:rPr>
          <w:color w:val="5E6A73"/>
        </w:rPr>
        <w:t xml:space="preserve">la comptable du centre, la responsable du centre, les productrices</w:t>
      </w:r>
    </w:p>
    <w:p>
      <w:pPr>
        <w:spacing w:after="140" w:line="300"/>
      </w:pPr>
      <w:r>
        <w:rPr>
          <w:b/>
          <w:bCs/>
          <w:color w:val="B4502B"/>
        </w:rPr>
        <w:t xml:space="preserve">Aujourd'hui : </w:t>
      </w:r>
      <w:r>
        <w:t xml:space="preserve">la part de chaque productrice est calculée à la main à partir du carnet de ventes, ce qui laisse place aux oublis et aux contestations.</w:t>
      </w:r>
    </w:p>
    <w:p>
      <w:pPr>
        <w:spacing w:after="140" w:line="300"/>
      </w:pPr>
      <w:r>
        <w:rPr>
          <w:b/>
          <w:bCs/>
          <w:color w:val="B4502B"/>
        </w:rPr>
        <w:t xml:space="preserve">Avec CAEF Connect : </w:t>
      </w:r>
      <w:r>
        <w:t xml:space="preserve">la part de la productrice est calculée vente par vente. La comptable prépare le reversement, la responsable le valide, et le paiement est enregistré avec sa date et sa pièce. Le solde restant dû reste affiché.</w:t>
      </w:r>
    </w:p>
    <w:p>
      <w:pPr>
        <w:spacing w:after="140" w:line="300"/>
      </w:pPr>
      <w:r>
        <w:rPr>
          <w:b/>
          <w:bCs/>
          <w:color w:val="B4502B"/>
        </w:rPr>
        <w:t xml:space="preserve">Ce que cela change : </w:t>
      </w:r>
      <w:r>
        <w:t xml:space="preserve">chaque productrice sait ce qui lui revient et pourquoi, et le centre peut le prouver.</w:t>
      </w:r>
    </w:p>
    <w:p>
      <w:pPr>
        <w:pStyle w:val="Heading3"/>
      </w:pPr>
      <w:r>
        <w:t xml:space="preserve">5.16 L'inventaire de la boutique</w:t>
      </w:r>
    </w:p>
    <w:p>
      <w:pPr>
        <w:spacing w:after="140" w:line="300"/>
      </w:pPr>
      <w:r>
        <w:rPr>
          <w:b/>
          <w:bCs/>
          <w:color w:val="5E6A73"/>
        </w:rPr>
        <w:t xml:space="preserve">Qui : </w:t>
      </w:r>
      <w:r>
        <w:rPr>
          <w:color w:val="5E6A73"/>
        </w:rPr>
        <w:t xml:space="preserve">la vendeuse, la responsable du centre</w:t>
      </w:r>
    </w:p>
    <w:p>
      <w:pPr>
        <w:spacing w:after="140" w:line="300"/>
      </w:pPr>
      <w:r>
        <w:rPr>
          <w:b/>
          <w:bCs/>
          <w:color w:val="B4502B"/>
        </w:rPr>
        <w:t xml:space="preserve">Aujourd'hui : </w:t>
      </w:r>
      <w:r>
        <w:t xml:space="preserve">il n'y a pas d'inventaire régulier : personne ne sait si le stock réel correspond aux ventes.</w:t>
      </w:r>
    </w:p>
    <w:p>
      <w:pPr>
        <w:spacing w:after="140" w:line="300"/>
      </w:pPr>
      <w:r>
        <w:rPr>
          <w:b/>
          <w:bCs/>
          <w:color w:val="B4502B"/>
        </w:rPr>
        <w:t xml:space="preserve">Avec CAEF Connect : </w:t>
      </w:r>
      <w:r>
        <w:t xml:space="preserve">à intervalles réguliers, le stock est compté et comparé au stock calculé par l'outil. Les écarts sont motivés, et l'ajustement est validé par la responsable ou son adjointe.</w:t>
      </w:r>
    </w:p>
    <w:p>
      <w:pPr>
        <w:spacing w:after="140" w:line="300"/>
      </w:pPr>
      <w:r>
        <w:rPr>
          <w:b/>
          <w:bCs/>
          <w:color w:val="B4502B"/>
        </w:rPr>
        <w:t xml:space="preserve">Ce que cela change : </w:t>
      </w:r>
      <w:r>
        <w:t xml:space="preserve">les pertes et les erreurs de stock deviennent visibles au lieu de s'accumuler.</w:t>
      </w:r>
    </w:p>
    <w:p>
      <w:pPr>
        <w:pStyle w:val="Heading2"/>
      </w:pPr>
      <w:r>
        <w:t xml:space="preserve">D. Mise en route</w:t>
      </w:r>
    </w:p>
    <w:p>
      <w:pPr>
        <w:pStyle w:val="Heading3"/>
      </w:pPr>
      <w:r>
        <w:t xml:space="preserve">5.17 La reprise des registres papier</w:t>
      </w:r>
    </w:p>
    <w:p>
      <w:pPr>
        <w:spacing w:after="140" w:line="300"/>
      </w:pPr>
      <w:r>
        <w:rPr>
          <w:b/>
          <w:bCs/>
          <w:color w:val="5E6A73"/>
        </w:rPr>
        <w:t xml:space="preserve">Qui : </w:t>
      </w:r>
      <w:r>
        <w:rPr>
          <w:color w:val="5E6A73"/>
        </w:rPr>
        <w:t xml:space="preserve">l'équipe du centre, avec l'appui du prestataire</w:t>
      </w:r>
    </w:p>
    <w:p>
      <w:pPr>
        <w:spacing w:after="140" w:line="300"/>
      </w:pPr>
      <w:r>
        <w:rPr>
          <w:b/>
          <w:bCs/>
          <w:color w:val="B4502B"/>
        </w:rPr>
        <w:t xml:space="preserve">Aujourd'hui : </w:t>
      </w:r>
      <w:r>
        <w:t xml:space="preserve">l'historique du centre est dans des livrets et des feuilles volantes, avec des chiffres qui divergent.</w:t>
      </w:r>
    </w:p>
    <w:p>
      <w:pPr>
        <w:spacing w:after="140" w:line="300"/>
      </w:pPr>
      <w:r>
        <w:rPr>
          <w:b/>
          <w:bCs/>
          <w:color w:val="B4502B"/>
        </w:rPr>
        <w:t xml:space="preserve">Avec CAEF Connect : </w:t>
      </w:r>
      <w:r>
        <w:t xml:space="preserve">les registres sont inventoriés et saisis, puis importés avec un rapport d'anomalies. Les chiffres de la comptable et de la responsable sont rapprochés ; une divergence non résolue est importée avec le statut « à vérifier », jamais tranchée par supposition.</w:t>
      </w:r>
    </w:p>
    <w:p>
      <w:pPr>
        <w:spacing w:after="140" w:line="300"/>
      </w:pPr>
      <w:r>
        <w:rPr>
          <w:b/>
          <w:bCs/>
          <w:color w:val="B4502B"/>
        </w:rPr>
        <w:t xml:space="preserve">Ce que cela change : </w:t>
      </w:r>
      <w:r>
        <w:t xml:space="preserve">le centre démarre avec un historique propre et des écarts identifiés.</w:t>
      </w:r>
    </w:p>
    <w:p>
      <w:r>
        <w:br w:type="page"/>
      </w:r>
    </w:p>
    <w:p>
      <w:pPr>
        <w:pStyle w:val="Heading1"/>
      </w:pPr>
      <w:r>
        <w:t xml:space="preserve">6. Aperçu des écrans clés</w:t>
      </w:r>
    </w:p>
    <w:p>
      <w:pPr>
        <w:spacing w:after="140" w:line="300"/>
      </w:pPr>
      <w:r>
        <w:t xml:space="preserve">Les maquettes ci-dessous illustrent les écrans prévus pour le pilote. Elles sont indicatives : les écrans définitifs seront conçus avec l'équipe du centre. Les noms et les chiffres sont fictifs.</w:t>
      </w:r>
    </w:p>
    <w:p>
      <w:pPr>
        <w:spacing w:after="60" w:before="120"/>
        <w:jc w:val="center"/>
      </w:pPr>
      <w:r>
        <w:drawing>
          <wp:inline distT="0" distB="0" distL="0" distR="0">
            <wp:extent cx="6096000" cy="2847975"/>
            <wp:effectExtent t="0" r="0" b="0" l="0"/>
            <wp:docPr id="1" name="tdb.png" descr="Tableau de bord du centre, vu par la responsable" title="Tableau de bord du centre, vu par la respons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847975"/>
                    </a:xfrm>
                    <a:prstGeom prst="rect">
                      <a:avLst/>
                    </a:prstGeom>
                  </pic:spPr>
                </pic:pic>
              </a:graphicData>
            </a:graphic>
          </wp:inline>
        </w:drawing>
      </w:r>
    </w:p>
    <w:p>
      <w:pPr>
        <w:spacing w:after="280"/>
        <w:jc w:val="center"/>
      </w:pPr>
      <w:r>
        <w:rPr>
          <w:b/>
          <w:bCs/>
          <w:color w:val="B4502B"/>
          <w:sz w:val="19"/>
          <w:szCs w:val="19"/>
        </w:rPr>
        <w:t xml:space="preserve">Figure 1. </w:t>
      </w:r>
      <w:r>
        <w:rPr>
          <w:i/>
          <w:iCs/>
          <w:color w:val="5E6A73"/>
          <w:sz w:val="19"/>
          <w:szCs w:val="19"/>
        </w:rPr>
        <w:t xml:space="preserve">Tableau de bord du centre, vu par la responsable</w:t>
      </w:r>
    </w:p>
    <w:p>
      <w:pPr>
        <w:spacing w:after="60" w:before="120"/>
        <w:jc w:val="center"/>
      </w:pPr>
      <w:r>
        <w:drawing>
          <wp:inline distT="0" distB="0" distL="0" distR="0">
            <wp:extent cx="6096000" cy="2828925"/>
            <wp:effectExtent t="0" r="0" b="0" l="0"/>
            <wp:docPr id="1" name="fiche.png" descr="Fiche d'une bénéficiaire : parcours de formation et ventes en boutique" title="Fiche d'une bénéficiaire : parcours de formation et ventes en bou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828925"/>
                    </a:xfrm>
                    <a:prstGeom prst="rect">
                      <a:avLst/>
                    </a:prstGeom>
                  </pic:spPr>
                </pic:pic>
              </a:graphicData>
            </a:graphic>
          </wp:inline>
        </w:drawing>
      </w:r>
    </w:p>
    <w:p>
      <w:pPr>
        <w:spacing w:after="280"/>
        <w:jc w:val="center"/>
      </w:pPr>
      <w:r>
        <w:rPr>
          <w:b/>
          <w:bCs/>
          <w:color w:val="B4502B"/>
          <w:sz w:val="19"/>
          <w:szCs w:val="19"/>
        </w:rPr>
        <w:t xml:space="preserve">Figure 2. </w:t>
      </w:r>
      <w:r>
        <w:rPr>
          <w:i/>
          <w:iCs/>
          <w:color w:val="5E6A73"/>
          <w:sz w:val="19"/>
          <w:szCs w:val="19"/>
        </w:rPr>
        <w:t xml:space="preserve">Fiche d'une bénéficiaire : parcours de formation et ventes en boutique</w:t>
      </w:r>
    </w:p>
    <w:p>
      <w:pPr>
        <w:spacing w:after="60" w:before="120"/>
        <w:jc w:val="center"/>
      </w:pPr>
      <w:r>
        <w:drawing>
          <wp:inline distT="0" distB="0" distL="0" distR="0">
            <wp:extent cx="6096000" cy="2790825"/>
            <wp:effectExtent t="0" r="0" b="0" l="0"/>
            <wp:docPr id="1" name="rse.png" descr="Suivi des partenaires et des contributions" title="Suivi des partenaires et des con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790825"/>
                    </a:xfrm>
                    <a:prstGeom prst="rect">
                      <a:avLst/>
                    </a:prstGeom>
                  </pic:spPr>
                </pic:pic>
              </a:graphicData>
            </a:graphic>
          </wp:inline>
        </w:drawing>
      </w:r>
    </w:p>
    <w:p>
      <w:pPr>
        <w:spacing w:after="280"/>
        <w:jc w:val="center"/>
      </w:pPr>
      <w:r>
        <w:rPr>
          <w:b/>
          <w:bCs/>
          <w:color w:val="B4502B"/>
          <w:sz w:val="19"/>
          <w:szCs w:val="19"/>
        </w:rPr>
        <w:t xml:space="preserve">Figure 3. </w:t>
      </w:r>
      <w:r>
        <w:rPr>
          <w:i/>
          <w:iCs/>
          <w:color w:val="5E6A73"/>
          <w:sz w:val="19"/>
          <w:szCs w:val="19"/>
        </w:rPr>
        <w:t xml:space="preserve">Suivi des partenaires et des contributions</w:t>
      </w:r>
    </w:p>
    <w:p>
      <w:pPr>
        <w:spacing w:after="60" w:before="120"/>
        <w:jc w:val="center"/>
      </w:pPr>
      <w:r>
        <w:drawing>
          <wp:inline distT="0" distB="0" distL="0" distR="0">
            <wp:extent cx="6096000" cy="2286000"/>
            <wp:effectExtent t="0" r="0" b="0" l="0"/>
            <wp:docPr id="1" name="cloture.png" descr="Clôture mensuelle : rapprochement vérifié par la comptable et validé par la responsable" title="Clôture mensuelle : rapprochement vérifié par la comptable et validé par la respons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286000"/>
                    </a:xfrm>
                    <a:prstGeom prst="rect">
                      <a:avLst/>
                    </a:prstGeom>
                  </pic:spPr>
                </pic:pic>
              </a:graphicData>
            </a:graphic>
          </wp:inline>
        </w:drawing>
      </w:r>
    </w:p>
    <w:p>
      <w:pPr>
        <w:spacing w:after="280"/>
        <w:jc w:val="center"/>
      </w:pPr>
      <w:r>
        <w:rPr>
          <w:b/>
          <w:bCs/>
          <w:color w:val="B4502B"/>
          <w:sz w:val="19"/>
          <w:szCs w:val="19"/>
        </w:rPr>
        <w:t xml:space="preserve">Figure 4. </w:t>
      </w:r>
      <w:r>
        <w:rPr>
          <w:i/>
          <w:iCs/>
          <w:color w:val="5E6A73"/>
          <w:sz w:val="19"/>
          <w:szCs w:val="19"/>
        </w:rPr>
        <w:t xml:space="preserve">Clôture mensuelle : rapprochement vérifié par la comptable et validé par la responsable</w:t>
      </w:r>
    </w:p>
    <w:p>
      <w:pPr>
        <w:spacing w:after="60" w:before="120"/>
        <w:jc w:val="center"/>
      </w:pPr>
      <w:r>
        <w:drawing>
          <wp:inline distT="0" distB="0" distL="0" distR="0">
            <wp:extent cx="6096000" cy="2819400"/>
            <wp:effectExtent t="0" r="0" b="0" l="0"/>
            <wp:docPr id="1" name="caisse.png" descr="Clôture de caisse du jour à la boutique" title="Clôture de caisse du jour à la bou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819400"/>
                    </a:xfrm>
                    <a:prstGeom prst="rect">
                      <a:avLst/>
                    </a:prstGeom>
                  </pic:spPr>
                </pic:pic>
              </a:graphicData>
            </a:graphic>
          </wp:inline>
        </w:drawing>
      </w:r>
    </w:p>
    <w:p>
      <w:pPr>
        <w:spacing w:after="280"/>
        <w:jc w:val="center"/>
      </w:pPr>
      <w:r>
        <w:rPr>
          <w:b/>
          <w:bCs/>
          <w:color w:val="B4502B"/>
          <w:sz w:val="19"/>
          <w:szCs w:val="19"/>
        </w:rPr>
        <w:t xml:space="preserve">Figure 5. </w:t>
      </w:r>
      <w:r>
        <w:rPr>
          <w:i/>
          <w:iCs/>
          <w:color w:val="5E6A73"/>
          <w:sz w:val="19"/>
          <w:szCs w:val="19"/>
        </w:rPr>
        <w:t xml:space="preserve">Clôture de caisse du jour à la boutique</w:t>
      </w:r>
    </w:p>
    <w:p>
      <w:pPr>
        <w:pStyle w:val="Heading1"/>
      </w:pPr>
      <w:r>
        <w:t xml:space="preserve">7. Un dossier de conception déjà rédigé</w:t>
      </w:r>
    </w:p>
    <w:p>
      <w:pPr>
        <w:spacing w:after="140" w:line="300"/>
      </w:pPr>
      <w:r>
        <w:t xml:space="preserve">Le dossier de conception est rédigé et cohérent : une exigence se suit jusqu'à son cas de test. Il reste à valider par la Direction Générale des CAEF, et un prestataire peut s'en servir pour estimer et démarrer le travail.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5590"/>
      </w:tblGrid>
      <w:tr>
        <w:trPr>
          <w:tblHeader/>
        </w:trPr>
        <w:tc>
          <w:tcPr>
            <w:tcW w:type="dxa" w:w="4048"/>
            <w:tcBorders>
              <w:top w:val="single" w:color="E0D8CA" w:sz="4"/>
              <w:left w:val="single" w:color="E0D8CA" w:sz="4"/>
              <w:bottom w:val="single" w:color="E0D8CA" w:sz="4"/>
              <w:right w:val="single" w:color="E0D8CA" w:sz="4"/>
            </w:tcBorders>
            <w:shd w:fill="1C2A33" w:color="auto" w:val="clear"/>
            <w:tcMar>
              <w:top w:type="dxa" w:w="80"/>
              <w:left w:type="dxa" w:w="120"/>
              <w:bottom w:type="dxa" w:w="80"/>
              <w:right w:type="dxa" w:w="120"/>
            </w:tcMar>
          </w:tcPr>
          <w:p>
            <w:pPr>
              <w:spacing w:after="0" w:line="270"/>
            </w:pPr>
            <w:r>
              <w:rPr>
                <w:b/>
                <w:bCs/>
                <w:color w:val="FFFFFF"/>
              </w:rPr>
              <w:t xml:space="preserve">Document</w:t>
            </w:r>
          </w:p>
        </w:tc>
        <w:tc>
          <w:tcPr>
            <w:tcW w:type="dxa" w:w="5590"/>
            <w:tcBorders>
              <w:top w:val="single" w:color="E0D8CA" w:sz="4"/>
              <w:left w:val="single" w:color="E0D8CA" w:sz="4"/>
              <w:bottom w:val="single" w:color="E0D8CA" w:sz="4"/>
              <w:right w:val="single" w:color="E0D8CA" w:sz="4"/>
            </w:tcBorders>
            <w:shd w:fill="1C2A33" w:color="auto" w:val="clear"/>
            <w:tcMar>
              <w:top w:type="dxa" w:w="80"/>
              <w:left w:type="dxa" w:w="120"/>
              <w:bottom w:type="dxa" w:w="80"/>
              <w:right w:type="dxa" w:w="120"/>
            </w:tcMar>
          </w:tcPr>
          <w:p>
            <w:pPr>
              <w:spacing w:after="0" w:line="270"/>
            </w:pPr>
            <w:r>
              <w:rPr>
                <w:b/>
                <w:bCs/>
                <w:color w:val="FFFFFF"/>
              </w:rPr>
              <w:t xml:space="preserve">Ce qu'il fixe</w:t>
            </w:r>
          </w:p>
        </w:tc>
      </w:tr>
      <w:tr>
        <w:tc>
          <w:tcPr>
            <w:tcW w:type="dxa" w:w="4048"/>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rPr>
                <w:b/>
                <w:bCs/>
              </w:rPr>
              <w:t xml:space="preserve">Document de cadrage produit (PRD)</w:t>
            </w:r>
          </w:p>
        </w:tc>
        <w:tc>
          <w:tcPr>
            <w:tcW w:type="dxa" w:w="5590"/>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Vision, objectifs et exigences priorisées</w:t>
            </w:r>
          </w:p>
        </w:tc>
      </w:tr>
      <w:tr>
        <w:tc>
          <w:tcPr>
            <w:tcW w:type="dxa" w:w="4048"/>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rPr>
                <w:b/>
                <w:bCs/>
              </w:rPr>
              <w:t xml:space="preserve">Spécifications fonctionnelles du MVP</w:t>
            </w:r>
          </w:p>
        </w:tc>
        <w:tc>
          <w:tcPr>
            <w:tcW w:type="dxa" w:w="5590"/>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t xml:space="preserve">Écrans, règles de gestion et scénarios</w:t>
            </w:r>
          </w:p>
        </w:tc>
      </w:tr>
      <w:tr>
        <w:tc>
          <w:tcPr>
            <w:tcW w:type="dxa" w:w="4048"/>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rPr>
                <w:b/>
                <w:bCs/>
              </w:rPr>
              <w:t xml:space="preserve">Matrice des rôles et permissions</w:t>
            </w:r>
          </w:p>
        </w:tc>
        <w:tc>
          <w:tcPr>
            <w:tcW w:type="dxa" w:w="5590"/>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Qui voit et fait quoi, centre par centre</w:t>
            </w:r>
          </w:p>
        </w:tc>
      </w:tr>
      <w:tr>
        <w:tc>
          <w:tcPr>
            <w:tcW w:type="dxa" w:w="4048"/>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rPr>
                <w:b/>
                <w:bCs/>
              </w:rPr>
              <w:t xml:space="preserve">Modèle et dictionnaire des données</w:t>
            </w:r>
          </w:p>
        </w:tc>
        <w:tc>
          <w:tcPr>
            <w:tcW w:type="dxa" w:w="5590"/>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t xml:space="preserve">50 entités, champs, contrôles et sensibilité</w:t>
            </w:r>
          </w:p>
        </w:tc>
      </w:tr>
      <w:tr>
        <w:tc>
          <w:tcPr>
            <w:tcW w:type="dxa" w:w="4048"/>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rPr>
                <w:b/>
                <w:bCs/>
              </w:rPr>
              <w:t xml:space="preserve">Dossier d'architecture technique</w:t>
            </w:r>
          </w:p>
        </w:tc>
        <w:tc>
          <w:tcPr>
            <w:tcW w:type="dxa" w:w="5590"/>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Pile open source, sécurité, sauvegardes</w:t>
            </w:r>
          </w:p>
        </w:tc>
      </w:tr>
      <w:tr>
        <w:tc>
          <w:tcPr>
            <w:tcW w:type="dxa" w:w="4048"/>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rPr>
                <w:b/>
                <w:bCs/>
              </w:rPr>
              <w:t xml:space="preserve">Référentiel des indicateurs</w:t>
            </w:r>
          </w:p>
        </w:tc>
        <w:tc>
          <w:tcPr>
            <w:tcW w:type="dxa" w:w="5590"/>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t xml:space="preserve">39 fiches, chacune reliée à ses sources</w:t>
            </w:r>
          </w:p>
        </w:tc>
      </w:tr>
      <w:tr>
        <w:tc>
          <w:tcPr>
            <w:tcW w:type="dxa" w:w="4048"/>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rPr>
                <w:b/>
                <w:bCs/>
              </w:rPr>
              <w:t xml:space="preserve">Plan de tests et de recette</w:t>
            </w:r>
          </w:p>
        </w:tc>
        <w:tc>
          <w:tcPr>
            <w:tcW w:type="dxa" w:w="5590"/>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Cinq campagnes et procès-verbal</w:t>
            </w:r>
          </w:p>
        </w:tc>
      </w:tr>
      <w:tr>
        <w:tc>
          <w:tcPr>
            <w:tcW w:type="dxa" w:w="4048"/>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rPr>
                <w:b/>
                <w:bCs/>
              </w:rPr>
              <w:t xml:space="preserve">Budget et modèle économique</w:t>
            </w:r>
          </w:p>
        </w:tc>
        <w:tc>
          <w:tcPr>
            <w:tcW w:type="dxa" w:w="5590"/>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t xml:space="preserve">Postes et scénarios, à chiffrer sur devis</w:t>
            </w:r>
          </w:p>
        </w:tc>
      </w:tr>
      <w:tr>
        <w:tc>
          <w:tcPr>
            <w:tcW w:type="dxa" w:w="4048"/>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rPr>
                <w:b/>
                <w:bCs/>
              </w:rPr>
              <w:t xml:space="preserve">Brief de démarrage développeur</w:t>
            </w:r>
          </w:p>
        </w:tc>
        <w:tc>
          <w:tcPr>
            <w:tcW w:type="dxa" w:w="5590"/>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Règles et ordre de construction du premier lot</w:t>
            </w:r>
          </w:p>
        </w:tc>
      </w:tr>
    </w:tbl>
    <w:p>
      <w:pPr>
        <w:spacing w:after="120"/>
      </w:pPr>
    </w:p>
    <w:p>
      <w:pPr>
        <w:spacing w:after="140" w:line="300"/>
      </w:pPr>
      <w:r>
        <w:t xml:space="preserve">Ces documents peuvent être transmis à TIKA sur demande.</w:t>
      </w:r>
    </w:p>
    <w:p>
      <w:pPr>
        <w:pStyle w:val="Heading1"/>
      </w:pPr>
      <w:r>
        <w:t xml:space="preserve">8. Budget</w:t>
      </w:r>
    </w:p>
    <w:p>
      <w:pPr>
        <w:spacing w:after="140" w:line="300"/>
      </w:pPr>
      <w:r>
        <w:t xml:space="preserve">Aucun montant n'est arrêté à ce stade : chaque poste est à chiffrer sur devis. Le budget de référence sera établi après le cadrage, sur la base de devis d'au moins deux prestataires, avec des prix relevés à Conakry et une proposition consolidée en francs guinéens à un taux daté.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855"/>
        <w:gridCol w:w="1735"/>
        <w:gridCol w:w="1735"/>
      </w:tblGrid>
      <w:tr>
        <w:trPr>
          <w:tblHeader/>
        </w:trPr>
        <w:tc>
          <w:tcPr>
            <w:tcW w:type="dxa" w:w="2313"/>
            <w:tcBorders>
              <w:top w:val="single" w:color="E0D8CA" w:sz="4"/>
              <w:left w:val="single" w:color="E0D8CA" w:sz="4"/>
              <w:bottom w:val="single" w:color="E0D8CA" w:sz="4"/>
              <w:right w:val="single" w:color="E0D8CA" w:sz="4"/>
            </w:tcBorders>
            <w:shd w:fill="1C2A33" w:color="auto" w:val="clear"/>
            <w:tcMar>
              <w:top w:type="dxa" w:w="80"/>
              <w:left w:type="dxa" w:w="120"/>
              <w:bottom w:type="dxa" w:w="80"/>
              <w:right w:type="dxa" w:w="120"/>
            </w:tcMar>
          </w:tcPr>
          <w:p>
            <w:pPr>
              <w:spacing w:after="0" w:line="270"/>
            </w:pPr>
            <w:r>
              <w:rPr>
                <w:b/>
                <w:bCs/>
                <w:color w:val="FFFFFF"/>
              </w:rPr>
              <w:t xml:space="preserve">Composante</w:t>
            </w:r>
          </w:p>
        </w:tc>
        <w:tc>
          <w:tcPr>
            <w:tcW w:type="dxa" w:w="3855"/>
            <w:tcBorders>
              <w:top w:val="single" w:color="E0D8CA" w:sz="4"/>
              <w:left w:val="single" w:color="E0D8CA" w:sz="4"/>
              <w:bottom w:val="single" w:color="E0D8CA" w:sz="4"/>
              <w:right w:val="single" w:color="E0D8CA" w:sz="4"/>
            </w:tcBorders>
            <w:shd w:fill="1C2A33" w:color="auto" w:val="clear"/>
            <w:tcMar>
              <w:top w:type="dxa" w:w="80"/>
              <w:left w:type="dxa" w:w="120"/>
              <w:bottom w:type="dxa" w:w="80"/>
              <w:right w:type="dxa" w:w="120"/>
            </w:tcMar>
          </w:tcPr>
          <w:p>
            <w:pPr>
              <w:spacing w:after="0" w:line="270"/>
            </w:pPr>
            <w:r>
              <w:rPr>
                <w:b/>
                <w:bCs/>
                <w:color w:val="FFFFFF"/>
              </w:rPr>
              <w:t xml:space="preserve">Ce qu'elle couvre</w:t>
            </w:r>
          </w:p>
        </w:tc>
        <w:tc>
          <w:tcPr>
            <w:tcW w:type="dxa" w:w="1735"/>
            <w:tcBorders>
              <w:top w:val="single" w:color="E0D8CA" w:sz="4"/>
              <w:left w:val="single" w:color="E0D8CA" w:sz="4"/>
              <w:bottom w:val="single" w:color="E0D8CA" w:sz="4"/>
              <w:right w:val="single" w:color="E0D8CA" w:sz="4"/>
            </w:tcBorders>
            <w:shd w:fill="1C2A33" w:color="auto" w:val="clear"/>
            <w:tcMar>
              <w:top w:type="dxa" w:w="80"/>
              <w:left w:type="dxa" w:w="120"/>
              <w:bottom w:type="dxa" w:w="80"/>
              <w:right w:type="dxa" w:w="120"/>
            </w:tcMar>
          </w:tcPr>
          <w:p>
            <w:pPr>
              <w:spacing w:after="0" w:line="270"/>
            </w:pPr>
            <w:r>
              <w:rPr>
                <w:b/>
                <w:bCs/>
                <w:color w:val="FFFFFF"/>
              </w:rPr>
              <w:t xml:space="preserve">Nature</w:t>
            </w:r>
          </w:p>
        </w:tc>
        <w:tc>
          <w:tcPr>
            <w:tcW w:type="dxa" w:w="1735"/>
            <w:tcBorders>
              <w:top w:val="single" w:color="E0D8CA" w:sz="4"/>
              <w:left w:val="single" w:color="E0D8CA" w:sz="4"/>
              <w:bottom w:val="single" w:color="E0D8CA" w:sz="4"/>
              <w:right w:val="single" w:color="E0D8CA" w:sz="4"/>
            </w:tcBorders>
            <w:shd w:fill="1C2A33" w:color="auto" w:val="clear"/>
            <w:tcMar>
              <w:top w:type="dxa" w:w="80"/>
              <w:left w:type="dxa" w:w="120"/>
              <w:bottom w:type="dxa" w:w="80"/>
              <w:right w:type="dxa" w:w="120"/>
            </w:tcMar>
          </w:tcPr>
          <w:p>
            <w:pPr>
              <w:spacing w:after="0" w:line="270"/>
            </w:pPr>
            <w:r>
              <w:rPr>
                <w:b/>
                <w:bCs/>
                <w:color w:val="FFFFFF"/>
              </w:rPr>
              <w:t xml:space="preserve">Montant</w:t>
            </w:r>
          </w:p>
        </w:tc>
      </w:tr>
      <w:tr>
        <w:tc>
          <w:tcPr>
            <w:tcW w:type="dxa" w:w="2313"/>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rPr>
                <w:b/>
                <w:bCs/>
              </w:rPr>
              <w:t xml:space="preserve">Développement du MVP</w:t>
            </w:r>
          </w:p>
        </w:tc>
        <w:tc>
          <w:tcPr>
            <w:tcW w:type="dxa" w:w="3855"/>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Cadrage, conception, développement, tests, sécurité, reprise des registres papier, formation, mise en service</w:t>
            </w:r>
          </w:p>
        </w:tc>
        <w:tc>
          <w:tcPr>
            <w:tcW w:type="dxa" w:w="1735"/>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Ponctuel</w:t>
            </w:r>
          </w:p>
        </w:tc>
        <w:tc>
          <w:tcPr>
            <w:tcW w:type="dxa" w:w="1735"/>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À chiffrer sur devis</w:t>
            </w:r>
          </w:p>
        </w:tc>
      </w:tr>
      <w:tr>
        <w:tc>
          <w:tcPr>
            <w:tcW w:type="dxa" w:w="2313"/>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rPr>
                <w:b/>
                <w:bCs/>
              </w:rPr>
              <w:t xml:space="preserve">Hébergement et infrastructure</w:t>
            </w:r>
          </w:p>
        </w:tc>
        <w:tc>
          <w:tcPr>
            <w:tcW w:type="dxa" w:w="3855"/>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t xml:space="preserve">Serveurs, base de données, stockage, sauvegardes, nom de domaine, supervision</w:t>
            </w:r>
          </w:p>
        </w:tc>
        <w:tc>
          <w:tcPr>
            <w:tcW w:type="dxa" w:w="1735"/>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t xml:space="preserve">Récurrent</w:t>
            </w:r>
          </w:p>
        </w:tc>
        <w:tc>
          <w:tcPr>
            <w:tcW w:type="dxa" w:w="1735"/>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t xml:space="preserve">À chiffrer sur devis</w:t>
            </w:r>
          </w:p>
        </w:tc>
      </w:tr>
      <w:tr>
        <w:tc>
          <w:tcPr>
            <w:tcW w:type="dxa" w:w="2313"/>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rPr>
                <w:b/>
                <w:bCs/>
              </w:rPr>
              <w:t xml:space="preserve">Maintenance et support</w:t>
            </w:r>
          </w:p>
        </w:tc>
        <w:tc>
          <w:tcPr>
            <w:tcW w:type="dxa" w:w="3855"/>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Corrections, mises à jour, assistance aux utilisateurs, sécurité annuelle</w:t>
            </w:r>
          </w:p>
        </w:tc>
        <w:tc>
          <w:tcPr>
            <w:tcW w:type="dxa" w:w="1735"/>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Récurrent</w:t>
            </w:r>
          </w:p>
        </w:tc>
        <w:tc>
          <w:tcPr>
            <w:tcW w:type="dxa" w:w="1735"/>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À chiffrer sur devis</w:t>
            </w:r>
          </w:p>
        </w:tc>
      </w:tr>
      <w:tr>
        <w:tc>
          <w:tcPr>
            <w:tcW w:type="dxa" w:w="2313"/>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rPr>
                <w:b/>
                <w:bCs/>
              </w:rPr>
              <w:t xml:space="preserve">Équipement du centre pilote</w:t>
            </w:r>
          </w:p>
        </w:tc>
        <w:tc>
          <w:tcPr>
            <w:tcW w:type="dxa" w:w="3855"/>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t xml:space="preserve">Ordinateurs, tablettes, imprimantes, routeur 4G, onduleur, puis forfait de données</w:t>
            </w:r>
          </w:p>
        </w:tc>
        <w:tc>
          <w:tcPr>
            <w:tcW w:type="dxa" w:w="1735"/>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t xml:space="preserve">Ponctuel, plus connexion récurrente</w:t>
            </w:r>
          </w:p>
        </w:tc>
        <w:tc>
          <w:tcPr>
            <w:tcW w:type="dxa" w:w="1735"/>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t xml:space="preserve">À chiffrer sur devis</w:t>
            </w:r>
          </w:p>
        </w:tc>
      </w:tr>
    </w:tbl>
    <w:p>
      <w:pPr>
        <w:spacing w:after="120"/>
      </w:pPr>
    </w:p>
    <w:p>
      <w:pPr>
        <w:spacing w:after="140" w:line="300"/>
      </w:pPr>
      <w:r>
        <w:t xml:space="preserve">Le scénario recommandé est le pilote d'un seul centre sur 12 mois d'exploitation. Une extension à d'autres centres ne se décidera qu'après le bilan du pilote.</w:t>
      </w:r>
    </w:p>
    <w:p>
      <w:pPr>
        <w:pStyle w:val="Heading1"/>
      </w:pPr>
      <w:r>
        <w:t xml:space="preserve">9. Ce que nous demandons à TIKA</w:t>
      </w:r>
    </w:p>
    <w:p>
      <w:pPr>
        <w:spacing w:after="140" w:line="300"/>
      </w:pPr>
      <w:r>
        <w:t xml:space="preserve">Nous proposons que TIKA accompagne la première étape du programme en prenant en charge le coût ponctuel du pilote, ainsi que 12 à 24 mois d'hébergement, de maintenance et de support après la mise en service. Ce délai permettra aux CAEF de mettre en place un financement durable. Nous souhaitons convenir par écrit des points suivants.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tblHeader/>
        </w:trPr>
        <w:tc>
          <w:tcPr>
            <w:tcW w:type="dxa" w:w="2313"/>
            <w:tcBorders>
              <w:top w:val="single" w:color="E0D8CA" w:sz="4"/>
              <w:left w:val="single" w:color="E0D8CA" w:sz="4"/>
              <w:bottom w:val="single" w:color="E0D8CA" w:sz="4"/>
              <w:right w:val="single" w:color="E0D8CA" w:sz="4"/>
            </w:tcBorders>
            <w:shd w:fill="1C2A33" w:color="auto" w:val="clear"/>
            <w:tcMar>
              <w:top w:type="dxa" w:w="80"/>
              <w:left w:type="dxa" w:w="120"/>
              <w:bottom w:type="dxa" w:w="80"/>
              <w:right w:type="dxa" w:w="120"/>
            </w:tcMar>
          </w:tcPr>
          <w:p>
            <w:pPr>
              <w:spacing w:after="0" w:line="270"/>
            </w:pPr>
            <w:r>
              <w:rPr>
                <w:b/>
                <w:bCs/>
                <w:color w:val="FFFFFF"/>
              </w:rPr>
              <w:t xml:space="preserve">Volet</w:t>
            </w:r>
          </w:p>
        </w:tc>
        <w:tc>
          <w:tcPr>
            <w:tcW w:type="dxa" w:w="3662"/>
            <w:tcBorders>
              <w:top w:val="single" w:color="E0D8CA" w:sz="4"/>
              <w:left w:val="single" w:color="E0D8CA" w:sz="4"/>
              <w:bottom w:val="single" w:color="E0D8CA" w:sz="4"/>
              <w:right w:val="single" w:color="E0D8CA" w:sz="4"/>
            </w:tcBorders>
            <w:shd w:fill="1C2A33" w:color="auto" w:val="clear"/>
            <w:tcMar>
              <w:top w:type="dxa" w:w="80"/>
              <w:left w:type="dxa" w:w="120"/>
              <w:bottom w:type="dxa" w:w="80"/>
              <w:right w:type="dxa" w:w="120"/>
            </w:tcMar>
          </w:tcPr>
          <w:p>
            <w:pPr>
              <w:spacing w:after="0" w:line="270"/>
            </w:pPr>
            <w:r>
              <w:rPr>
                <w:b/>
                <w:bCs/>
                <w:color w:val="FFFFFF"/>
              </w:rPr>
              <w:t xml:space="preserve">Ce que nous proposons</w:t>
            </w:r>
          </w:p>
        </w:tc>
        <w:tc>
          <w:tcPr>
            <w:tcW w:type="dxa" w:w="3663"/>
            <w:tcBorders>
              <w:top w:val="single" w:color="E0D8CA" w:sz="4"/>
              <w:left w:val="single" w:color="E0D8CA" w:sz="4"/>
              <w:bottom w:val="single" w:color="E0D8CA" w:sz="4"/>
              <w:right w:val="single" w:color="E0D8CA" w:sz="4"/>
            </w:tcBorders>
            <w:shd w:fill="1C2A33" w:color="auto" w:val="clear"/>
            <w:tcMar>
              <w:top w:type="dxa" w:w="80"/>
              <w:left w:type="dxa" w:w="120"/>
              <w:bottom w:type="dxa" w:w="80"/>
              <w:right w:type="dxa" w:w="120"/>
            </w:tcMar>
          </w:tcPr>
          <w:p>
            <w:pPr>
              <w:spacing w:after="0" w:line="270"/>
            </w:pPr>
            <w:r>
              <w:rPr>
                <w:b/>
                <w:bCs/>
                <w:color w:val="FFFFFF"/>
              </w:rPr>
              <w:t xml:space="preserve">Ce qu'il faut préciser</w:t>
            </w:r>
          </w:p>
        </w:tc>
      </w:tr>
      <w:tr>
        <w:tc>
          <w:tcPr>
            <w:tcW w:type="dxa" w:w="2313"/>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rPr>
                <w:b/>
                <w:bCs/>
              </w:rPr>
              <w:t xml:space="preserve">Développement</w:t>
            </w:r>
          </w:p>
        </w:tc>
        <w:tc>
          <w:tcPr>
            <w:tcW w:type="dxa" w:w="3662"/>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Réalisation du premier lot : socle, RSE, boutique et clôture mensuelle</w:t>
            </w:r>
          </w:p>
        </w:tc>
        <w:tc>
          <w:tcPr>
            <w:tcW w:type="dxa" w:w="3663"/>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Qui réalise, avec quelle équipe locale associée</w:t>
            </w:r>
          </w:p>
        </w:tc>
      </w:tr>
      <w:tr>
        <w:tc>
          <w:tcPr>
            <w:tcW w:type="dxa" w:w="2313"/>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rPr>
                <w:b/>
                <w:bCs/>
              </w:rPr>
              <w:t xml:space="preserve">Hébergement initial</w:t>
            </w:r>
          </w:p>
        </w:tc>
        <w:tc>
          <w:tcPr>
            <w:tcW w:type="dxa" w:w="3662"/>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t xml:space="preserve">Prise en charge pendant 12 à 24 mois</w:t>
            </w:r>
          </w:p>
        </w:tc>
        <w:tc>
          <w:tcPr>
            <w:tcW w:type="dxa" w:w="3663"/>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t xml:space="preserve">Quel hébergeur, dans quel pays, compatible avec la réglementation sur les données</w:t>
            </w:r>
          </w:p>
        </w:tc>
      </w:tr>
      <w:tr>
        <w:tc>
          <w:tcPr>
            <w:tcW w:type="dxa" w:w="2313"/>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rPr>
                <w:b/>
                <w:bCs/>
              </w:rPr>
              <w:t xml:space="preserve">Équipement</w:t>
            </w:r>
          </w:p>
        </w:tc>
        <w:tc>
          <w:tcPr>
            <w:tcW w:type="dxa" w:w="3662"/>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Matériel du centre pilote</w:t>
            </w:r>
          </w:p>
        </w:tc>
        <w:tc>
          <w:tcPr>
            <w:tcW w:type="dxa" w:w="3663"/>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Quels matériels, en quelle quantité, avec quelle garantie</w:t>
            </w:r>
          </w:p>
        </w:tc>
      </w:tr>
      <w:tr>
        <w:tc>
          <w:tcPr>
            <w:tcW w:type="dxa" w:w="2313"/>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rPr>
                <w:b/>
                <w:bCs/>
              </w:rPr>
              <w:t xml:space="preserve">Formation et accompagnement</w:t>
            </w:r>
          </w:p>
        </w:tc>
        <w:tc>
          <w:tcPr>
            <w:tcW w:type="dxa" w:w="3662"/>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t xml:space="preserve">Formation des équipes du centre et transfert de compétences</w:t>
            </w:r>
          </w:p>
        </w:tc>
        <w:tc>
          <w:tcPr>
            <w:tcW w:type="dxa" w:w="3663"/>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t xml:space="preserve">Combien de jours sur site, pour quels publics</w:t>
            </w:r>
          </w:p>
        </w:tc>
      </w:tr>
      <w:tr>
        <w:tc>
          <w:tcPr>
            <w:tcW w:type="dxa" w:w="2313"/>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rPr>
                <w:b/>
                <w:bCs/>
              </w:rPr>
              <w:t xml:space="preserve">Maintenance et support</w:t>
            </w:r>
          </w:p>
        </w:tc>
        <w:tc>
          <w:tcPr>
            <w:tcW w:type="dxa" w:w="3662"/>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Prise en charge pendant 12 à 24 mois</w:t>
            </w:r>
          </w:p>
        </w:tc>
        <w:tc>
          <w:tcPr>
            <w:tcW w:type="dxa" w:w="3663"/>
            <w:tcBorders>
              <w:top w:val="single" w:color="E0D8CA" w:sz="4"/>
              <w:left w:val="single" w:color="E0D8CA" w:sz="4"/>
              <w:bottom w:val="single" w:color="E0D8CA" w:sz="4"/>
              <w:right w:val="single" w:color="E0D8CA" w:sz="4"/>
            </w:tcBorders>
            <w:tcMar>
              <w:top w:type="dxa" w:w="80"/>
              <w:left w:type="dxa" w:w="120"/>
              <w:bottom w:type="dxa" w:w="80"/>
              <w:right w:type="dxa" w:w="120"/>
            </w:tcMar>
          </w:tcPr>
          <w:p>
            <w:pPr>
              <w:spacing w:after="0" w:line="270"/>
            </w:pPr>
            <w:r>
              <w:t xml:space="preserve">Quelle durée, quels délais de prise en charge des incidents</w:t>
            </w:r>
          </w:p>
        </w:tc>
      </w:tr>
      <w:tr>
        <w:tc>
          <w:tcPr>
            <w:tcW w:type="dxa" w:w="2313"/>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rPr>
                <w:b/>
                <w:bCs/>
              </w:rPr>
              <w:t xml:space="preserve">Propriété et sortie</w:t>
            </w:r>
          </w:p>
        </w:tc>
        <w:tc>
          <w:tcPr>
            <w:tcW w:type="dxa" w:w="3662"/>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t xml:space="preserve">Code, documentation et données aux CAEF</w:t>
            </w:r>
          </w:p>
        </w:tc>
        <w:tc>
          <w:tcPr>
            <w:tcW w:type="dxa" w:w="3663"/>
            <w:tcBorders>
              <w:top w:val="single" w:color="E0D8CA" w:sz="4"/>
              <w:left w:val="single" w:color="E0D8CA" w:sz="4"/>
              <w:bottom w:val="single" w:color="E0D8CA" w:sz="4"/>
              <w:right w:val="single" w:color="E0D8CA" w:sz="4"/>
            </w:tcBorders>
            <w:shd w:fill="F6F2EA" w:color="auto" w:val="clear"/>
            <w:tcMar>
              <w:top w:type="dxa" w:w="80"/>
              <w:left w:type="dxa" w:w="120"/>
              <w:bottom w:type="dxa" w:w="80"/>
              <w:right w:type="dxa" w:w="120"/>
            </w:tcMar>
          </w:tcPr>
          <w:p>
            <w:pPr>
              <w:spacing w:after="0" w:line="270"/>
            </w:pPr>
            <w:r>
              <w:t xml:space="preserve">Passation, export des données et changement d'hébergeur à la fin de la prise en charge</w:t>
            </w:r>
          </w:p>
        </w:tc>
      </w:tr>
    </w:tbl>
    <w:p>
      <w:pPr>
        <w:spacing w:after="120"/>
      </w:pPr>
    </w:p>
    <w:p>
      <w:pPr>
        <w:pStyle w:val="Heading1"/>
      </w:pPr>
      <w:r>
        <w:t xml:space="preserve">10. Nos engagements</w:t>
      </w:r>
    </w:p>
    <w:p>
      <w:pPr>
        <w:spacing w:after="140" w:line="300"/>
      </w:pPr>
      <w:r>
        <w:t xml:space="preserve">Le programme reste la propriété des CAEF et doit durer au-delà de la prise en charge de TIKA. Nous nous engageons sur six points.</w:t>
      </w:r>
    </w:p>
    <w:p>
      <w:pPr>
        <w:pStyle w:val="ListParagraph"/>
        <w:numPr>
          <w:ilvl w:val="0"/>
          <w:numId w:val="2"/>
        </w:numPr>
        <w:spacing w:after="80" w:line="290"/>
      </w:pPr>
      <w:r>
        <w:rPr>
          <w:b/>
          <w:bCs/>
        </w:rPr>
        <w:t xml:space="preserve">Propriété des CAEF. </w:t>
      </w:r>
      <w:r>
        <w:t xml:space="preserve">Code source, documentation et données appartiennent aux CAEF dès la livraison.</w:t>
      </w:r>
    </w:p>
    <w:p>
      <w:pPr>
        <w:pStyle w:val="ListParagraph"/>
        <w:numPr>
          <w:ilvl w:val="0"/>
          <w:numId w:val="2"/>
        </w:numPr>
        <w:spacing w:after="80" w:line="290"/>
      </w:pPr>
      <w:r>
        <w:rPr>
          <w:b/>
          <w:bCs/>
        </w:rPr>
        <w:t xml:space="preserve">Aucune dépendance. </w:t>
      </w:r>
      <w:r>
        <w:t xml:space="preserve">Composants open source, export complet des données, hébergeur remplaçable sans réécriture.</w:t>
      </w:r>
    </w:p>
    <w:p>
      <w:pPr>
        <w:pStyle w:val="ListParagraph"/>
        <w:numPr>
          <w:ilvl w:val="0"/>
          <w:numId w:val="2"/>
        </w:numPr>
        <w:spacing w:after="80" w:line="290"/>
      </w:pPr>
      <w:r>
        <w:rPr>
          <w:b/>
          <w:bCs/>
        </w:rPr>
        <w:t xml:space="preserve">Compétences transférées. </w:t>
      </w:r>
      <w:r>
        <w:t xml:space="preserve">Une équipe désignée par les CAEF est formée pendant le pilote.</w:t>
      </w:r>
    </w:p>
    <w:p>
      <w:pPr>
        <w:pStyle w:val="ListParagraph"/>
        <w:numPr>
          <w:ilvl w:val="0"/>
          <w:numId w:val="2"/>
        </w:numPr>
        <w:spacing w:after="80" w:line="290"/>
      </w:pPr>
      <w:r>
        <w:rPr>
          <w:b/>
          <w:bCs/>
        </w:rPr>
        <w:t xml:space="preserve">Relais financier. </w:t>
      </w:r>
      <w:r>
        <w:t xml:space="preserve">Un financeur des coûts récurrents est identifié avant la fin du pilote : budget de l'État, Direction Générale, partenaires techniques et financiers ou mécénat d'entreprises.</w:t>
      </w:r>
    </w:p>
    <w:p>
      <w:pPr>
        <w:pStyle w:val="ListParagraph"/>
        <w:numPr>
          <w:ilvl w:val="0"/>
          <w:numId w:val="2"/>
        </w:numPr>
        <w:spacing w:after="80" w:line="290"/>
      </w:pPr>
      <w:r>
        <w:rPr>
          <w:b/>
          <w:bCs/>
        </w:rPr>
        <w:t xml:space="preserve">Productrices protégées. </w:t>
      </w:r>
      <w:r>
        <w:t xml:space="preserve">Aucun prélèvement sur leurs recettes pour financer la plateforme.</w:t>
      </w:r>
    </w:p>
    <w:p>
      <w:pPr>
        <w:pStyle w:val="ListParagraph"/>
        <w:numPr>
          <w:ilvl w:val="0"/>
          <w:numId w:val="2"/>
        </w:numPr>
        <w:spacing w:after="80" w:line="290"/>
      </w:pPr>
      <w:r>
        <w:rPr>
          <w:b/>
          <w:bCs/>
        </w:rPr>
        <w:t xml:space="preserve">Résultats rendus à TIKA. </w:t>
      </w:r>
      <w:r>
        <w:t xml:space="preserve">Des rapports chiffrés et justifiés sur l'usage de la contribution, produits par l'outil lui-même.</w:t>
      </w:r>
    </w:p>
    <w:p>
      <w:pPr>
        <w:spacing w:after="120"/>
      </w:pPr>
    </w:p>
    <w:p>
      <w:pPr>
        <w:pStyle w:val="Heading1"/>
      </w:pPr>
      <w:r>
        <w:t xml:space="preserve">11. Critères de succès du pilote</w:t>
      </w:r>
    </w:p>
    <w:p>
      <w:pPr>
        <w:spacing w:after="140" w:line="300"/>
      </w:pPr>
      <w:r>
        <w:t xml:space="preserve">Le pilote sera jugé réussi si les six conditions suivantes sont remplies à son terme.</w:t>
      </w:r>
    </w:p>
    <w:p>
      <w:pPr>
        <w:pStyle w:val="ListParagraph"/>
        <w:numPr>
          <w:ilvl w:val="0"/>
          <w:numId w:val="4"/>
        </w:numPr>
        <w:spacing w:after="80" w:line="290"/>
      </w:pPr>
      <w:r>
        <w:t xml:space="preserve">Le centre enregistre candidatures, sessions, présences, ventes et caisse dans l'outil, sans registre papier parallèle.</w:t>
      </w:r>
    </w:p>
    <w:p>
      <w:pPr>
        <w:pStyle w:val="ListParagraph"/>
        <w:numPr>
          <w:ilvl w:val="0"/>
          <w:numId w:val="4"/>
        </w:numPr>
        <w:spacing w:after="80" w:line="290"/>
      </w:pPr>
      <w:r>
        <w:t xml:space="preserve">Chaque mois est clôturé et rapproché : la comptable et la responsable partent des mêmes chiffres.</w:t>
      </w:r>
    </w:p>
    <w:p>
      <w:pPr>
        <w:pStyle w:val="ListParagraph"/>
        <w:numPr>
          <w:ilvl w:val="0"/>
          <w:numId w:val="4"/>
        </w:numPr>
        <w:spacing w:after="80" w:line="290"/>
      </w:pPr>
      <w:r>
        <w:t xml:space="preserve">Au moins un partenariat réel est suivi jusqu'à la contribution reçue et justifiée.</w:t>
      </w:r>
    </w:p>
    <w:p>
      <w:pPr>
        <w:pStyle w:val="ListParagraph"/>
        <w:numPr>
          <w:ilvl w:val="0"/>
          <w:numId w:val="4"/>
        </w:numPr>
        <w:spacing w:after="80" w:line="290"/>
      </w:pPr>
      <w:r>
        <w:t xml:space="preserve">La Direction Générale consulte un tableau de bord dont chaque indicateur renvoie à ses sources.</w:t>
      </w:r>
    </w:p>
    <w:p>
      <w:pPr>
        <w:pStyle w:val="ListParagraph"/>
        <w:numPr>
          <w:ilvl w:val="0"/>
          <w:numId w:val="4"/>
        </w:numPr>
        <w:spacing w:after="80" w:line="290"/>
      </w:pPr>
      <w:r>
        <w:t xml:space="preserve">La recette de sécurité ne relève aucun accès non autorisé, et une restauration de sauvegarde a réussi.</w:t>
      </w:r>
    </w:p>
    <w:p>
      <w:pPr>
        <w:pStyle w:val="ListParagraph"/>
        <w:numPr>
          <w:ilvl w:val="0"/>
          <w:numId w:val="4"/>
        </w:numPr>
        <w:spacing w:after="80" w:line="290"/>
      </w:pPr>
      <w:r>
        <w:t xml:space="preserve">Les cibles d'adoption et de qualité des données, fixées pendant le diagnostic, sont atteintes ou leurs écarts expliqués.</w:t>
      </w:r>
    </w:p>
    <w:p>
      <w:pPr>
        <w:spacing w:after="140" w:before="120"/>
      </w:pPr>
      <w:r>
        <w:t xml:space="preserve">Le bilan compare aussi les coûts réels d'exploitation au budget de référence, avant toute extension.</w:t>
      </w:r>
    </w:p>
    <w:p>
      <w:pPr>
        <w:pStyle w:val="Heading1"/>
      </w:pPr>
      <w:r>
        <w:t xml:space="preserve">12. Prochaines étapes et contact</w:t>
      </w:r>
    </w:p>
    <w:p>
      <w:pPr>
        <w:spacing w:after="140" w:line="300"/>
      </w:pPr>
      <w:r>
        <w:t xml:space="preserve">Nous attendons de TIKA un accord de principe, puis une réponse écrite sur les volets de la section 9.</w:t>
      </w:r>
    </w:p>
    <w:p>
      <w:pPr>
        <w:pStyle w:val="ListParagraph"/>
        <w:numPr>
          <w:ilvl w:val="0"/>
          <w:numId w:val="5"/>
        </w:numPr>
        <w:spacing w:after="80" w:line="290"/>
      </w:pPr>
      <w:r>
        <w:rPr>
          <w:b/>
          <w:bCs/>
        </w:rPr>
        <w:t xml:space="preserve">TIKA confirme </w:t>
      </w:r>
      <w:r>
        <w:t xml:space="preserve">par écrit ce qu'elle prend en charge et pour combien de temps.</w:t>
      </w:r>
    </w:p>
    <w:p>
      <w:pPr>
        <w:pStyle w:val="ListParagraph"/>
        <w:numPr>
          <w:ilvl w:val="0"/>
          <w:numId w:val="5"/>
        </w:numPr>
        <w:spacing w:after="80" w:line="290"/>
      </w:pPr>
      <w:r>
        <w:rPr>
          <w:b/>
          <w:bCs/>
        </w:rPr>
        <w:t xml:space="preserve">La Direction Générale des CAEF valide </w:t>
      </w:r>
      <w:r>
        <w:t xml:space="preserve">le pilote, son périmètre et les rôles.</w:t>
      </w:r>
    </w:p>
    <w:p>
      <w:pPr>
        <w:pStyle w:val="ListParagraph"/>
        <w:numPr>
          <w:ilvl w:val="0"/>
          <w:numId w:val="5"/>
        </w:numPr>
        <w:spacing w:after="80" w:line="290"/>
      </w:pPr>
      <w:r>
        <w:rPr>
          <w:b/>
          <w:bCs/>
        </w:rPr>
        <w:t xml:space="preserve">Deux prestataires chiffrent </w:t>
      </w:r>
      <w:r>
        <w:t xml:space="preserve">le travail, poste par poste.</w:t>
      </w:r>
    </w:p>
    <w:p>
      <w:pPr>
        <w:pStyle w:val="ListParagraph"/>
        <w:numPr>
          <w:ilvl w:val="0"/>
          <w:numId w:val="5"/>
        </w:numPr>
        <w:spacing w:after="80" w:line="290"/>
      </w:pPr>
      <w:r>
        <w:rPr>
          <w:b/>
          <w:bCs/>
        </w:rPr>
        <w:t xml:space="preserve">Le pilote est lancé : </w:t>
      </w:r>
      <w:r>
        <w:t xml:space="preserve">diagnostic du centre de Dixinn, puis développement du premier lot.</w:t>
      </w:r>
    </w:p>
    <w:p>
      <w:pPr>
        <w:spacing w:before="200"/>
      </w:pPr>
      <w:r>
        <w:rPr>
          <w:b/>
          <w:bCs/>
        </w:rPr>
        <w:t xml:space="preserve">Contact : </w:t>
      </w:r>
      <w:r>
        <w:t xml:space="preserve">Boubacar Yarie BANGOURA, Lead Developer Product &amp; Chef de Projet Digital · [téléphone] · [courriel]</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E6A73"/>
        <w:sz w:val="17"/>
        <w:szCs w:val="17"/>
      </w:rPr>
      <w:t xml:space="preserve">Programme CAEF Connect · Proposition à TIKA · page </w:t>
    </w:r>
    <w:r>
      <w:rPr>
        <w:color w:val="5E6A7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A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Georgia" w:cs="Georgia" w:eastAsia="Georgia" w:hAnsi="Georgia"/>
      <w:b/>
      <w:bCs/>
      <w:color w:val="1C2A33"/>
      <w:sz w:val="32"/>
      <w:szCs w:val="32"/>
    </w:rPr>
  </w:style>
  <w:style w:type="paragraph" w:styleId="Heading2">
    <w:name w:val="Heading 2"/>
    <w:basedOn w:val="Normal"/>
    <w:next w:val="Normal"/>
    <w:qFormat/>
    <w:pPr>
      <w:keepNext/>
      <w:spacing w:after="100" w:before="240"/>
      <w:outlineLvl w:val="1"/>
    </w:pPr>
    <w:rPr>
      <w:rFonts w:ascii="Arial" w:cs="Arial" w:eastAsia="Arial" w:hAnsi="Arial"/>
      <w:b/>
      <w:bCs/>
      <w:color w:val="B4502B"/>
      <w:sz w:val="25"/>
      <w:szCs w:val="25"/>
    </w:rPr>
  </w:style>
  <w:style w:type="paragraph" w:styleId="Heading3">
    <w:name w:val="Heading 3"/>
    <w:basedOn w:val="Normal"/>
    <w:next w:val="Normal"/>
    <w:qFormat/>
    <w:pPr>
      <w:keepNext/>
      <w:spacing w:after="80" w:before="200"/>
      <w:outlineLvl w:val="2"/>
    </w:pPr>
    <w:rPr>
      <w:rFonts w:ascii="Arial" w:cs="Arial" w:eastAsia="Arial" w:hAnsi="Arial"/>
      <w:b/>
      <w:bCs/>
      <w:color w:val="1C2A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9eb35d84e5009a6532ba30358347612f8fbffe7.png"/><Relationship Id="rId9" Type="http://schemas.openxmlformats.org/officeDocument/2006/relationships/image" Target="media/099a1a65d204bf4487b6ff15916e3808a7a1e4d7.png"/><Relationship Id="rId10" Type="http://schemas.openxmlformats.org/officeDocument/2006/relationships/image" Target="media/5ef2203a733390caf945fe04f1739f19143fc101.png"/><Relationship Id="rId11" Type="http://schemas.openxmlformats.org/officeDocument/2006/relationships/image" Target="media/37a327aa6771808546b32dd8f89d20c33e3b8c83.png"/><Relationship Id="rId12" Type="http://schemas.openxmlformats.org/officeDocument/2006/relationships/image" Target="media/da7560f15d4857de5c1f160f2bcbc3942357518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Programme CAEF Connect, proposition de partenariat à TIKA</dc:title>
  <dc:creator>CAEF Connect</dc:creator>
  <cp:lastModifiedBy>Un-named</cp:lastModifiedBy>
  <cp:revision>1</cp:revision>
  <dcterms:created xsi:type="dcterms:W3CDTF">2026-10-13T13:40:58.691Z</dcterms:created>
  <dcterms:modified xsi:type="dcterms:W3CDTF">2026-10-13T13:40:58.691Z</dcterms:modified>
</cp:coreProperties>
</file>

<file path=docProps/custom.xml><?xml version="1.0" encoding="utf-8"?>
<Properties xmlns="http://schemas.openxmlformats.org/officeDocument/2006/custom-properties" xmlns:vt="http://schemas.openxmlformats.org/officeDocument/2006/docPropsVTypes"/>
</file>