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KESSLING COUNTY, MICHIGAN</w:t>
      </w:r>
    </w:p>
    <w:p>
      <w:r>
        <w:rPr>
          <w:b w:val="false"/>
          <w:bCs w:val="false"/>
        </w:rPr>
        <w:t xml:space="preserve">Purchasing Division • Department of Facilities Management</w:t>
      </w:r>
      <w:r>
        <w:br/>
        <w:t xml:space="preserve"/>
      </w:r>
      <w:r>
        <w:rPr>
          <w:b w:val="false"/>
          <w:bCs w:val="false"/>
        </w:rPr>
        <w:t xml:space="preserve">County Administration Building, 400 E. Main Street, Ardmore Falls, Michigan 49689</w:t>
      </w:r>
      <w:r>
        <w:br/>
        <w:t xml:space="preserve"/>
      </w:r>
      <w:r>
        <w:rPr>
          <w:b w:val="false"/>
          <w:bCs w:val="false"/>
        </w:rPr>
        <w:t xml:space="preserve">Telephone (231) 555-0148 • purchasing@kesslingcounty.example.org</w:t>
      </w:r>
    </w:p>
    <w:p>
      <w:pPr>
        <w:pStyle w:val="Heading1"/>
      </w:pPr>
      <w:r>
        <w:rPr>
          <w:b w:val="false"/>
          <w:bCs w:val="false"/>
        </w:rPr>
        <w:t xml:space="preserve">REQUEST FOR PROPOSALS – RFP No. 2026-041</w:t>
      </w:r>
      <w:r>
        <w:br/>
        <w:t xml:space="preserve"/>
      </w:r>
      <w:r>
        <w:rPr>
          <w:b w:val="false"/>
          <w:bCs w:val="false"/>
        </w:rPr>
        <w:t xml:space="preserve">JANITORIAL SERVICES FOR COUNTY FACILITIES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off"/>
        </w:trPr>
        <w:tc>
          <w:tcPr>
            <w:gridSpan w:val="1"/>
          </w:tcPr>
          <w:p>
            <w:r>
              <w:rPr>
                <w:b/>
                <w:bCs/>
              </w:rPr>
              <w:t xml:space="preserve">Issue Date</w:t>
            </w:r>
          </w:p>
        </w:tc>
        <w:tc>
          <w:tcPr>
            <w:gridSpan w:val="1"/>
          </w:tcPr>
          <w:p>
            <w:r>
              <w:rPr>
                <w:b w:val="false"/>
                <w:bCs w:val="false"/>
              </w:rPr>
              <w:t xml:space="preserve">Monday, November 2, 2026</w:t>
            </w:r>
          </w:p>
        </w:tc>
      </w:tr>
      <w:tr>
        <w:trPr>
          <w:tblHeader w:val="off"/>
        </w:trPr>
        <w:tc>
          <w:tcPr>
            <w:gridSpan w:val="1"/>
          </w:tcPr>
          <w:p>
            <w:r>
              <w:rPr>
                <w:b/>
                <w:bCs/>
              </w:rPr>
              <w:t xml:space="preserve">Mandatory Pre-Proposal Meeting and Site Tour</w:t>
            </w:r>
          </w:p>
        </w:tc>
        <w:tc>
          <w:tcPr>
            <w:gridSpan w:val="1"/>
          </w:tcPr>
          <w:p>
            <w:r>
              <w:rPr>
                <w:b w:val="false"/>
                <w:bCs w:val="false"/>
              </w:rPr>
              <w:t xml:space="preserve">Tuesday, November 10, 2026, 9:00 a.m., Board of Commissioners Chambers, Administration Building, 400 E. Main Street (tour of outlying sites follows)</w:t>
            </w:r>
          </w:p>
        </w:tc>
      </w:tr>
      <w:tr>
        <w:trPr>
          <w:tblHeader w:val="off"/>
        </w:trPr>
        <w:tc>
          <w:tcPr>
            <w:gridSpan w:val="1"/>
          </w:tcPr>
          <w:p>
            <w:r>
              <w:rPr>
                <w:b/>
                <w:bCs/>
              </w:rPr>
              <w:t xml:space="preserve">Deadline for Written Questions</w:t>
            </w:r>
          </w:p>
        </w:tc>
        <w:tc>
          <w:tcPr>
            <w:gridSpan w:val="1"/>
          </w:tcPr>
          <w:p>
            <w:r>
              <w:rPr>
                <w:b w:val="false"/>
                <w:bCs w:val="false"/>
              </w:rPr>
              <w:t xml:space="preserve">Monday, November 16, 2026, 4:00 p.m.</w:t>
            </w:r>
          </w:p>
        </w:tc>
      </w:tr>
      <w:tr>
        <w:trPr>
          <w:tblHeader w:val="off"/>
        </w:trPr>
        <w:tc>
          <w:tcPr>
            <w:gridSpan w:val="1"/>
          </w:tcPr>
          <w:p>
            <w:r>
              <w:rPr>
                <w:b/>
                <w:bCs/>
              </w:rPr>
              <w:t xml:space="preserve">Final Addendum Issued</w:t>
            </w:r>
          </w:p>
        </w:tc>
        <w:tc>
          <w:tcPr>
            <w:gridSpan w:val="1"/>
          </w:tcPr>
          <w:p>
            <w:r>
              <w:rPr>
                <w:b w:val="false"/>
                <w:bCs w:val="false"/>
              </w:rPr>
              <w:t xml:space="preserve">No later than Friday, November 20, 2026</w:t>
            </w:r>
          </w:p>
        </w:tc>
      </w:tr>
      <w:tr>
        <w:trPr>
          <w:tblHeader w:val="off"/>
        </w:trPr>
        <w:tc>
          <w:tcPr>
            <w:gridSpan w:val="1"/>
          </w:tcPr>
          <w:p>
            <w:r>
              <w:rPr>
                <w:b/>
                <w:bCs/>
              </w:rPr>
              <w:t xml:space="preserve">Proposals Due</w:t>
            </w:r>
          </w:p>
        </w:tc>
        <w:tc>
          <w:tcPr>
            <w:gridSpan w:val="1"/>
          </w:tcPr>
          <w:p>
            <w:r>
              <w:rPr>
                <w:b w:val="false"/>
                <w:bCs w:val="false"/>
              </w:rPr>
              <w:t xml:space="preserve">Tuesday, December 8, 2026, 2:00 p.m. local time</w:t>
            </w:r>
          </w:p>
        </w:tc>
      </w:tr>
      <w:tr>
        <w:trPr>
          <w:tblHeader w:val="off"/>
        </w:trPr>
        <w:tc>
          <w:tcPr>
            <w:gridSpan w:val="1"/>
          </w:tcPr>
          <w:p>
            <w:r>
              <w:rPr>
                <w:b/>
                <w:bCs/>
              </w:rPr>
              <w:t xml:space="preserve">Contact</w:t>
            </w:r>
          </w:p>
        </w:tc>
        <w:tc>
          <w:tcPr>
            <w:gridSpan w:val="1"/>
          </w:tcPr>
          <w:p>
            <w:r>
              <w:rPr>
                <w:b w:val="false"/>
                <w:bCs w:val="false"/>
              </w:rPr>
              <w:t xml:space="preserve">Dana Whitcomb, Purchasing Agent, purchasing@kesslingcounty.example.org</w:t>
            </w:r>
          </w:p>
        </w:tc>
      </w:tr>
    </w:tbl>
    <w:p>
      <w:r>
        <w:rPr>
          <w:b w:val="false"/>
          <w:bCs w:val="false"/>
        </w:rPr>
        <w:t xml:space="preserve">TO WHOM IT MAY CONCERN:</w:t>
      </w:r>
    </w:p>
    <w:p>
      <w:r>
        <w:rPr>
          <w:b w:val="false"/>
          <w:bCs w:val="false"/>
        </w:rPr>
        <w:t xml:space="preserve">Kessling County is requesting proposals from qualified firms to furnish janitorial services at the County buildings and park facilities described in Section 3 of this Request for Proposals (RFP). Service is to be proposed at all of the locations listed, with a separate price for each location on Attachment B. Proposers are required to attend the pre-proposal meeting and site tour; building square footage, service hours and access will be reviewed during the tour. Sealed proposals marked “RFP No. 2026-041 – Janitorial Services” must be delivered to the Purchasing Division, Room 210, Administration Building, by the due date and time above. Late proposals will not be opened.</w:t>
      </w:r>
    </w:p>
    <w:p>
      <w:r>
        <w:rPr>
          <w:b w:val="false"/>
          <w:bCs w:val="false"/>
        </w:rPr>
        <w:t xml:space="preserve">CONTENTS: Section 1 – General Information; Section 2 – Scope of Services; Section 3 – Description of Facilities / Locations; Section 4 – Proposal Requirements, Evaluation and Contract Terms; Attachment A – Acknowledgment of Addenda; Attachment B – Price Proposal Form.</w:t>
      </w:r>
    </w:p>
    <w:p>
      <w:pPr>
        <w:pStyle w:val="Heading2"/>
      </w:pPr>
      <w:r>
        <w:rPr>
          <w:b w:val="false"/>
          <w:bCs w:val="false"/>
        </w:rPr>
        <w:t xml:space="preserve">SECTION 1 – GENERAL INFORMATION</w:t>
      </w:r>
    </w:p>
    <w:p>
      <w:r>
        <w:rPr>
          <w:b/>
          <w:bCs/>
        </w:rPr>
        <w:t xml:space="preserve">1.1 Purpose.</w:t>
      </w:r>
      <w:r>
        <w:rPr>
          <w:b w:val="false"/>
          <w:bCs w:val="false"/>
        </w:rPr>
        <w:t xml:space="preserve"> It is Kessling County’s intent to contract professional cleaning services on an annual basis for the County facilities described in Section 3, Description of Facilities / Locations. The Contractor shall furnish all labor, supervision, equipment, cleaning chemicals and materials necessary to perform the services described in this RFP, except the supplies the County furnishes under Section 2.1.</w:t>
      </w:r>
    </w:p>
    <w:p>
      <w:r>
        <w:rPr>
          <w:b/>
          <w:bCs/>
        </w:rPr>
        <w:t xml:space="preserve">1.2 Background.</w:t>
      </w:r>
      <w:r>
        <w:rPr>
          <w:b w:val="false"/>
          <w:bCs w:val="false"/>
        </w:rPr>
        <w:t xml:space="preserve"> Kessling County (2020 population 63,912) is governed by a seven-member Board of Commissioners. The Department of Facilities Management maintains seventeen (17) County buildings totaling approximately 480,000 square feet, and the Parks and Recreation Department operates four (4) park buildings that are included in this RFP. Building maintenance, grounds maintenance and snow removal are performed by County staff and are not part of this RFP.</w:t>
      </w:r>
    </w:p>
    <w:p>
      <w:r>
        <w:rPr>
          <w:b/>
          <w:bCs/>
        </w:rPr>
        <w:t xml:space="preserve">1.3 Contract Term.</w:t>
      </w:r>
      <w:r>
        <w:rPr>
          <w:b w:val="false"/>
          <w:bCs w:val="false"/>
        </w:rPr>
        <w:t xml:space="preserve"> The initial term of the contract shall be three (3) years, from February 1, 2027 through January 31, 2030, with the option of two (2) additional one-year extensions upon mutual written agreement. Prices shall remain firm for the first contract year. Price adjustments for the second and later years shall not exceed the change in the Consumer Price Index for All Urban Consumers (CPI-U), Midwest Region, for the preceding twelve months, and must be requested in writing at least sixty (60) days before the contract anniversary date.</w:t>
      </w:r>
    </w:p>
    <w:p>
      <w:r>
        <w:rPr>
          <w:b/>
          <w:bCs/>
        </w:rPr>
        <w:t xml:space="preserve">1.4 Pre-Proposal Meeting and Site Tour.</w:t>
      </w:r>
      <w:r>
        <w:rPr>
          <w:b w:val="false"/>
          <w:bCs w:val="false"/>
        </w:rPr>
        <w:t xml:space="preserve"> A mandatory pre-proposal meeting will be held at the date and time on the cover page. The tour will visit the Downtown Campus and the Justice Complex; Proposers may schedule visits to the outlying and park sites through the Purchasing Agent until November 13, 2026. Proposals will not be accepted from firms that did not attend.</w:t>
      </w:r>
    </w:p>
    <w:p>
      <w:r>
        <w:rPr>
          <w:b/>
          <w:bCs/>
        </w:rPr>
        <w:t xml:space="preserve">1.5 Questions and Addenda.</w:t>
      </w:r>
      <w:r>
        <w:rPr>
          <w:b w:val="false"/>
          <w:bCs w:val="false"/>
        </w:rPr>
        <w:t xml:space="preserve"> Questions must be submitted in writing by e-mail to the Purchasing Agent by the deadline on the cover page. Answers, and any changes to this RFP, will be issued only by written addendum posted on the County’s bid page. Proposers shall acknowledge each addendum on Attachment A. Oral statements by County staff are not binding.</w:t>
      </w:r>
    </w:p>
    <w:p>
      <w:r>
        <w:rPr>
          <w:b/>
          <w:bCs/>
        </w:rPr>
        <w:t xml:space="preserve">1.6 Award.</w:t>
      </w:r>
      <w:r>
        <w:rPr>
          <w:b w:val="false"/>
          <w:bCs w:val="false"/>
        </w:rPr>
        <w:t xml:space="preserve"> The County intends to award one contract for all sites but reserves the right to award by site group (Downtown Campus, Justice Complex, Outlying Facilities, Parks) or to more than one Contractor, to reject any or all proposals, and to waive informalities.</w:t>
      </w:r>
    </w:p>
    <w:p>
      <w:r>
        <w:rPr>
          <w:b/>
          <w:bCs/>
        </w:rPr>
        <w:t xml:space="preserve">1.7 Additions and Deletions of Buildings.</w:t>
      </w:r>
      <w:r>
        <w:rPr>
          <w:b w:val="false"/>
          <w:bCs w:val="false"/>
        </w:rPr>
        <w:t xml:space="preserve"> The County may add or delete buildings, or portions of buildings, at any time during the contract term. Additions and deletions will be priced at the per-square-foot monthly rate stated on Attachment B, Line C-4, unless the County and the Contractor agree on a separate price in writing. The County will give the Contractor at least fifteen (15) days’ notice.</w:t>
      </w:r>
    </w:p>
    <w:p>
      <w:pPr>
        <w:pStyle w:val="Heading2"/>
      </w:pPr>
      <w:r>
        <w:rPr>
          <w:b w:val="false"/>
          <w:bCs w:val="false"/>
        </w:rPr>
        <w:t xml:space="preserve">SECTION 2 – SCOPE OF SERVICES</w:t>
      </w:r>
    </w:p>
    <w:p>
      <w:r>
        <w:rPr>
          <w:b/>
          <w:bCs/>
        </w:rPr>
        <w:t xml:space="preserve">2.1 Supplies.</w:t>
      </w:r>
      <w:r>
        <w:rPr>
          <w:b w:val="false"/>
          <w:bCs w:val="false"/>
        </w:rPr>
        <w:t xml:space="preserve"> The Contractor shall furnish all cleaning chemicals, floor finish, equipment, mops, vacuum bags and other consumables. The County will furnish toilet tissue, paper towels, hand soap, seat covers and can liners in the specified sizes. All chemicals shall be Green Seal certified or equivalent, and Safety Data Sheets shall be kept in each janitor closet.</w:t>
      </w:r>
    </w:p>
    <w:p>
      <w:r>
        <w:rPr>
          <w:b/>
          <w:bCs/>
        </w:rPr>
        <w:t xml:space="preserve">2.2 Hours of Service.</w:t>
      </w:r>
      <w:r>
        <w:rPr>
          <w:b w:val="false"/>
          <w:bCs w:val="false"/>
        </w:rPr>
        <w:t xml:space="preserve"> Unless otherwise specified in Section 3, services shall be performed five (5) evenings per week, Monday through Friday, between the hours of 5:30 p.m. and 11:30 p.m. Work shall not begin in occupied offices before the occupants leave. Days and hours that differ for a particular location are stated in that location’s description in Section 3.</w:t>
      </w:r>
    </w:p>
    <w:p>
      <w:r>
        <w:rPr>
          <w:b/>
          <w:bCs/>
        </w:rPr>
        <w:t xml:space="preserve">2.3 Holidays.</w:t>
      </w:r>
      <w:r>
        <w:rPr>
          <w:b w:val="false"/>
          <w:bCs w:val="false"/>
        </w:rPr>
        <w:t xml:space="preserve"> When County buildings are closed for the holidays listed below, no janitorial services are required, except that services are still required at those locations noted as open (Sites 7, 18, 19 and 20). County holidays are: New Year’s Day; Martin Luther King, Jr. Day; Presidents’ Day; Memorial Day; Independence Day; Labor Day; Veterans Day; Thanksgiving Day and the day after; Christmas Eve; Christmas Day; and New Year’s Eve. No reduction in the monthly price will be made for holidays.</w:t>
      </w:r>
    </w:p>
    <w:p>
      <w:r>
        <w:rPr>
          <w:b/>
          <w:bCs/>
        </w:rPr>
        <w:t xml:space="preserve">2.4 Security and Background Checks.</w:t>
      </w:r>
      <w:r>
        <w:rPr>
          <w:b w:val="false"/>
          <w:bCs w:val="false"/>
        </w:rPr>
        <w:t xml:space="preserve"> All Contractor employees shall pass a criminal history check through the Michigan State Police ICHAT system before working in any County building. Employees assigned to the Justice Center, Law Enforcement Center and Jail (Sites 6, 7 and 8) shall also be cleared by the Sheriff’s Office through the Law Enforcement Information Network (LEIN), shall complete CJIS security awareness training, and shall wear County-issued identification badges at all times. Keys and access cards are issued by Facilities Management and remain County property; lost keys will be re-cored at the Contractor’s expense.</w:t>
      </w:r>
    </w:p>
    <w:p>
      <w:r>
        <w:rPr>
          <w:b/>
          <w:bCs/>
        </w:rPr>
        <w:t xml:space="preserve">2.5 Minimum Cleaning Tasks.</w:t>
      </w:r>
      <w:r>
        <w:rPr>
          <w:b w:val="false"/>
          <w:bCs w:val="false"/>
        </w:rPr>
        <w:t xml:space="preserve"> The following minimum tasks apply at every location. “Each service visit” means each day the location is scheduled for service in Section 3. Locations serviced fewer than five days per week receive the weekly tasks on the first scheduled day of each week.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gridSpan w:val="1"/>
          </w:tcPr>
          <w:p>
            <w:r>
              <w:rPr>
                <w:b/>
                <w:bCs/>
              </w:rPr>
              <w:t xml:space="preserve">Task</w:t>
            </w:r>
          </w:p>
        </w:tc>
        <w:tc>
          <w:tcPr>
            <w:gridSpan w:val="1"/>
          </w:tcPr>
          <w:p>
            <w:r>
              <w:rPr>
                <w:b/>
                <w:bCs/>
              </w:rPr>
              <w:t xml:space="preserve">Frequency</w:t>
            </w:r>
          </w:p>
        </w:tc>
      </w:tr>
      <w:tr>
        <w:trPr>
          <w:tblHeader w:val="off"/>
        </w:trPr>
        <w:tc>
          <w:tcPr>
            <w:gridSpan w:val="1"/>
          </w:tcPr>
          <w:p>
            <w:r>
              <w:rPr>
                <w:b w:val="false"/>
                <w:bCs w:val="false"/>
              </w:rPr>
              <w:t xml:space="preserve">Empty waste and recycling containers; replace liners as needed</w:t>
            </w:r>
          </w:p>
        </w:tc>
        <w:tc>
          <w:tcPr>
            <w:gridSpan w:val="1"/>
          </w:tcPr>
          <w:p>
            <w:r>
              <w:rPr>
                <w:b w:val="false"/>
                <w:bCs w:val="false"/>
              </w:rPr>
              <w:t xml:space="preserve">Each service visit</w:t>
            </w:r>
          </w:p>
        </w:tc>
      </w:tr>
      <w:tr>
        <w:trPr>
          <w:tblHeader w:val="off"/>
        </w:trPr>
        <w:tc>
          <w:tcPr>
            <w:gridSpan w:val="1"/>
          </w:tcPr>
          <w:p>
            <w:r>
              <w:rPr>
                <w:b w:val="false"/>
                <w:bCs w:val="false"/>
              </w:rPr>
              <w:t xml:space="preserve">Clean and disinfect restrooms, fixtures, partitions and floors; restock paper and soap</w:t>
            </w:r>
          </w:p>
        </w:tc>
        <w:tc>
          <w:tcPr>
            <w:gridSpan w:val="1"/>
          </w:tcPr>
          <w:p>
            <w:r>
              <w:rPr>
                <w:b w:val="false"/>
                <w:bCs w:val="false"/>
              </w:rPr>
              <w:t xml:space="preserve">Each service visit</w:t>
            </w:r>
          </w:p>
        </w:tc>
      </w:tr>
      <w:tr>
        <w:trPr>
          <w:tblHeader w:val="off"/>
        </w:trPr>
        <w:tc>
          <w:tcPr>
            <w:gridSpan w:val="1"/>
          </w:tcPr>
          <w:p>
            <w:r>
              <w:rPr>
                <w:b w:val="false"/>
                <w:bCs w:val="false"/>
              </w:rPr>
              <w:t xml:space="preserve">Vacuum carpeted traffic lanes and entry mats; spot vacuum offices</w:t>
            </w:r>
          </w:p>
        </w:tc>
        <w:tc>
          <w:tcPr>
            <w:gridSpan w:val="1"/>
          </w:tcPr>
          <w:p>
            <w:r>
              <w:rPr>
                <w:b w:val="false"/>
                <w:bCs w:val="false"/>
              </w:rPr>
              <w:t xml:space="preserve">Each service visit</w:t>
            </w:r>
          </w:p>
        </w:tc>
      </w:tr>
      <w:tr>
        <w:trPr>
          <w:tblHeader w:val="off"/>
        </w:trPr>
        <w:tc>
          <w:tcPr>
            <w:gridSpan w:val="1"/>
          </w:tcPr>
          <w:p>
            <w:r>
              <w:rPr>
                <w:b w:val="false"/>
                <w:bCs w:val="false"/>
              </w:rPr>
              <w:t xml:space="preserve">Dust mop and damp mop hard-surface floors</w:t>
            </w:r>
          </w:p>
        </w:tc>
        <w:tc>
          <w:tcPr>
            <w:gridSpan w:val="1"/>
          </w:tcPr>
          <w:p>
            <w:r>
              <w:rPr>
                <w:b w:val="false"/>
                <w:bCs w:val="false"/>
              </w:rPr>
              <w:t xml:space="preserve">Each service visit</w:t>
            </w:r>
          </w:p>
        </w:tc>
      </w:tr>
      <w:tr>
        <w:trPr>
          <w:tblHeader w:val="off"/>
        </w:trPr>
        <w:tc>
          <w:tcPr>
            <w:gridSpan w:val="1"/>
          </w:tcPr>
          <w:p>
            <w:r>
              <w:rPr>
                <w:b w:val="false"/>
                <w:bCs w:val="false"/>
              </w:rPr>
              <w:t xml:space="preserve">Clean entrance glass, drinking fountains and break room counters and sinks</w:t>
            </w:r>
          </w:p>
        </w:tc>
        <w:tc>
          <w:tcPr>
            <w:gridSpan w:val="1"/>
          </w:tcPr>
          <w:p>
            <w:r>
              <w:rPr>
                <w:b w:val="false"/>
                <w:bCs w:val="false"/>
              </w:rPr>
              <w:t xml:space="preserve">Each service visit</w:t>
            </w:r>
          </w:p>
        </w:tc>
      </w:tr>
      <w:tr>
        <w:trPr>
          <w:tblHeader w:val="off"/>
        </w:trPr>
        <w:tc>
          <w:tcPr>
            <w:gridSpan w:val="1"/>
          </w:tcPr>
          <w:p>
            <w:r>
              <w:rPr>
                <w:b w:val="false"/>
                <w:bCs w:val="false"/>
              </w:rPr>
              <w:t xml:space="preserve">Courtrooms: dust benches, counsel tables, jury box rails and gallery seating</w:t>
            </w:r>
          </w:p>
        </w:tc>
        <w:tc>
          <w:tcPr>
            <w:gridSpan w:val="1"/>
          </w:tcPr>
          <w:p>
            <w:r>
              <w:rPr>
                <w:b w:val="false"/>
                <w:bCs w:val="false"/>
              </w:rPr>
              <w:t xml:space="preserve">Each service visit</w:t>
            </w:r>
          </w:p>
        </w:tc>
      </w:tr>
      <w:tr>
        <w:trPr>
          <w:tblHeader w:val="off"/>
        </w:trPr>
        <w:tc>
          <w:tcPr>
            <w:gridSpan w:val="1"/>
          </w:tcPr>
          <w:p>
            <w:r>
              <w:rPr>
                <w:b w:val="false"/>
                <w:bCs w:val="false"/>
              </w:rPr>
              <w:t xml:space="preserve">Vacuum all carpet edge to edge, including under desks where accessible</w:t>
            </w:r>
          </w:p>
        </w:tc>
        <w:tc>
          <w:tcPr>
            <w:gridSpan w:val="1"/>
          </w:tcPr>
          <w:p>
            <w:r>
              <w:rPr>
                <w:b w:val="false"/>
                <w:bCs w:val="false"/>
              </w:rPr>
              <w:t xml:space="preserve">Weekly</w:t>
            </w:r>
          </w:p>
        </w:tc>
      </w:tr>
      <w:tr>
        <w:trPr>
          <w:tblHeader w:val="off"/>
        </w:trPr>
        <w:tc>
          <w:tcPr>
            <w:gridSpan w:val="1"/>
          </w:tcPr>
          <w:p>
            <w:r>
              <w:rPr>
                <w:b w:val="false"/>
                <w:bCs w:val="false"/>
              </w:rPr>
              <w:t xml:space="preserve">High and low dusting (vents, ledges, blinds, baseboards)</w:t>
            </w:r>
          </w:p>
        </w:tc>
        <w:tc>
          <w:tcPr>
            <w:gridSpan w:val="1"/>
          </w:tcPr>
          <w:p>
            <w:r>
              <w:rPr>
                <w:b w:val="false"/>
                <w:bCs w:val="false"/>
              </w:rPr>
              <w:t xml:space="preserve">Monthly</w:t>
            </w:r>
          </w:p>
        </w:tc>
      </w:tr>
      <w:tr>
        <w:trPr>
          <w:tblHeader w:val="off"/>
        </w:trPr>
        <w:tc>
          <w:tcPr>
            <w:gridSpan w:val="1"/>
          </w:tcPr>
          <w:p>
            <w:r>
              <w:rPr>
                <w:b w:val="false"/>
                <w:bCs w:val="false"/>
              </w:rPr>
              <w:t xml:space="preserve">Spray buff or burnish VCT corridors and lobbies</w:t>
            </w:r>
          </w:p>
        </w:tc>
        <w:tc>
          <w:tcPr>
            <w:gridSpan w:val="1"/>
          </w:tcPr>
          <w:p>
            <w:r>
              <w:rPr>
                <w:b w:val="false"/>
                <w:bCs w:val="false"/>
              </w:rPr>
              <w:t xml:space="preserve">Monthly</w:t>
            </w:r>
          </w:p>
        </w:tc>
      </w:tr>
      <w:tr>
        <w:trPr>
          <w:tblHeader w:val="off"/>
        </w:trPr>
        <w:tc>
          <w:tcPr>
            <w:gridSpan w:val="1"/>
          </w:tcPr>
          <w:p>
            <w:r>
              <w:rPr>
                <w:b w:val="false"/>
                <w:bCs w:val="false"/>
              </w:rPr>
              <w:t xml:space="preserve">Clean interior partition glass and door side lights</w:t>
            </w:r>
          </w:p>
        </w:tc>
        <w:tc>
          <w:tcPr>
            <w:gridSpan w:val="1"/>
          </w:tcPr>
          <w:p>
            <w:r>
              <w:rPr>
                <w:b w:val="false"/>
                <w:bCs w:val="false"/>
              </w:rPr>
              <w:t xml:space="preserve">Quarterly</w:t>
            </w:r>
          </w:p>
        </w:tc>
      </w:tr>
      <w:tr>
        <w:trPr>
          <w:tblHeader w:val="off"/>
        </w:trPr>
        <w:tc>
          <w:tcPr>
            <w:gridSpan w:val="1"/>
          </w:tcPr>
          <w:p>
            <w:r>
              <w:rPr>
                <w:b w:val="false"/>
                <w:bCs w:val="false"/>
              </w:rPr>
              <w:t xml:space="preserve">Hot water extraction of carpeted traffic areas</w:t>
            </w:r>
          </w:p>
        </w:tc>
        <w:tc>
          <w:tcPr>
            <w:gridSpan w:val="1"/>
          </w:tcPr>
          <w:p>
            <w:r>
              <w:rPr>
                <w:b w:val="false"/>
                <w:bCs w:val="false"/>
              </w:rPr>
              <w:t xml:space="preserve">Semi-annually</w:t>
            </w:r>
          </w:p>
        </w:tc>
      </w:tr>
      <w:tr>
        <w:trPr>
          <w:tblHeader w:val="off"/>
        </w:trPr>
        <w:tc>
          <w:tcPr>
            <w:gridSpan w:val="1"/>
          </w:tcPr>
          <w:p>
            <w:r>
              <w:rPr>
                <w:b w:val="false"/>
                <w:bCs w:val="false"/>
              </w:rPr>
              <w:t xml:space="preserve">Strip and refinish VCT (scheduled with Facilities Management)</w:t>
            </w:r>
          </w:p>
        </w:tc>
        <w:tc>
          <w:tcPr>
            <w:gridSpan w:val="1"/>
          </w:tcPr>
          <w:p>
            <w:r>
              <w:rPr>
                <w:b w:val="false"/>
                <w:bCs w:val="false"/>
              </w:rPr>
              <w:t xml:space="preserve">Annually</w:t>
            </w:r>
          </w:p>
        </w:tc>
      </w:tr>
    </w:tbl>
    <w:p>
      <w:r>
        <w:rPr>
          <w:b/>
          <w:bCs/>
        </w:rPr>
        <w:t xml:space="preserve">2.6 Winter Conditions.</w:t>
      </w:r>
      <w:r>
        <w:rPr>
          <w:b w:val="false"/>
          <w:bCs w:val="false"/>
        </w:rPr>
        <w:t xml:space="preserve"> From November 1 through April 15, the Contractor shall vacuum entry mats and remove salt and sand residue from entrance floors at each service visit.</w:t>
      </w:r>
    </w:p>
    <w:p>
      <w:r>
        <w:rPr>
          <w:b/>
          <w:bCs/>
        </w:rPr>
        <w:t xml:space="preserve">2.7 Work Not Included.</w:t>
      </w:r>
      <w:r>
        <w:rPr>
          <w:b w:val="false"/>
          <w:bCs w:val="false"/>
        </w:rPr>
        <w:t xml:space="preserve"> Exterior window washing, light fixture relamping, carpet and floor repair, pest control, grounds maintenance, lawn care and snow removal are not included in this RFP. Exterior work is limited to sweeping entrance landings and emptying exterior waste containers within fifteen (15) feet of building entrances.</w:t>
      </w:r>
    </w:p>
    <w:p>
      <w:r>
        <w:rPr>
          <w:b/>
          <w:bCs/>
        </w:rPr>
        <w:t xml:space="preserve">2.8 Inspections and Deficiencies.</w:t>
      </w:r>
      <w:r>
        <w:rPr>
          <w:b w:val="false"/>
          <w:bCs w:val="false"/>
        </w:rPr>
        <w:t xml:space="preserve"> Facilities Management will inspect each location at least monthly. Deficiencies reported by the County shall be corrected within twenty-four (24) hours. Uncorrected deficiencies will be deducted from the monthly invoice as provided in Section 4.5.</w:t>
      </w:r>
    </w:p>
    <w:p>
      <w:pPr>
        <w:pStyle w:val="Heading2"/>
      </w:pPr>
      <w:r>
        <w:rPr>
          <w:b w:val="false"/>
          <w:bCs w:val="false"/>
        </w:rPr>
        <w:t xml:space="preserve">SECTION 3 – DESCRIPTION OF FACILITIES / LOCATIONS</w:t>
      </w:r>
    </w:p>
    <w:p>
      <w:r>
        <w:rPr>
          <w:b w:val="false"/>
          <w:bCs w:val="false"/>
        </w:rPr>
        <w:t xml:space="preserve">The facilities to be serviced are described below. Square footages are approximate gross building areas taken from the County’s facility inventory and property insurance schedule unless a contractor cleaning area is stated in the location description. Proposers are responsible for verifying conditions during the site tour; no adjustment will be made after award for differences between the stated and actual areas. Table 3-1 summarizes the County buildings; park facilities (Sites 18 through 21) are described in Section 3.4 and are not included in Table 3-1.</w:t>
      </w:r>
    </w:p>
    <w:p>
      <w:r>
        <w:rPr>
          <w:b/>
          <w:bCs/>
        </w:rPr>
        <w:t xml:space="preserve">Table 3-1 – Summary of Locations (County Buildings)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gridSpan w:val="1"/>
          </w:tcPr>
          <w:p>
            <w:r>
              <w:rPr>
                <w:b/>
                <w:bCs/>
              </w:rPr>
              <w:t xml:space="preserve">Site</w:t>
            </w:r>
          </w:p>
        </w:tc>
        <w:tc>
          <w:tcPr>
            <w:gridSpan w:val="1"/>
          </w:tcPr>
          <w:p>
            <w:r>
              <w:rPr>
                <w:b/>
                <w:bCs/>
              </w:rPr>
              <w:t xml:space="preserve">Facility</w:t>
            </w:r>
          </w:p>
        </w:tc>
        <w:tc>
          <w:tcPr>
            <w:gridSpan w:val="1"/>
          </w:tcPr>
          <w:p>
            <w:r>
              <w:rPr>
                <w:b/>
                <w:bCs/>
              </w:rPr>
              <w:t xml:space="preserve">Address</w:t>
            </w:r>
          </w:p>
        </w:tc>
        <w:tc>
          <w:tcPr>
            <w:gridSpan w:val="1"/>
          </w:tcPr>
          <w:p>
            <w:r>
              <w:rPr>
                <w:b/>
                <w:bCs/>
              </w:rPr>
              <w:t xml:space="preserve">Approx. Sq. Ft.</w:t>
            </w:r>
          </w:p>
        </w:tc>
        <w:tc>
          <w:tcPr>
            <w:gridSpan w:val="1"/>
          </w:tcPr>
          <w:p>
            <w:r>
              <w:rPr>
                <w:b/>
                <w:bCs/>
              </w:rPr>
              <w:t xml:space="preserve">Service Days</w:t>
            </w:r>
          </w:p>
        </w:tc>
      </w:tr>
      <w:tr>
        <w:trPr>
          <w:tblHeader w:val="off"/>
        </w:trPr>
        <w:tc>
          <w:tcPr>
            <w:gridSpan w:val="1"/>
          </w:tcPr>
          <w:p>
            <w:r>
              <w:rPr>
                <w:b w:val="false"/>
                <w:bCs w:val="false"/>
              </w:rPr>
              <w:t xml:space="preserve">1</w:t>
            </w:r>
          </w:p>
        </w:tc>
        <w:tc>
          <w:tcPr>
            <w:gridSpan w:val="1"/>
          </w:tcPr>
          <w:p>
            <w:r>
              <w:rPr>
                <w:b w:val="false"/>
                <w:bCs w:val="false"/>
              </w:rPr>
              <w:t xml:space="preserve">Courthouse</w:t>
            </w:r>
          </w:p>
        </w:tc>
        <w:tc>
          <w:tcPr>
            <w:gridSpan w:val="1"/>
          </w:tcPr>
          <w:p>
            <w:r>
              <w:rPr>
                <w:b w:val="false"/>
                <w:bCs w:val="false"/>
              </w:rPr>
              <w:t xml:space="preserve">301 E. Main St., Ardmore Falls</w:t>
            </w:r>
          </w:p>
        </w:tc>
        <w:tc>
          <w:tcPr>
            <w:gridSpan w:val="1"/>
          </w:tcPr>
          <w:p>
            <w:r>
              <w:rPr>
                <w:b w:val="false"/>
                <w:bCs w:val="false"/>
              </w:rPr>
              <w:t xml:space="preserve">38,900</w:t>
            </w:r>
          </w:p>
        </w:tc>
        <w:tc>
          <w:tcPr>
            <w:gridSpan w:val="1"/>
          </w:tcPr>
          <w:p>
            <w:r>
              <w:rPr>
                <w:b w:val="false"/>
                <w:bCs w:val="false"/>
              </w:rPr>
              <w:t xml:space="preserve">M–F</w:t>
            </w:r>
          </w:p>
        </w:tc>
      </w:tr>
      <w:tr>
        <w:trPr>
          <w:tblHeader w:val="off"/>
        </w:trPr>
        <w:tc>
          <w:tcPr>
            <w:gridSpan w:val="1"/>
          </w:tcPr>
          <w:p>
            <w:r>
              <w:rPr>
                <w:b w:val="false"/>
                <w:bCs w:val="false"/>
              </w:rPr>
              <w:t xml:space="preserve">2</w:t>
            </w:r>
          </w:p>
        </w:tc>
        <w:tc>
          <w:tcPr>
            <w:gridSpan w:val="1"/>
          </w:tcPr>
          <w:p>
            <w:r>
              <w:rPr>
                <w:b w:val="false"/>
                <w:bCs w:val="false"/>
              </w:rPr>
              <w:t xml:space="preserve">Administration Building</w:t>
            </w:r>
          </w:p>
        </w:tc>
        <w:tc>
          <w:tcPr>
            <w:gridSpan w:val="1"/>
          </w:tcPr>
          <w:p>
            <w:r>
              <w:rPr>
                <w:b w:val="false"/>
                <w:bCs w:val="false"/>
              </w:rPr>
              <w:t xml:space="preserve">400 E. Main St., Ardmore Falls</w:t>
            </w:r>
          </w:p>
        </w:tc>
        <w:tc>
          <w:tcPr>
            <w:gridSpan w:val="1"/>
          </w:tcPr>
          <w:p>
            <w:r>
              <w:rPr>
                <w:b w:val="false"/>
                <w:bCs w:val="false"/>
              </w:rPr>
              <w:t xml:space="preserve">52,400</w:t>
            </w:r>
          </w:p>
        </w:tc>
        <w:tc>
          <w:tcPr>
            <w:gridSpan w:val="1"/>
          </w:tcPr>
          <w:p>
            <w:r>
              <w:rPr>
                <w:b w:val="false"/>
                <w:bCs w:val="false"/>
              </w:rPr>
              <w:t xml:space="preserve">M–F</w:t>
            </w:r>
          </w:p>
        </w:tc>
      </w:tr>
      <w:tr>
        <w:trPr>
          <w:tblHeader w:val="off"/>
        </w:trPr>
        <w:tc>
          <w:tcPr>
            <w:gridSpan w:val="1"/>
          </w:tcPr>
          <w:p>
            <w:r>
              <w:rPr>
                <w:b w:val="false"/>
                <w:bCs w:val="false"/>
              </w:rPr>
              <w:t xml:space="preserve">3</w:t>
            </w:r>
          </w:p>
        </w:tc>
        <w:tc>
          <w:tcPr>
            <w:gridSpan w:val="1"/>
          </w:tcPr>
          <w:p>
            <w:r>
              <w:rPr>
                <w:b w:val="false"/>
                <w:bCs w:val="false"/>
              </w:rPr>
              <w:t xml:space="preserve">Courthouse Annex</w:t>
            </w:r>
          </w:p>
        </w:tc>
        <w:tc>
          <w:tcPr>
            <w:gridSpan w:val="1"/>
          </w:tcPr>
          <w:p>
            <w:r>
              <w:rPr>
                <w:b w:val="false"/>
                <w:bCs w:val="false"/>
              </w:rPr>
              <w:t xml:space="preserve">315 E. Main St., Ardmore Falls</w:t>
            </w:r>
          </w:p>
        </w:tc>
        <w:tc>
          <w:tcPr>
            <w:gridSpan w:val="1"/>
          </w:tcPr>
          <w:p>
            <w:r>
              <w:rPr>
                <w:b w:val="false"/>
                <w:bCs w:val="false"/>
              </w:rPr>
              <w:t xml:space="preserve">9,860</w:t>
            </w:r>
          </w:p>
        </w:tc>
        <w:tc>
          <w:tcPr>
            <w:gridSpan w:val="1"/>
          </w:tcPr>
          <w:p>
            <w:r>
              <w:rPr>
                <w:b w:val="false"/>
                <w:bCs w:val="false"/>
              </w:rPr>
              <w:t xml:space="preserve">M, W, F</w:t>
            </w:r>
          </w:p>
        </w:tc>
      </w:tr>
      <w:tr>
        <w:trPr>
          <w:tblHeader w:val="off"/>
        </w:trPr>
        <w:tc>
          <w:tcPr>
            <w:gridSpan w:val="1"/>
          </w:tcPr>
          <w:p>
            <w:r>
              <w:rPr>
                <w:b w:val="false"/>
                <w:bCs w:val="false"/>
              </w:rPr>
              <w:t xml:space="preserve">4</w:t>
            </w:r>
          </w:p>
        </w:tc>
        <w:tc>
          <w:tcPr>
            <w:gridSpan w:val="1"/>
          </w:tcPr>
          <w:p>
            <w:r>
              <w:rPr>
                <w:b w:val="false"/>
                <w:bCs w:val="false"/>
              </w:rPr>
              <w:t xml:space="preserve">Human Services Building</w:t>
            </w:r>
          </w:p>
        </w:tc>
        <w:tc>
          <w:tcPr>
            <w:gridSpan w:val="1"/>
          </w:tcPr>
          <w:p>
            <w:r>
              <w:rPr>
                <w:b w:val="false"/>
                <w:bCs w:val="false"/>
              </w:rPr>
              <w:t xml:space="preserve">1220 S. Lincoln Ave., Ardmore Falls</w:t>
            </w:r>
          </w:p>
        </w:tc>
        <w:tc>
          <w:tcPr>
            <w:gridSpan w:val="1"/>
          </w:tcPr>
          <w:p>
            <w:r>
              <w:rPr>
                <w:b w:val="false"/>
                <w:bCs w:val="false"/>
              </w:rPr>
              <w:t xml:space="preserve">41,750</w:t>
            </w:r>
          </w:p>
        </w:tc>
        <w:tc>
          <w:tcPr>
            <w:gridSpan w:val="1"/>
          </w:tcPr>
          <w:p>
            <w:r>
              <w:rPr>
                <w:b w:val="false"/>
                <w:bCs w:val="false"/>
              </w:rPr>
              <w:t xml:space="preserve">M–F</w:t>
            </w:r>
          </w:p>
        </w:tc>
      </w:tr>
      <w:tr>
        <w:trPr>
          <w:tblHeader w:val="off"/>
        </w:trPr>
        <w:tc>
          <w:tcPr>
            <w:gridSpan w:val="1"/>
          </w:tcPr>
          <w:p>
            <w:r>
              <w:rPr>
                <w:b w:val="false"/>
                <w:bCs w:val="false"/>
              </w:rPr>
              <w:t xml:space="preserve">5</w:t>
            </w:r>
          </w:p>
        </w:tc>
        <w:tc>
          <w:tcPr>
            <w:gridSpan w:val="1"/>
          </w:tcPr>
          <w:p>
            <w:r>
              <w:rPr>
                <w:b w:val="false"/>
                <w:bCs w:val="false"/>
              </w:rPr>
              <w:t xml:space="preserve">Main Library</w:t>
            </w:r>
          </w:p>
        </w:tc>
        <w:tc>
          <w:tcPr>
            <w:gridSpan w:val="1"/>
          </w:tcPr>
          <w:p>
            <w:r>
              <w:rPr>
                <w:b w:val="false"/>
                <w:bCs w:val="false"/>
              </w:rPr>
              <w:t xml:space="preserve">210 N. Spruce St., Ardmore Falls</w:t>
            </w:r>
          </w:p>
        </w:tc>
        <w:tc>
          <w:tcPr>
            <w:gridSpan w:val="1"/>
          </w:tcPr>
          <w:p>
            <w:r>
              <w:rPr>
                <w:b w:val="false"/>
                <w:bCs w:val="false"/>
              </w:rPr>
              <w:t xml:space="preserve">27,300</w:t>
            </w:r>
          </w:p>
        </w:tc>
        <w:tc>
          <w:tcPr>
            <w:gridSpan w:val="1"/>
          </w:tcPr>
          <w:p>
            <w:r>
              <w:rPr>
                <w:b w:val="false"/>
                <w:bCs w:val="false"/>
              </w:rPr>
              <w:t xml:space="preserve">M–Sat</w:t>
            </w:r>
          </w:p>
        </w:tc>
      </w:tr>
      <w:tr>
        <w:trPr>
          <w:tblHeader w:val="off"/>
        </w:trPr>
        <w:tc>
          <w:tcPr>
            <w:gridSpan w:val="1"/>
          </w:tcPr>
          <w:p>
            <w:r>
              <w:rPr>
                <w:b w:val="false"/>
                <w:bCs w:val="false"/>
              </w:rPr>
              <w:t xml:space="preserve">6</w:t>
            </w:r>
          </w:p>
        </w:tc>
        <w:tc>
          <w:tcPr>
            <w:gridSpan w:val="1"/>
          </w:tcPr>
          <w:p>
            <w:r>
              <w:rPr>
                <w:b w:val="false"/>
                <w:bCs w:val="false"/>
              </w:rPr>
              <w:t xml:space="preserve">Justice Center</w:t>
            </w:r>
          </w:p>
        </w:tc>
        <w:tc>
          <w:tcPr>
            <w:gridSpan w:val="1"/>
          </w:tcPr>
          <w:p>
            <w:r>
              <w:rPr>
                <w:b w:val="false"/>
                <w:bCs w:val="false"/>
              </w:rPr>
              <w:t xml:space="preserve">1700 W. Hudson Rd., Ardmore Falls</w:t>
            </w:r>
          </w:p>
        </w:tc>
        <w:tc>
          <w:tcPr>
            <w:gridSpan w:val="1"/>
          </w:tcPr>
          <w:p>
            <w:r>
              <w:rPr>
                <w:b w:val="false"/>
                <w:bCs w:val="false"/>
              </w:rPr>
              <w:t xml:space="preserve">71,250*</w:t>
            </w:r>
          </w:p>
        </w:tc>
        <w:tc>
          <w:tcPr>
            <w:gridSpan w:val="1"/>
          </w:tcPr>
          <w:p>
            <w:r>
              <w:rPr>
                <w:b w:val="false"/>
                <w:bCs w:val="false"/>
              </w:rPr>
              <w:t xml:space="preserve">M–F</w:t>
            </w:r>
          </w:p>
        </w:tc>
      </w:tr>
      <w:tr>
        <w:trPr>
          <w:tblHeader w:val="off"/>
        </w:trPr>
        <w:tc>
          <w:tcPr>
            <w:gridSpan w:val="1"/>
          </w:tcPr>
          <w:p>
            <w:r>
              <w:rPr>
                <w:b w:val="false"/>
                <w:bCs w:val="false"/>
              </w:rPr>
              <w:t xml:space="preserve">7</w:t>
            </w:r>
          </w:p>
        </w:tc>
        <w:tc>
          <w:tcPr>
            <w:gridSpan w:val="1"/>
          </w:tcPr>
          <w:p>
            <w:r>
              <w:rPr>
                <w:b w:val="false"/>
                <w:bCs w:val="false"/>
              </w:rPr>
              <w:t xml:space="preserve">Law Enforcement Center / Central Dispatch</w:t>
            </w:r>
          </w:p>
        </w:tc>
        <w:tc>
          <w:tcPr>
            <w:gridSpan w:val="1"/>
          </w:tcPr>
          <w:p>
            <w:r>
              <w:rPr>
                <w:b w:val="false"/>
                <w:bCs w:val="false"/>
              </w:rPr>
              <w:t xml:space="preserve">1720 W. Hudson Rd., Ardmore Falls</w:t>
            </w:r>
          </w:p>
        </w:tc>
        <w:tc>
          <w:tcPr>
            <w:gridSpan w:val="1"/>
          </w:tcPr>
          <w:p>
            <w:r>
              <w:rPr>
                <w:b w:val="false"/>
                <w:bCs w:val="false"/>
              </w:rPr>
              <w:t xml:space="preserve">24,600</w:t>
            </w:r>
          </w:p>
        </w:tc>
        <w:tc>
          <w:tcPr>
            <w:gridSpan w:val="1"/>
          </w:tcPr>
          <w:p>
            <w:r>
              <w:rPr>
                <w:b w:val="false"/>
                <w:bCs w:val="false"/>
              </w:rPr>
              <w:t xml:space="preserve">7 days</w:t>
            </w:r>
          </w:p>
        </w:tc>
      </w:tr>
      <w:tr>
        <w:trPr>
          <w:tblHeader w:val="off"/>
        </w:trPr>
        <w:tc>
          <w:tcPr>
            <w:gridSpan w:val="1"/>
          </w:tcPr>
          <w:p>
            <w:r>
              <w:rPr>
                <w:b w:val="false"/>
                <w:bCs w:val="false"/>
              </w:rPr>
              <w:t xml:space="preserve">8</w:t>
            </w:r>
          </w:p>
        </w:tc>
        <w:tc>
          <w:tcPr>
            <w:gridSpan w:val="1"/>
          </w:tcPr>
          <w:p>
            <w:r>
              <w:rPr>
                <w:b w:val="false"/>
                <w:bCs w:val="false"/>
              </w:rPr>
              <w:t xml:space="preserve">Jail (public and administrative areas only)</w:t>
            </w:r>
          </w:p>
        </w:tc>
        <w:tc>
          <w:tcPr>
            <w:gridSpan w:val="1"/>
          </w:tcPr>
          <w:p>
            <w:r>
              <w:rPr>
                <w:b w:val="false"/>
                <w:bCs w:val="false"/>
              </w:rPr>
              <w:t xml:space="preserve">1740 W. Hudson Rd., Ardmore Falls</w:t>
            </w:r>
          </w:p>
        </w:tc>
        <w:tc>
          <w:tcPr>
            <w:gridSpan w:val="1"/>
          </w:tcPr>
          <w:p>
            <w:r>
              <w:rPr>
                <w:b w:val="false"/>
                <w:bCs w:val="false"/>
              </w:rPr>
              <w:t xml:space="preserve">96,800*</w:t>
            </w:r>
          </w:p>
        </w:tc>
        <w:tc>
          <w:tcPr>
            <w:gridSpan w:val="1"/>
          </w:tcPr>
          <w:p>
            <w:r>
              <w:rPr>
                <w:b w:val="false"/>
                <w:bCs w:val="false"/>
              </w:rPr>
              <w:t xml:space="preserve">M–F</w:t>
            </w:r>
          </w:p>
        </w:tc>
      </w:tr>
      <w:tr>
        <w:trPr>
          <w:tblHeader w:val="off"/>
        </w:trPr>
        <w:tc>
          <w:tcPr>
            <w:gridSpan w:val="1"/>
          </w:tcPr>
          <w:p>
            <w:r>
              <w:rPr>
                <w:b w:val="false"/>
                <w:bCs w:val="false"/>
              </w:rPr>
              <w:t xml:space="preserve">9</w:t>
            </w:r>
          </w:p>
        </w:tc>
        <w:tc>
          <w:tcPr>
            <w:gridSpan w:val="1"/>
          </w:tcPr>
          <w:p>
            <w:r>
              <w:rPr>
                <w:b w:val="false"/>
                <w:bCs w:val="false"/>
              </w:rPr>
              <w:t xml:space="preserve">Friend of the Court / Probation</w:t>
            </w:r>
          </w:p>
        </w:tc>
        <w:tc>
          <w:tcPr>
            <w:gridSpan w:val="1"/>
          </w:tcPr>
          <w:p>
            <w:r>
              <w:rPr>
                <w:b w:val="false"/>
                <w:bCs w:val="false"/>
              </w:rPr>
              <w:t xml:space="preserve">1760 W. Hudson Rd., Ardmore Falls</w:t>
            </w:r>
          </w:p>
        </w:tc>
        <w:tc>
          <w:tcPr>
            <w:gridSpan w:val="1"/>
          </w:tcPr>
          <w:p>
            <w:r>
              <w:rPr>
                <w:b w:val="false"/>
                <w:bCs w:val="false"/>
              </w:rPr>
              <w:t xml:space="preserve">12,480</w:t>
            </w:r>
          </w:p>
        </w:tc>
        <w:tc>
          <w:tcPr>
            <w:gridSpan w:val="1"/>
          </w:tcPr>
          <w:p>
            <w:r>
              <w:rPr>
                <w:b w:val="false"/>
                <w:bCs w:val="false"/>
              </w:rPr>
              <w:t xml:space="preserve">M–F</w:t>
            </w:r>
          </w:p>
        </w:tc>
      </w:tr>
      <w:tr>
        <w:trPr>
          <w:tblHeader w:val="off"/>
        </w:trPr>
        <w:tc>
          <w:tcPr>
            <w:gridSpan w:val="1"/>
          </w:tcPr>
          <w:p>
            <w:r>
              <w:rPr>
                <w:b w:val="false"/>
                <w:bCs w:val="false"/>
              </w:rPr>
              <w:t xml:space="preserve">10</w:t>
            </w:r>
          </w:p>
        </w:tc>
        <w:tc>
          <w:tcPr>
            <w:gridSpan w:val="1"/>
          </w:tcPr>
          <w:p>
            <w:r>
              <w:rPr>
                <w:b w:val="false"/>
                <w:bCs w:val="false"/>
              </w:rPr>
              <w:t xml:space="preserve">Central Garage</w:t>
            </w:r>
          </w:p>
        </w:tc>
        <w:tc>
          <w:tcPr>
            <w:gridSpan w:val="1"/>
          </w:tcPr>
          <w:p>
            <w:r>
              <w:rPr>
                <w:b w:val="false"/>
                <w:bCs w:val="false"/>
              </w:rPr>
              <w:t xml:space="preserve">2850 County Farm Rd., Ardmore Falls</w:t>
            </w:r>
          </w:p>
        </w:tc>
        <w:tc>
          <w:tcPr>
            <w:gridSpan w:val="1"/>
          </w:tcPr>
          <w:p>
            <w:r>
              <w:rPr>
                <w:b w:val="false"/>
                <w:bCs w:val="false"/>
              </w:rPr>
              <w:t xml:space="preserve">34,200*</w:t>
            </w:r>
          </w:p>
        </w:tc>
        <w:tc>
          <w:tcPr>
            <w:gridSpan w:val="1"/>
          </w:tcPr>
          <w:p>
            <w:r>
              <w:rPr>
                <w:b w:val="false"/>
                <w:bCs w:val="false"/>
              </w:rPr>
              <w:t xml:space="preserve">M–F</w:t>
            </w:r>
          </w:p>
        </w:tc>
      </w:tr>
      <w:tr>
        <w:trPr>
          <w:tblHeader w:val="off"/>
        </w:trPr>
        <w:tc>
          <w:tcPr>
            <w:gridSpan w:val="1"/>
          </w:tcPr>
          <w:p>
            <w:r>
              <w:rPr>
                <w:b w:val="false"/>
                <w:bCs w:val="false"/>
              </w:rPr>
              <w:t xml:space="preserve">11</w:t>
            </w:r>
          </w:p>
        </w:tc>
        <w:tc>
          <w:tcPr>
            <w:gridSpan w:val="1"/>
          </w:tcPr>
          <w:p>
            <w:r>
              <w:rPr>
                <w:b w:val="false"/>
                <w:bCs w:val="false"/>
              </w:rPr>
              <w:t xml:space="preserve">Senior Center</w:t>
            </w:r>
          </w:p>
        </w:tc>
        <w:tc>
          <w:tcPr>
            <w:gridSpan w:val="1"/>
          </w:tcPr>
          <w:p>
            <w:r>
              <w:rPr>
                <w:b w:val="false"/>
                <w:bCs w:val="false"/>
              </w:rPr>
              <w:t xml:space="preserve">505 Lake St., Ardmore Falls</w:t>
            </w:r>
          </w:p>
        </w:tc>
        <w:tc>
          <w:tcPr>
            <w:gridSpan w:val="1"/>
          </w:tcPr>
          <w:p>
            <w:r>
              <w:rPr>
                <w:b w:val="false"/>
                <w:bCs w:val="false"/>
              </w:rPr>
              <w:t xml:space="preserve">15,600</w:t>
            </w:r>
          </w:p>
        </w:tc>
        <w:tc>
          <w:tcPr>
            <w:gridSpan w:val="1"/>
          </w:tcPr>
          <w:p>
            <w:r>
              <w:rPr>
                <w:b w:val="false"/>
                <w:bCs w:val="false"/>
              </w:rPr>
              <w:t xml:space="preserve">M–F</w:t>
            </w:r>
          </w:p>
        </w:tc>
      </w:tr>
      <w:tr>
        <w:trPr>
          <w:tblHeader w:val="off"/>
        </w:trPr>
        <w:tc>
          <w:tcPr>
            <w:gridSpan w:val="1"/>
          </w:tcPr>
          <w:p>
            <w:r>
              <w:rPr>
                <w:b w:val="false"/>
                <w:bCs w:val="false"/>
              </w:rPr>
              <w:t xml:space="preserve">12</w:t>
            </w:r>
          </w:p>
        </w:tc>
        <w:tc>
          <w:tcPr>
            <w:gridSpan w:val="1"/>
          </w:tcPr>
          <w:p>
            <w:r>
              <w:rPr>
                <w:b w:val="false"/>
                <w:bCs w:val="false"/>
              </w:rPr>
              <w:t xml:space="preserve">Animal Control &amp; Adoption Center</w:t>
            </w:r>
          </w:p>
        </w:tc>
        <w:tc>
          <w:tcPr>
            <w:gridSpan w:val="1"/>
          </w:tcPr>
          <w:p>
            <w:r>
              <w:rPr>
                <w:b w:val="false"/>
                <w:bCs w:val="false"/>
              </w:rPr>
              <w:t xml:space="preserve">3100 County Farm Rd., Ardmore Falls</w:t>
            </w:r>
          </w:p>
        </w:tc>
        <w:tc>
          <w:tcPr>
            <w:gridSpan w:val="1"/>
          </w:tcPr>
          <w:p>
            <w:r>
              <w:rPr>
                <w:b w:val="false"/>
                <w:bCs w:val="false"/>
              </w:rPr>
              <w:t xml:space="preserve">8,900</w:t>
            </w:r>
          </w:p>
        </w:tc>
        <w:tc>
          <w:tcPr>
            <w:gridSpan w:val="1"/>
          </w:tcPr>
          <w:p>
            <w:r>
              <w:rPr>
                <w:b w:val="false"/>
                <w:bCs w:val="false"/>
              </w:rPr>
              <w:t xml:space="preserve">Tu, F</w:t>
            </w:r>
          </w:p>
        </w:tc>
      </w:tr>
      <w:tr>
        <w:trPr>
          <w:tblHeader w:val="off"/>
        </w:trPr>
        <w:tc>
          <w:tcPr>
            <w:gridSpan w:val="1"/>
          </w:tcPr>
          <w:p>
            <w:r>
              <w:rPr>
                <w:b w:val="false"/>
                <w:bCs w:val="false"/>
              </w:rPr>
              <w:t xml:space="preserve">13</w:t>
            </w:r>
          </w:p>
        </w:tc>
        <w:tc>
          <w:tcPr>
            <w:gridSpan w:val="1"/>
          </w:tcPr>
          <w:p>
            <w:r>
              <w:rPr>
                <w:b w:val="false"/>
                <w:bCs w:val="false"/>
              </w:rPr>
              <w:t xml:space="preserve">Emergency Operations Center</w:t>
            </w:r>
          </w:p>
        </w:tc>
        <w:tc>
          <w:tcPr>
            <w:gridSpan w:val="1"/>
          </w:tcPr>
          <w:p>
            <w:r>
              <w:rPr>
                <w:b w:val="false"/>
                <w:bCs w:val="false"/>
              </w:rPr>
              <w:t xml:space="preserve">2870 County Farm Rd., Ardmore Falls</w:t>
            </w:r>
          </w:p>
        </w:tc>
        <w:tc>
          <w:tcPr>
            <w:gridSpan w:val="1"/>
          </w:tcPr>
          <w:p>
            <w:r>
              <w:rPr>
                <w:b w:val="false"/>
                <w:bCs w:val="false"/>
              </w:rPr>
              <w:t xml:space="preserve">6,250</w:t>
            </w:r>
          </w:p>
        </w:tc>
        <w:tc>
          <w:tcPr>
            <w:gridSpan w:val="1"/>
          </w:tcPr>
          <w:p>
            <w:r>
              <w:rPr>
                <w:b w:val="false"/>
                <w:bCs w:val="false"/>
              </w:rPr>
              <w:t xml:space="preserve">Th</w:t>
            </w:r>
          </w:p>
        </w:tc>
      </w:tr>
      <w:tr>
        <w:trPr>
          <w:tblHeader w:val="off"/>
        </w:trPr>
        <w:tc>
          <w:tcPr>
            <w:gridSpan w:val="1"/>
          </w:tcPr>
          <w:p>
            <w:r>
              <w:rPr>
                <w:b w:val="false"/>
                <w:bCs w:val="false"/>
              </w:rPr>
              <w:t xml:space="preserve">14</w:t>
            </w:r>
          </w:p>
        </w:tc>
        <w:tc>
          <w:tcPr>
            <w:gridSpan w:val="1"/>
          </w:tcPr>
          <w:p>
            <w:r>
              <w:rPr>
                <w:b w:val="false"/>
                <w:bCs w:val="false"/>
              </w:rPr>
              <w:t xml:space="preserve">Records Storage Center</w:t>
            </w:r>
          </w:p>
        </w:tc>
        <w:tc>
          <w:tcPr>
            <w:gridSpan w:val="1"/>
          </w:tcPr>
          <w:p>
            <w:r>
              <w:rPr>
                <w:b w:val="false"/>
                <w:bCs w:val="false"/>
              </w:rPr>
              <w:t xml:space="preserve">2900 County Farm Rd., Ardmore Falls</w:t>
            </w:r>
          </w:p>
        </w:tc>
        <w:tc>
          <w:tcPr>
            <w:gridSpan w:val="1"/>
          </w:tcPr>
          <w:p>
            <w:r>
              <w:rPr>
                <w:b w:val="false"/>
                <w:bCs w:val="false"/>
              </w:rPr>
              <w:t xml:space="preserve">11,800</w:t>
            </w:r>
          </w:p>
        </w:tc>
        <w:tc>
          <w:tcPr>
            <w:gridSpan w:val="1"/>
          </w:tcPr>
          <w:p>
            <w:r>
              <w:rPr>
                <w:b w:val="false"/>
                <w:bCs w:val="false"/>
              </w:rPr>
              <w:t xml:space="preserve">Alt. Wed.</w:t>
            </w:r>
          </w:p>
        </w:tc>
      </w:tr>
      <w:tr>
        <w:trPr>
          <w:tblHeader w:val="off"/>
        </w:trPr>
        <w:tc>
          <w:tcPr>
            <w:gridSpan w:val="1"/>
          </w:tcPr>
          <w:p>
            <w:r>
              <w:rPr>
                <w:b w:val="false"/>
                <w:bCs w:val="false"/>
              </w:rPr>
              <w:t xml:space="preserve">15</w:t>
            </w:r>
          </w:p>
        </w:tc>
        <w:tc>
          <w:tcPr>
            <w:gridSpan w:val="1"/>
          </w:tcPr>
          <w:p>
            <w:r>
              <w:rPr>
                <w:b w:val="false"/>
                <w:bCs w:val="false"/>
              </w:rPr>
              <w:t xml:space="preserve">North County Service Center</w:t>
            </w:r>
          </w:p>
        </w:tc>
        <w:tc>
          <w:tcPr>
            <w:gridSpan w:val="1"/>
          </w:tcPr>
          <w:p>
            <w:r>
              <w:rPr>
                <w:b w:val="false"/>
                <w:bCs w:val="false"/>
              </w:rPr>
              <w:t xml:space="preserve">118 Main St., Halvorsen</w:t>
            </w:r>
          </w:p>
        </w:tc>
        <w:tc>
          <w:tcPr>
            <w:gridSpan w:val="1"/>
          </w:tcPr>
          <w:p>
            <w:r>
              <w:rPr>
                <w:b w:val="false"/>
                <w:bCs w:val="false"/>
              </w:rPr>
              <w:t xml:space="preserve">7,420</w:t>
            </w:r>
          </w:p>
        </w:tc>
        <w:tc>
          <w:tcPr>
            <w:gridSpan w:val="1"/>
          </w:tcPr>
          <w:p>
            <w:r>
              <w:rPr>
                <w:b w:val="false"/>
                <w:bCs w:val="false"/>
              </w:rPr>
              <w:t xml:space="preserve">Tu, Th</w:t>
            </w:r>
          </w:p>
        </w:tc>
      </w:tr>
      <w:tr>
        <w:trPr>
          <w:tblHeader w:val="off"/>
        </w:trPr>
        <w:tc>
          <w:tcPr>
            <w:gridSpan w:val="1"/>
          </w:tcPr>
          <w:p>
            <w:r>
              <w:rPr>
                <w:b w:val="false"/>
                <w:bCs w:val="false"/>
              </w:rPr>
              <w:t xml:space="preserve">16</w:t>
            </w:r>
          </w:p>
        </w:tc>
        <w:tc>
          <w:tcPr>
            <w:gridSpan w:val="1"/>
          </w:tcPr>
          <w:p>
            <w:r>
              <w:rPr>
                <w:b w:val="false"/>
                <w:bCs w:val="false"/>
              </w:rPr>
              <w:t xml:space="preserve">South County Service Center</w:t>
            </w:r>
          </w:p>
        </w:tc>
        <w:tc>
          <w:tcPr>
            <w:gridSpan w:val="1"/>
          </w:tcPr>
          <w:p>
            <w:r>
              <w:rPr>
                <w:b w:val="false"/>
                <w:bCs w:val="false"/>
              </w:rPr>
              <w:t xml:space="preserve">44 Bridge St., Corwin</w:t>
            </w:r>
          </w:p>
        </w:tc>
        <w:tc>
          <w:tcPr>
            <w:gridSpan w:val="1"/>
          </w:tcPr>
          <w:p>
            <w:r>
              <w:rPr>
                <w:b w:val="false"/>
                <w:bCs w:val="false"/>
              </w:rPr>
              <w:t xml:space="preserve">6,180</w:t>
            </w:r>
          </w:p>
        </w:tc>
        <w:tc>
          <w:tcPr>
            <w:gridSpan w:val="1"/>
          </w:tcPr>
          <w:p>
            <w:r>
              <w:rPr>
                <w:b w:val="false"/>
                <w:bCs w:val="false"/>
              </w:rPr>
              <w:t xml:space="preserve">M, Th</w:t>
            </w:r>
          </w:p>
        </w:tc>
      </w:tr>
      <w:tr>
        <w:trPr>
          <w:tblHeader w:val="off"/>
        </w:trPr>
        <w:tc>
          <w:tcPr>
            <w:gridSpan w:val="1"/>
          </w:tcPr>
          <w:p>
            <w:r>
              <w:rPr>
                <w:b w:val="false"/>
                <w:bCs w:val="false"/>
              </w:rPr>
              <w:t xml:space="preserve">17</w:t>
            </w:r>
          </w:p>
        </w:tc>
        <w:tc>
          <w:tcPr>
            <w:gridSpan w:val="1"/>
          </w:tcPr>
          <w:p>
            <w:r>
              <w:rPr>
                <w:b w:val="false"/>
                <w:bCs w:val="false"/>
              </w:rPr>
              <w:t xml:space="preserve">Fairgrounds Exhibit Hall</w:t>
            </w:r>
          </w:p>
        </w:tc>
        <w:tc>
          <w:tcPr>
            <w:gridSpan w:val="1"/>
          </w:tcPr>
          <w:p>
            <w:r>
              <w:rPr>
                <w:b w:val="false"/>
                <w:bCs w:val="false"/>
              </w:rPr>
              <w:t xml:space="preserve">4500 Fairgrounds Rd., Ardmore Falls</w:t>
            </w:r>
          </w:p>
        </w:tc>
        <w:tc>
          <w:tcPr>
            <w:gridSpan w:val="1"/>
          </w:tcPr>
          <w:p>
            <w:r>
              <w:rPr>
                <w:b w:val="false"/>
                <w:bCs w:val="false"/>
              </w:rPr>
              <w:t xml:space="preserve">14,400</w:t>
            </w:r>
          </w:p>
        </w:tc>
        <w:tc>
          <w:tcPr>
            <w:gridSpan w:val="1"/>
          </w:tcPr>
          <w:p>
            <w:r>
              <w:rPr>
                <w:b w:val="false"/>
                <w:bCs w:val="false"/>
              </w:rPr>
              <w:t xml:space="preserve">On call</w:t>
            </w:r>
          </w:p>
        </w:tc>
      </w:tr>
      <w:tr>
        <w:trPr>
          <w:tblHeader w:val="off"/>
        </w:trPr>
        <w:tc>
          <w:tcPr>
            <w:gridSpan w:val="1"/>
          </w:tcPr>
          <w:p>
            <w:r>
              <w:t xml:space="preserve"/>
            </w:r>
          </w:p>
        </w:tc>
        <w:tc>
          <w:tcPr>
            <w:gridSpan w:val="1"/>
          </w:tcPr>
          <w:p>
            <w:r>
              <w:rPr>
                <w:b/>
                <w:bCs/>
              </w:rPr>
              <w:t xml:space="preserve">TOTAL – 17 County buildings</w:t>
            </w:r>
          </w:p>
        </w:tc>
        <w:tc>
          <w:tcPr>
            <w:gridSpan w:val="1"/>
          </w:tcPr>
          <w:p>
            <w:r>
              <w:t xml:space="preserve"/>
            </w:r>
          </w:p>
        </w:tc>
        <w:tc>
          <w:tcPr>
            <w:gridSpan w:val="1"/>
          </w:tcPr>
          <w:p>
            <w:r>
              <w:rPr>
                <w:b/>
                <w:bCs/>
              </w:rPr>
              <w:t xml:space="preserve">480,090</w:t>
            </w:r>
          </w:p>
        </w:tc>
        <w:tc>
          <w:tcPr>
            <w:gridSpan w:val="1"/>
          </w:tcPr>
          <w:p>
            <w:r>
              <w:t xml:space="preserve"/>
            </w:r>
          </w:p>
        </w:tc>
      </w:tr>
    </w:tbl>
    <w:p>
      <w:r>
        <w:rPr>
          <w:b w:val="false"/>
          <w:bCs w:val="false"/>
        </w:rPr>
        <w:t xml:space="preserve">* Gross building area. The contractor cleaning area at this location is smaller; see the location description below.</w:t>
      </w:r>
    </w:p>
    <w:p>
      <w:pPr>
        <w:pStyle w:val="Heading3"/>
      </w:pPr>
      <w:r>
        <w:rPr>
          <w:b w:val="false"/>
          <w:bCs w:val="false"/>
        </w:rPr>
        <w:t xml:space="preserve">3.1 Downtown Campus (Sites 1–5)</w:t>
      </w:r>
    </w:p>
    <w:p>
      <w:pPr>
        <w:pStyle w:val="Heading4"/>
      </w:pPr>
      <w:r>
        <w:rPr>
          <w:b w:val="false"/>
          <w:bCs w:val="false"/>
        </w:rPr>
        <w:t xml:space="preserve">Site 1 – Kessling County Courthouse</w:t>
      </w:r>
    </w:p>
    <w:p>
      <w:r>
        <w:rPr>
          <w:b w:val="false"/>
          <w:bCs w:val="false"/>
        </w:rPr>
        <w:t xml:space="preserve">301 E. Main Street, Ardmore Falls, MI 49689</w:t>
      </w:r>
    </w:p>
    <w:p>
      <w:r>
        <w:rPr>
          <w:b w:val="false"/>
          <w:bCs w:val="false"/>
        </w:rPr>
        <w:t xml:space="preserve">Scope of Work: Kessling County Courthouse (approximately 38,900 sq. ft.). The historic Courthouse was built in 1898 and renovated in 1987. It is three stories over a full basement and houses the County Clerk, Register of Deeds, County Treasurer and the historic courtroom on the third floor, which is used for ceremonies, naturalizations and weddings. All common areas, offices and restrooms will be cleaned five (5) nights per week, Monday thru Friday, after 5:00 p.m. The building has one passenger elevator and ten (10) restrooms, four of them public. The marble lobby floor and the oak stair treads shall be dust mopped at each service visit and damp mopped weekly; no stripping chemicals may be used on the marble. The Historical Society archive room in the basement is cleaned by Society volunteers and is excluded. The Courthouse square, approximately 2.3 acres of lawn and walks, is maintained by County grounds staff.</w:t>
      </w:r>
    </w:p>
    <w:p>
      <w:pPr>
        <w:pStyle w:val="Heading4"/>
      </w:pPr>
      <w:r>
        <w:rPr>
          <w:b w:val="false"/>
          <w:bCs w:val="false"/>
        </w:rPr>
        <w:t xml:space="preserve">Site 2 – Kessling County Administration Building</w:t>
      </w:r>
    </w:p>
    <w:p>
      <w:r>
        <w:rPr>
          <w:b w:val="false"/>
          <w:bCs w:val="false"/>
        </w:rPr>
        <w:t xml:space="preserve">Kessling County Administration Building — estimated square footage: 52,400</w:t>
      </w:r>
      <w:r>
        <w:br/>
        <w:t xml:space="preserve"/>
      </w:r>
      <w:r>
        <w:rPr>
          <w:b w:val="false"/>
          <w:bCs w:val="false"/>
        </w:rPr>
        <w:t xml:space="preserve">400 E. Main Street — Evenings: Monday thru Friday</w:t>
      </w:r>
      <w:r>
        <w:br/>
        <w:t xml:space="preserve"/>
      </w:r>
      <w:r>
        <w:rPr>
          <w:b w:val="false"/>
          <w:bCs w:val="false"/>
        </w:rPr>
        <w:t xml:space="preserve">Ardmore Falls, MI 49689</w:t>
      </w:r>
    </w:p>
    <w:p>
      <w:r>
        <w:rPr>
          <w:b w:val="false"/>
          <w:bCs w:val="false"/>
        </w:rPr>
        <w:t xml:space="preserve">Four-story office building (Lower Level and Floors 1–3), built in 1979 with an addition in 2008. Area by floor: Lower Level 9,800 sq. ft.; First Floor 14,200 sq. ft.; Second Floor 14,200 sq. ft.; Third Floor 14,200 sq. ft. Occupants include County Administration, Human Resources, Equalization, Information Technology, Purchasing and the Board of Commissioners Chambers. Two elevators; fourteen (14) restrooms. Floor finishes are approximately 34,000 sq. ft. of carpet tile, 11,600 sq. ft. of VCT and 6,800 sq. ft. of ceramic tile. The Board of Commissioners meets in the First Floor Chambers on the first and third Tuesday of each month at 6:00 p.m.; the Chambers shall be cleaned after the meeting adjourns. The Lower Level server room is excluded.</w:t>
      </w:r>
    </w:p>
    <w:p>
      <w:pPr>
        <w:pStyle w:val="Heading4"/>
      </w:pPr>
      <w:r>
        <w:rPr>
          <w:b w:val="false"/>
          <w:bCs w:val="false"/>
        </w:rPr>
        <w:t xml:space="preserve">Site 3 – Courthouse Annex</w:t>
      </w:r>
    </w:p>
    <w:p>
      <w:r>
        <w:rPr>
          <w:b w:val="false"/>
          <w:bCs w:val="false"/>
        </w:rPr>
        <w:t xml:space="preserve">315 E. Main Street, Ardmore Falls, MI 49689</w:t>
      </w:r>
    </w:p>
    <w:p>
      <w:r>
        <w:rPr>
          <w:b w:val="false"/>
          <w:bCs w:val="false"/>
        </w:rPr>
        <w:t xml:space="preserve">Two-story former bank building, 9,860 sq. ft. +/-, occupied by the Veterans Affairs office, MSU Extension and the Drain Commissioner. Service: three (3) evenings per week – Monday, Wednesday and Friday. Four (4) restrooms. The unfinished basement storage area is not counted in the square footage and is not cleaned.</w:t>
      </w:r>
    </w:p>
    <w:p>
      <w:pPr>
        <w:pStyle w:val="Heading4"/>
      </w:pPr>
      <w:r>
        <w:rPr>
          <w:b w:val="false"/>
          <w:bCs w:val="false"/>
        </w:rPr>
        <w:t xml:space="preserve">Site 4 – Human Services Building</w:t>
      </w:r>
    </w:p>
    <w:p>
      <w:r>
        <w:rPr>
          <w:b w:val="false"/>
          <w:bCs w:val="false"/>
        </w:rPr>
        <w:t xml:space="preserve">1220 S. Lincoln Avenue, Ardmore Falls, MI 49689</w:t>
      </w:r>
    </w:p>
    <w:p>
      <w:r>
        <w:rPr>
          <w:b w:val="false"/>
          <w:bCs w:val="false"/>
        </w:rPr>
        <w:t xml:space="preserve">Two-story building of approximately 41,750 square feet (First Floor 21,420 sq. ft.; Second Floor 20,330 sq. ft.), shared by the Kessling County Health Department (first floor: immunization clinic, WIC, environmental health) and the Michigan Department of Health and Human Services local office (second floor, leased to the State). Service is evenings, Monday thru Friday, after 6:00 p.m. The twelve (12) clinic exam rooms require disinfection of exam tables, counters and sinks at each service visit using an EPA-registered disinfectant approved by the Health Department. The Health Department laboratory and pharmacy are cleaned by Health Department staff and are excluded. Sixteen (16) restrooms, including two (2) family restrooms.</w:t>
      </w:r>
    </w:p>
    <w:p>
      <w:pPr>
        <w:pStyle w:val="Heading4"/>
      </w:pPr>
      <w:r>
        <w:rPr>
          <w:b w:val="false"/>
          <w:bCs w:val="false"/>
        </w:rPr>
        <w:t xml:space="preserve">Site 5 – Kessling County Library, Main Library</w:t>
      </w:r>
    </w:p>
    <w:p>
      <w:r>
        <w:rPr>
          <w:b w:val="false"/>
          <w:bCs w:val="false"/>
        </w:rPr>
        <w:t xml:space="preserve">210 N. Spruce Street, Ardmore Falls, MI 49689</w:t>
      </w:r>
    </w:p>
    <w:p>
      <w:r>
        <w:rPr>
          <w:b w:val="false"/>
          <w:bCs w:val="false"/>
        </w:rPr>
        <w:t xml:space="preserve">Two-story library of approximately 27,300 sq. ft. with a children’s area, public computer lab, two (2) community meeting rooms and six (6) public restrooms. Library hours are Monday–Thursday 9:00 a.m.–8:00 p.m., Friday and Saturday 9:00 a.m.–5:00 p.m., and Sunday 1:00–5:00 p.m. from September through May. Cleaning is required six (6) days per week, Monday thru Saturday, after closing. No Sunday cleaning is required. Book stacks are dusted by library staff.</w:t>
      </w:r>
    </w:p>
    <w:p>
      <w:pPr>
        <w:pStyle w:val="Heading3"/>
      </w:pPr>
      <w:r>
        <w:rPr>
          <w:b w:val="false"/>
          <w:bCs w:val="false"/>
        </w:rPr>
        <w:t xml:space="preserve">3.2 Justice Complex, W. Hudson Road (Sites 6–9)</w:t>
      </w:r>
    </w:p>
    <w:p>
      <w:r>
        <w:rPr>
          <w:b w:val="false"/>
          <w:bCs w:val="false"/>
        </w:rPr>
        <w:t xml:space="preserve">The Justice Complex is a secured campus. Contractor employees must sign in at the Law Enforcement Center front desk at the start of each shift (see Section 2.4).</w:t>
      </w:r>
    </w:p>
    <w:p>
      <w:pPr>
        <w:pStyle w:val="Heading4"/>
      </w:pPr>
      <w:r>
        <w:rPr>
          <w:b w:val="false"/>
          <w:bCs w:val="false"/>
        </w:rPr>
        <w:t xml:space="preserve">Site 6 – Kessling County Justice Center</w:t>
      </w:r>
    </w:p>
    <w:p>
      <w:r>
        <w:rPr>
          <w:b w:val="false"/>
          <w:bCs w:val="false"/>
        </w:rPr>
        <w:t xml:space="preserve">1700 W. Hudson Road, Ardmore Falls, MI 49689</w:t>
      </w:r>
    </w:p>
    <w:p>
      <w:r>
        <w:rPr>
          <w:b w:val="false"/>
          <w:bCs w:val="false"/>
        </w:rPr>
        <w:t xml:space="preserve">The Justice Center houses the Circuit Court, District Court, Probate Court, the Prosecuting Attorney and Court Administration. It is a three-story building constructed in 2004 of approximately 71,250 square feet: First Floor 26,150 sq. ft.; Second Floor 24,300 sq. ft.; Third Floor 20,800 sq. ft. The court holding cells, prisoner corridor and secure vehicle sally port on the first floor (approximately 2,100 sq. ft.) are maintained by the Sheriff’s Office and are excluded; the Contractor’s cleaning area is approximately 69,150 sq. ft. The building has six (6) courtrooms, a jury assembly room seating 150, six (6) jury deliberation rooms, eighteen (18) public restrooms and ten (10) staff restrooms. Days and hours of service: evenings, Monday thru Friday, 5:30 p.m. to 11:30 p.m. Courtrooms in session after 5:00 p.m. shall be cleaned after the court adjourns.</w:t>
      </w:r>
    </w:p>
    <w:p>
      <w:pPr>
        <w:pStyle w:val="Heading4"/>
      </w:pPr>
      <w:r>
        <w:rPr>
          <w:b w:val="false"/>
          <w:bCs w:val="false"/>
        </w:rPr>
        <w:t xml:space="preserve">Site 7 – Law Enforcement Center (Sheriff’s Office and Central Dispatch)</w:t>
      </w:r>
    </w:p>
    <w:p>
      <w:r>
        <w:rPr>
          <w:b w:val="false"/>
          <w:bCs w:val="false"/>
        </w:rPr>
        <w:t xml:space="preserve">1720 W. Hudson Road, Ardmore Falls, MI 49689</w:t>
      </w:r>
    </w:p>
    <w:p>
      <w:r>
        <w:rPr>
          <w:b w:val="false"/>
          <w:bCs w:val="false"/>
        </w:rPr>
        <w:t xml:space="preserve">Two-story building of approximately 24,600 sq. ft. housing Sheriff’s Administration, Road Patrol, the Detective Bureau and Kessling Central Dispatch (911). Service is required seven (7) days per week, including holidays. Central Dispatch operates 24 hours a day; the dispatch floor shall be cleaned between 10:00 p.m. and 2:00 a.m. in coordination with the shift supervisor, and only with a dispatcher present. The evidence and property room is cleaned by Sheriff’s staff only and is excluded.</w:t>
      </w:r>
    </w:p>
    <w:p>
      <w:pPr>
        <w:pStyle w:val="Heading4"/>
      </w:pPr>
      <w:r>
        <w:rPr>
          <w:b w:val="false"/>
          <w:bCs w:val="false"/>
        </w:rPr>
        <w:t xml:space="preserve">Site 8 – Kessling County Jail</w:t>
      </w:r>
    </w:p>
    <w:p>
      <w:r>
        <w:rPr>
          <w:b w:val="false"/>
          <w:bCs w:val="false"/>
        </w:rPr>
        <w:t xml:space="preserve">1740 W. Hudson Road, Ardmore Falls, MI 49689 (connected to the Law Enforcement Center)</w:t>
      </w:r>
    </w:p>
    <w:p>
      <w:r>
        <w:rPr>
          <w:b w:val="false"/>
          <w:bCs w:val="false"/>
        </w:rPr>
        <w:t xml:space="preserve">The Jail is a two-story, 212-bed facility of approximately 96,800 sq. ft. The secure areas – housing units, booking and intake, the vehicle sally port, kitchen, laundry, medical unit and inmate program rooms – are cleaned by inmate workers under the supervision of Corrections staff and are NOT part of this contract. Contractor services are limited to the public lobby, the visitation lobby and visitor restrooms, and the first-floor jail administration offices, a total of approximately 5,850 sq. ft. Service: evenings, Monday thru Friday. Contractor staff will not enter the secure perimeter.</w:t>
      </w:r>
    </w:p>
    <w:p>
      <w:pPr>
        <w:pStyle w:val="Heading4"/>
      </w:pPr>
      <w:r>
        <w:rPr>
          <w:b w:val="false"/>
          <w:bCs w:val="false"/>
        </w:rPr>
        <w:t xml:space="preserve">Site 9 – Friend of the Court and Probation Building</w:t>
      </w:r>
    </w:p>
    <w:p>
      <w:r>
        <w:rPr>
          <w:b w:val="false"/>
          <w:bCs w:val="false"/>
        </w:rPr>
        <w:t xml:space="preserve">1760 W. Hudson Road, Ardmore Falls, MI 49689</w:t>
      </w:r>
    </w:p>
    <w:p>
      <w:r>
        <w:rPr>
          <w:b w:val="false"/>
          <w:bCs w:val="false"/>
        </w:rPr>
        <w:t xml:space="preserve">One-story office building, approximately 12,480 sq. ft., occupied by the Friend of the Court and the Michigan Department of Corrections Adult Probation office. Eight (8) interview rooms, a public lobby and six (6) restrooms, including the drug-testing restroom, which shall be cleaned and disinfected at each service visit. Evenings, Monday thru Friday.</w:t>
      </w:r>
    </w:p>
    <w:p>
      <w:pPr>
        <w:pStyle w:val="Heading3"/>
      </w:pPr>
      <w:r>
        <w:rPr>
          <w:b w:val="false"/>
          <w:bCs w:val="false"/>
        </w:rPr>
        <w:t xml:space="preserve">3.3 Outlying County Facilities (Sites 10–17)</w:t>
      </w:r>
    </w:p>
    <w:p>
      <w:r>
        <w:rPr>
          <w:b/>
          <w:bCs/>
        </w:rPr>
        <w:t xml:space="preserve">Site 10 – Central Garage (Facilities &amp; Fleet)</w:t>
      </w:r>
      <w:r>
        <w:rPr>
          <w:b w:val="false"/>
          <w:bCs w:val="false"/>
        </w:rPr>
        <w:t xml:space="preserve"> — estimated square footage: 34,200</w:t>
      </w:r>
      <w:r>
        <w:br/>
        <w:t xml:space="preserve"/>
      </w:r>
      <w:r>
        <w:rPr>
          <w:b w:val="false"/>
          <w:bCs w:val="false"/>
        </w:rPr>
        <w:t xml:space="preserve">2850 County Farm Road — Evenings: Monday thru Friday</w:t>
      </w:r>
      <w:r>
        <w:br/>
        <w:t xml:space="preserve"/>
      </w:r>
      <w:r>
        <w:rPr>
          <w:b w:val="false"/>
          <w:bCs w:val="false"/>
        </w:rPr>
        <w:t xml:space="preserve">Ardmore Falls, MI 49689</w:t>
      </w:r>
    </w:p>
    <w:p>
      <w:r>
        <w:rPr>
          <w:b w:val="false"/>
          <w:bCs w:val="false"/>
        </w:rPr>
        <w:t xml:space="preserve">One-story pre-engineered steel building. Approximately 29,850 sq. ft. of the building is vehicle repair bays, the wash bay and parts storage, which are NOT included. Contractor cleaning is limited to the office area, break room, locker rooms and restrooms, approximately 4,350 sq. ft. Locker room floors require degreasing weekly.</w:t>
      </w:r>
    </w:p>
    <w:p>
      <w:r>
        <w:rPr>
          <w:b/>
          <w:bCs/>
        </w:rPr>
        <w:t xml:space="preserve">Site 11 – Commission on Aging Senior Center</w:t>
      </w:r>
      <w:r>
        <w:rPr>
          <w:b w:val="false"/>
          <w:bCs w:val="false"/>
        </w:rPr>
        <w:t xml:space="preserve"> — estimated square footage: 15,600</w:t>
      </w:r>
      <w:r>
        <w:br/>
        <w:t xml:space="preserve"/>
      </w:r>
      <w:r>
        <w:rPr>
          <w:b w:val="false"/>
          <w:bCs w:val="false"/>
        </w:rPr>
        <w:t xml:space="preserve">505 Lake Street — Evenings: Monday thru Friday, after 4:30 p.m.</w:t>
      </w:r>
      <w:r>
        <w:br/>
        <w:t xml:space="preserve"/>
      </w:r>
      <w:r>
        <w:rPr>
          <w:b w:val="false"/>
          <w:bCs w:val="false"/>
        </w:rPr>
        <w:t xml:space="preserve">Ardmore Falls, MI 49689</w:t>
      </w:r>
    </w:p>
    <w:p>
      <w:r>
        <w:rPr>
          <w:b w:val="false"/>
          <w:bCs w:val="false"/>
        </w:rPr>
        <w:t xml:space="preserve">One-story building with a multipurpose / dining room, fitness room, adult day program area, offices and eight (8) restrooms. The commercial kitchen is cleaned by the meal program staff and is excluded.</w:t>
      </w:r>
    </w:p>
    <w:p>
      <w:r>
        <w:rPr>
          <w:b/>
          <w:bCs/>
        </w:rPr>
        <w:t xml:space="preserve">Site 12 – Animal Control &amp; Adoption Center</w:t>
      </w:r>
      <w:r>
        <w:rPr>
          <w:b w:val="false"/>
          <w:bCs w:val="false"/>
        </w:rPr>
        <w:t xml:space="preserve"> — estimated square footage: 8,900</w:t>
      </w:r>
      <w:r>
        <w:br/>
        <w:t xml:space="preserve"/>
      </w:r>
      <w:r>
        <w:rPr>
          <w:b w:val="false"/>
          <w:bCs w:val="false"/>
        </w:rPr>
        <w:t xml:space="preserve">3100 County Farm Road — Tuesday and Friday evenings</w:t>
      </w:r>
      <w:r>
        <w:br/>
        <w:t xml:space="preserve"/>
      </w:r>
      <w:r>
        <w:rPr>
          <w:b w:val="false"/>
          <w:bCs w:val="false"/>
        </w:rPr>
        <w:t xml:space="preserve">Ardmore Falls, MI 49689</w:t>
      </w:r>
    </w:p>
    <w:p>
      <w:r>
        <w:rPr>
          <w:b w:val="false"/>
          <w:bCs w:val="false"/>
        </w:rPr>
        <w:t xml:space="preserve">One-story building. Contractor service covers the public lobby, adoption rooms, offices and restrooms. Kennels, animal holding and the surgery suite are cleaned daily by shelter staff and are excluded.</w:t>
      </w:r>
    </w:p>
    <w:p>
      <w:r>
        <w:rPr>
          <w:b/>
          <w:bCs/>
        </w:rPr>
        <w:t xml:space="preserve">Site 13 – Emergency Operations Center</w:t>
      </w:r>
      <w:r>
        <w:rPr>
          <w:b w:val="false"/>
          <w:bCs w:val="false"/>
        </w:rPr>
        <w:t xml:space="preserve"> — estimated square footage: 6,250</w:t>
      </w:r>
      <w:r>
        <w:br/>
        <w:t xml:space="preserve"/>
      </w:r>
      <w:r>
        <w:rPr>
          <w:b w:val="false"/>
          <w:bCs w:val="false"/>
        </w:rPr>
        <w:t xml:space="preserve">2870 County Farm Road — Once per week (Thursday)</w:t>
      </w:r>
      <w:r>
        <w:br/>
        <w:t xml:space="preserve"/>
      </w:r>
      <w:r>
        <w:rPr>
          <w:b w:val="false"/>
          <w:bCs w:val="false"/>
        </w:rPr>
        <w:t xml:space="preserve">Ardmore Falls, MI 49689</w:t>
      </w:r>
    </w:p>
    <w:p>
      <w:r>
        <w:rPr>
          <w:b w:val="false"/>
          <w:bCs w:val="false"/>
        </w:rPr>
        <w:t xml:space="preserve">One-story building housing Emergency Management offices and the EOC room. In addition to the weekly service, the EOC room and restrooms shall be cleaned within 24 hours after the end of any EOC activation, on call, at the hourly rate on Attachment B (about two activations per year).</w:t>
      </w:r>
    </w:p>
    <w:p>
      <w:r>
        <w:rPr>
          <w:b/>
          <w:bCs/>
        </w:rPr>
        <w:t xml:space="preserve">Site 14 – Records Storage Center</w:t>
      </w:r>
      <w:r>
        <w:rPr>
          <w:b w:val="false"/>
          <w:bCs w:val="false"/>
        </w:rPr>
        <w:t xml:space="preserve"> — estimated square footage: 11,800</w:t>
      </w:r>
      <w:r>
        <w:br/>
        <w:t xml:space="preserve"/>
      </w:r>
      <w:r>
        <w:rPr>
          <w:b w:val="false"/>
          <w:bCs w:val="false"/>
        </w:rPr>
        <w:t xml:space="preserve">2900 County Farm Road — Every other Wednesday</w:t>
      </w:r>
      <w:r>
        <w:br/>
        <w:t xml:space="preserve"/>
      </w:r>
      <w:r>
        <w:rPr>
          <w:b w:val="false"/>
          <w:bCs w:val="false"/>
        </w:rPr>
        <w:t xml:space="preserve">Ardmore Falls, MI 49689</w:t>
      </w:r>
    </w:p>
    <w:p>
      <w:r>
        <w:rPr>
          <w:b w:val="false"/>
          <w:bCs w:val="false"/>
        </w:rPr>
        <w:t xml:space="preserve">One-story warehouse for County records with a small office, a reading room and two (2) restrooms. Service every other Wednesday (26 visits per year): office, reading room and restrooms are cleaned, aisles between the records shelving are dust mopped, and shelving is not cleaned.</w:t>
      </w:r>
    </w:p>
    <w:p>
      <w:r>
        <w:rPr>
          <w:b/>
          <w:bCs/>
        </w:rPr>
        <w:t xml:space="preserve">Site 15 – North County Service Center</w:t>
      </w:r>
      <w:r>
        <w:rPr>
          <w:b w:val="false"/>
          <w:bCs w:val="false"/>
        </w:rPr>
        <w:t xml:space="preserve"> — estimated square footage: 7,420</w:t>
      </w:r>
      <w:r>
        <w:br/>
        <w:t xml:space="preserve"/>
      </w:r>
      <w:r>
        <w:rPr>
          <w:b w:val="false"/>
          <w:bCs w:val="false"/>
        </w:rPr>
        <w:t xml:space="preserve">118 Main Street — Tuesday and Thursday evenings</w:t>
      </w:r>
      <w:r>
        <w:br/>
        <w:t xml:space="preserve"/>
      </w:r>
      <w:r>
        <w:rPr>
          <w:b w:val="false"/>
          <w:bCs w:val="false"/>
        </w:rPr>
        <w:t xml:space="preserve">Village of Halvorsen, MI 49631</w:t>
      </w:r>
    </w:p>
    <w:p>
      <w:r>
        <w:rPr>
          <w:b w:val="false"/>
          <w:bCs w:val="false"/>
        </w:rPr>
        <w:t xml:space="preserve">One-story building with satellite offices of the County Clerk and Treasurer, a Sheriff’s substation and a public meeting room.</w:t>
      </w:r>
    </w:p>
    <w:p>
      <w:r>
        <w:rPr>
          <w:b/>
          <w:bCs/>
        </w:rPr>
        <w:t xml:space="preserve">Site 16 – South County Service Center</w:t>
      </w:r>
      <w:r>
        <w:rPr>
          <w:b w:val="false"/>
          <w:bCs w:val="false"/>
        </w:rPr>
        <w:t xml:space="preserve"> — estimated square footage: 6,180</w:t>
      </w:r>
      <w:r>
        <w:br/>
        <w:t xml:space="preserve"/>
      </w:r>
      <w:r>
        <w:rPr>
          <w:b w:val="false"/>
          <w:bCs w:val="false"/>
        </w:rPr>
        <w:t xml:space="preserve">44 Bridge Street — Monday and Thursday evenings</w:t>
      </w:r>
      <w:r>
        <w:br/>
        <w:t xml:space="preserve"/>
      </w:r>
      <w:r>
        <w:rPr>
          <w:b w:val="false"/>
          <w:bCs w:val="false"/>
        </w:rPr>
        <w:t xml:space="preserve">City of Corwin, MI 49655</w:t>
      </w:r>
    </w:p>
    <w:p>
      <w:r>
        <w:rPr>
          <w:b w:val="false"/>
          <w:bCs w:val="false"/>
        </w:rPr>
        <w:t xml:space="preserve">One-story building with satellite County offices, the MSU Extension 4-H office and a public meeting room.</w:t>
      </w:r>
    </w:p>
    <w:p>
      <w:r>
        <w:rPr>
          <w:b/>
          <w:bCs/>
        </w:rPr>
        <w:t xml:space="preserve">Site 17 – Fairgrounds Exhibit Hall</w:t>
      </w:r>
      <w:r>
        <w:rPr>
          <w:b w:val="false"/>
          <w:bCs w:val="false"/>
        </w:rPr>
        <w:t xml:space="preserve"> — estimated square footage: 14,400</w:t>
      </w:r>
      <w:r>
        <w:br/>
        <w:t xml:space="preserve"/>
      </w:r>
      <w:r>
        <w:rPr>
          <w:b w:val="false"/>
          <w:bCs w:val="false"/>
        </w:rPr>
        <w:t xml:space="preserve">4500 Fairgrounds Road — After scheduled events (on call)</w:t>
      </w:r>
      <w:r>
        <w:br/>
        <w:t xml:space="preserve"/>
      </w:r>
      <w:r>
        <w:rPr>
          <w:b w:val="false"/>
          <w:bCs w:val="false"/>
        </w:rPr>
        <w:t xml:space="preserve">Ardmore Falls, MI 49689</w:t>
      </w:r>
    </w:p>
    <w:p>
      <w:r>
        <w:rPr>
          <w:b w:val="false"/>
          <w:bCs w:val="false"/>
        </w:rPr>
        <w:t xml:space="preserve">One-story clear-span hall with a warming kitchen and two restroom wings, located on the 38-acre County fairgrounds. The Hall is rented for events; it was used for 31 events in 2025. Cleaning shall be completed by 8:00 a.m. on the day after each event and is priced per event on Attachment B. During the Kessling County Fair (August 9–14, 2027) the Hall shall be cleaned each morning. The barns, grandstand and outdoor restroom buildings are maintained by the Fair Board and are not included.</w:t>
      </w:r>
    </w:p>
    <w:p>
      <w:pPr>
        <w:pStyle w:val="Heading3"/>
      </w:pPr>
      <w:r>
        <w:rPr>
          <w:b w:val="false"/>
          <w:bCs w:val="false"/>
        </w:rPr>
        <w:t xml:space="preserve">3.4 Parks and Recreation Facilities (Sites 18–21)</w:t>
      </w:r>
    </w:p>
    <w:p>
      <w:r>
        <w:rPr>
          <w:b w:val="false"/>
          <w:bCs w:val="false"/>
        </w:rPr>
        <w:t xml:space="preserve">Park buildings are cleaned in the morning; work shall be completed by 9:00 a.m. unless otherwise stated. Park grounds, beaches and trails are maintained by Parks staff.</w:t>
      </w:r>
    </w:p>
    <w:p>
      <w:r>
        <w:rPr>
          <w:b/>
          <w:bCs/>
        </w:rPr>
        <w:t xml:space="preserve">Site 18 – Lakeview County Park, Beach House</w:t>
      </w:r>
      <w:r>
        <w:rPr>
          <w:b w:val="false"/>
          <w:bCs w:val="false"/>
        </w:rPr>
        <w:t xml:space="preserve">, 7700 Lakeview Drive, Halvorsen Township. One-story beach house of approximately 1,840 sq. ft. with men’s and women’s restrooms, changing rooms with showers and a first-aid room. Service: daily, seven (7) days per week, from the Saturday of Memorial Day weekend (May 29, 2027) through Labor Day (September 6, 2027). The building is closed and winterized the rest of the year. The concession stand, a separate 420 sq. ft. building, is operated by the concessionaire and is not included. Lakeview County Park is approximately 46 acres, including about 14 acres of mowed turf and 900 feet of beach.</w:t>
      </w:r>
    </w:p>
    <w:p>
      <w:r>
        <w:rPr>
          <w:b/>
          <w:bCs/>
        </w:rPr>
        <w:t xml:space="preserve">Site 19 – Lakeview County Park, Campground Shower Building</w:t>
      </w:r>
      <w:r>
        <w:rPr>
          <w:b w:val="false"/>
          <w:bCs w:val="false"/>
        </w:rPr>
        <w:t xml:space="preserve">, 7700 Lakeview Drive, Halvorsen Township. One-story building of approximately 1,120 sq. ft. serving the 64-site campground, with men’s and women’s shower rooms and a family restroom. Service: daily, seven (7) days per week, May 1 through October 15 (campground season).</w:t>
      </w:r>
    </w:p>
    <w:p>
      <w:r>
        <w:rPr>
          <w:b/>
          <w:bCs/>
        </w:rPr>
        <w:t xml:space="preserve">Site 20 – Riverbend Trailhead Restroom</w:t>
      </w:r>
      <w:r>
        <w:rPr>
          <w:b w:val="false"/>
          <w:bCs w:val="false"/>
        </w:rPr>
        <w:t xml:space="preserve">, 2200 River Road, Ardmore Falls. Heated, year-round restroom building of approximately 380 sq. ft. with two single-user restrooms and a vestibule. Service: three (3) times per week – Friday, Saturday and Sunday mornings.</w:t>
      </w:r>
    </w:p>
    <w:p>
      <w:r>
        <w:rPr>
          <w:b/>
          <w:bCs/>
        </w:rPr>
        <w:t xml:space="preserve">Site 21 – Cedar Bluff Park, Lodge</w:t>
      </w:r>
      <w:r>
        <w:rPr>
          <w:b w:val="false"/>
          <w:bCs w:val="false"/>
        </w:rPr>
        <w:t xml:space="preserve">, 5150 Cedar Bluff Road, Corwin Township. One-story rental lodge of approximately 3,600 sq. ft. with a great room, warming kitchen and restrooms, in the 120-acre Cedar Bluff Park. Cleaning after each scheduled rental (on call), completed by 10:00 a.m. the following day; the Lodge was rented 58 times in 2025. Priced per rental on Attachment B.</w:t>
      </w:r>
    </w:p>
    <w:p>
      <w:pPr>
        <w:pStyle w:val="Heading3"/>
      </w:pPr>
      <w:r>
        <w:rPr>
          <w:b w:val="false"/>
          <w:bCs w:val="false"/>
        </w:rPr>
        <w:t xml:space="preserve">3.5 Facilities Not Included</w:t>
      </w:r>
    </w:p>
    <w:p>
      <w:r>
        <w:rPr>
          <w:b w:val="false"/>
          <w:bCs w:val="false"/>
        </w:rPr>
        <w:t xml:space="preserve">The following County-owned or County-operated facilities are NOT included in this RFP:</w:t>
      </w:r>
    </w:p>
    <w:p>
      <w:r>
        <w:rPr>
          <w:b w:val="false"/>
          <w:bCs w:val="false"/>
        </w:rPr>
        <w:t xml:space="preserve">(a) Kessling County Juvenile Detention Center, 1780 W. Hudson Road (approximately 18,600 sq. ft.) – cleaned by Juvenile Court staff and residents.</w:t>
      </w:r>
    </w:p>
    <w:p>
      <w:r>
        <w:rPr>
          <w:b w:val="false"/>
          <w:bCs w:val="false"/>
        </w:rPr>
        <w:t xml:space="preserve">(b) The secure areas of the Jail (Site 8) and the court holding cells and sally port in the Justice Center (Site 6).</w:t>
      </w:r>
    </w:p>
    <w:p>
      <w:r>
        <w:rPr>
          <w:b w:val="false"/>
          <w:bCs w:val="false"/>
        </w:rPr>
        <w:t xml:space="preserve">(c) Kessling County Medical Care Facility, 900 Pine Street (approximately 84,000 sq. ft.) – housekeeping is provided by Medical Care Facility staff.</w:t>
      </w:r>
    </w:p>
    <w:p>
      <w:r>
        <w:rPr>
          <w:b w:val="false"/>
          <w:bCs w:val="false"/>
        </w:rPr>
        <w:t xml:space="preserve">(d) Former Corwin Township Hall, 12 Bridge Street, Corwin (approximately 3,100 sq. ft.) – vacant and listed for sale.</w:t>
      </w:r>
    </w:p>
    <w:p>
      <w:r>
        <w:rPr>
          <w:b w:val="false"/>
          <w:bCs w:val="false"/>
        </w:rPr>
        <w:t xml:space="preserve">(e) Pine Run Park restroom building (approximately 450 sq. ft.) – removed from service in 2026; demolition is scheduled for spring 2027.</w:t>
      </w:r>
    </w:p>
    <w:p>
      <w:r>
        <w:rPr>
          <w:b w:val="false"/>
          <w:bCs w:val="false"/>
        </w:rPr>
        <w:t xml:space="preserve">(f) Kessling County Airport terminal – operated by the Airport Authority under a separate contract.</w:t>
      </w:r>
    </w:p>
    <w:p>
      <w:pPr>
        <w:pStyle w:val="Heading2"/>
      </w:pPr>
      <w:r>
        <w:rPr>
          <w:b w:val="false"/>
          <w:bCs w:val="false"/>
        </w:rPr>
        <w:t xml:space="preserve">SECTION 4 – PROPOSAL REQUIREMENTS, EVALUATION AND CONTRACT TERMS</w:t>
      </w:r>
    </w:p>
    <w:p>
      <w:r>
        <w:rPr>
          <w:b/>
          <w:bCs/>
        </w:rPr>
        <w:t xml:space="preserve">4.1 Proposal Contents.</w:t>
      </w:r>
      <w:r>
        <w:rPr>
          <w:b w:val="false"/>
          <w:bCs w:val="false"/>
        </w:rPr>
        <w:t xml:space="preserve"> Proposals shall be organized as follows: Tab 1 – Cover letter signed by an authorized officer; Tab 2 – Company history, years in business and current public-sector janitorial contracts; Tab 3 – Staffing plan by site, including proposed hours per night and supervision; Tab 4 – Quality control plan; Tab 5 – Three (3) references for contracts of similar size; Tab 6 – Attachment A and Attachment B. Submit one (1) original, two (2) copies and one electronic copy on a USB drive.</w:t>
      </w:r>
    </w:p>
    <w:p>
      <w:r>
        <w:rPr>
          <w:b/>
          <w:bCs/>
        </w:rPr>
        <w:t xml:space="preserve">4.2 Evaluation.</w:t>
      </w:r>
      <w:r>
        <w:rPr>
          <w:b w:val="false"/>
          <w:bCs w:val="false"/>
        </w:rPr>
        <w:t xml:space="preserve"> Proposals will be evaluated on the following criteria: price, 40 points; experience and references, 25 points; staffing plan and hours, 20 points; quality control plan, 15 points. The County may interview the highest-ranked Proposers.</w:t>
      </w:r>
    </w:p>
    <w:p>
      <w:r>
        <w:rPr>
          <w:b/>
          <w:bCs/>
        </w:rPr>
        <w:t xml:space="preserve">4.3 Insurance.</w:t>
      </w:r>
      <w:r>
        <w:rPr>
          <w:b w:val="false"/>
          <w:bCs w:val="false"/>
        </w:rPr>
        <w:t xml:space="preserve"> The Contractor shall maintain commercial general liability insurance of $1,000,000 per occurrence and $2,000,000 aggregate, automobile liability of $1,000,000 combined single limit, workers’ compensation at statutory limits, and a janitorial (third-party crime) bond of $50,000. Kessling County shall be named as additional insured.</w:t>
      </w:r>
    </w:p>
    <w:p>
      <w:r>
        <w:rPr>
          <w:b/>
          <w:bCs/>
        </w:rPr>
        <w:t xml:space="preserve">4.4 Invoicing and Payment.</w:t>
      </w:r>
      <w:r>
        <w:rPr>
          <w:b w:val="false"/>
          <w:bCs w:val="false"/>
        </w:rPr>
        <w:t xml:space="preserve"> The Contractor shall invoice monthly in arrears, by site. Event and rental cleaning (Sites 17 and 21) and on-call work shall be invoiced with the monthly invoice and the County’s work order number. Payment is net thirty (30) days.</w:t>
      </w:r>
    </w:p>
    <w:p>
      <w:r>
        <w:rPr>
          <w:b/>
          <w:bCs/>
        </w:rPr>
        <w:t xml:space="preserve">4.5 Deductions.</w:t>
      </w:r>
      <w:r>
        <w:rPr>
          <w:b w:val="false"/>
          <w:bCs w:val="false"/>
        </w:rPr>
        <w:t xml:space="preserve"> The County may deduct $150 for each deficiency not corrected within twenty-four (24) hours and $250 for each scheduled service visit missed without notice.</w:t>
      </w:r>
    </w:p>
    <w:p>
      <w:r>
        <w:rPr>
          <w:b/>
          <w:bCs/>
        </w:rPr>
        <w:t xml:space="preserve">4.6 Termination.</w:t>
      </w:r>
      <w:r>
        <w:rPr>
          <w:b w:val="false"/>
          <w:bCs w:val="false"/>
        </w:rPr>
        <w:t xml:space="preserve"> Either party may terminate the contract without cause on sixty (60) days’ written notice. The County may terminate for cause on ten (10) days’ written notice if deficiencies are not corrected.</w:t>
      </w:r>
    </w:p>
    <w:p>
      <w:pPr>
        <w:pStyle w:val="Heading2"/>
      </w:pPr>
      <w:r>
        <w:rPr>
          <w:b w:val="false"/>
          <w:bCs w:val="false"/>
        </w:rPr>
        <w:t xml:space="preserve">ATTACHMENT A – ACKNOWLEDGMENT OF ADDENDA</w:t>
      </w:r>
    </w:p>
    <w:p>
      <w:r>
        <w:rPr>
          <w:b w:val="false"/>
          <w:bCs w:val="false"/>
        </w:rPr>
        <w:t xml:space="preserve">The undersigned acknowledges receipt of the following addenda to RFP No. 2026-041: Addendum No. ____ dated __________; Addendum No. ____ dated __________.</w:t>
      </w:r>
    </w:p>
    <w:p>
      <w:r>
        <w:rPr>
          <w:b w:val="false"/>
          <w:bCs w:val="false"/>
        </w:rPr>
        <w:t xml:space="preserve">Company Name: ______________________________ Authorized Signature: ______________________________ Date: ____________</w:t>
      </w:r>
    </w:p>
    <w:p>
      <w:pPr>
        <w:pStyle w:val="Heading2"/>
      </w:pPr>
      <w:r>
        <w:rPr>
          <w:b w:val="false"/>
          <w:bCs w:val="false"/>
        </w:rPr>
        <w:t xml:space="preserve">ATTACHMENT B – PRICE PROPOSAL FORM</w:t>
      </w:r>
    </w:p>
    <w:p>
      <w:r>
        <w:rPr>
          <w:b w:val="false"/>
          <w:bCs w:val="false"/>
        </w:rPr>
        <w:t xml:space="preserve">RFP No. 2026-041 Janitorial Services for County Facilities. Enter a price for every line. Extended Annual = Unit Price × Est. Qty / Yr. Quantities for event, rental and on-call work are estimates for evaluation only and are not guaranteed.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gridSpan w:val="1"/>
          </w:tcPr>
          <w:p>
            <w:r>
              <w:rPr>
                <w:b/>
                <w:bCs/>
              </w:rPr>
              <w:t xml:space="preserve">Line</w:t>
            </w:r>
          </w:p>
        </w:tc>
        <w:tc>
          <w:tcPr>
            <w:gridSpan w:val="1"/>
          </w:tcPr>
          <w:p>
            <w:r>
              <w:rPr>
                <w:b/>
                <w:bCs/>
              </w:rPr>
              <w:t xml:space="preserve">Site</w:t>
            </w:r>
          </w:p>
        </w:tc>
        <w:tc>
          <w:tcPr>
            <w:gridSpan w:val="1"/>
          </w:tcPr>
          <w:p>
            <w:r>
              <w:rPr>
                <w:b/>
                <w:bCs/>
              </w:rPr>
              <w:t xml:space="preserve">Facility</w:t>
            </w:r>
          </w:p>
        </w:tc>
        <w:tc>
          <w:tcPr>
            <w:gridSpan w:val="1"/>
          </w:tcPr>
          <w:p>
            <w:r>
              <w:rPr>
                <w:b/>
                <w:bCs/>
              </w:rPr>
              <w:t xml:space="preserve">Basis</w:t>
            </w:r>
          </w:p>
        </w:tc>
        <w:tc>
          <w:tcPr>
            <w:gridSpan w:val="1"/>
          </w:tcPr>
          <w:p>
            <w:r>
              <w:rPr>
                <w:b/>
                <w:bCs/>
              </w:rPr>
              <w:t xml:space="preserve">Unit Price</w:t>
            </w:r>
          </w:p>
        </w:tc>
        <w:tc>
          <w:tcPr>
            <w:gridSpan w:val="1"/>
          </w:tcPr>
          <w:p>
            <w:r>
              <w:rPr>
                <w:b/>
                <w:bCs/>
              </w:rPr>
              <w:t xml:space="preserve">Est. Qty / Yr</w:t>
            </w:r>
          </w:p>
        </w:tc>
        <w:tc>
          <w:tcPr>
            <w:gridSpan w:val="1"/>
          </w:tcPr>
          <w:p>
            <w:r>
              <w:rPr>
                <w:b/>
                <w:bCs/>
              </w:rPr>
              <w:t xml:space="preserve">Extended Annual</w:t>
            </w:r>
          </w:p>
        </w:tc>
      </w:tr>
      <w:tr>
        <w:trPr>
          <w:tblHeader w:val="off"/>
        </w:trPr>
        <w:tc>
          <w:tcPr>
            <w:gridSpan w:val="7"/>
          </w:tcPr>
          <w:p>
            <w:r>
              <w:rPr>
                <w:b/>
                <w:bCs/>
              </w:rPr>
              <w:t xml:space="preserve">Part A – Recurring Services</w:t>
            </w:r>
          </w:p>
        </w:tc>
      </w:tr>
      <w:tr>
        <w:trPr>
          <w:tblHeader w:val="off"/>
        </w:trPr>
        <w:tc>
          <w:tcPr>
            <w:gridSpan w:val="1"/>
          </w:tcPr>
          <w:p>
            <w:r>
              <w:rPr>
                <w:b w:val="false"/>
                <w:bCs w:val="false"/>
              </w:rPr>
              <w:t xml:space="preserve">A-1</w:t>
            </w:r>
          </w:p>
        </w:tc>
        <w:tc>
          <w:tcPr>
            <w:gridSpan w:val="1"/>
          </w:tcPr>
          <w:p>
            <w:r>
              <w:rPr>
                <w:b w:val="false"/>
                <w:bCs w:val="false"/>
              </w:rPr>
              <w:t xml:space="preserve">1</w:t>
            </w:r>
          </w:p>
        </w:tc>
        <w:tc>
          <w:tcPr>
            <w:gridSpan w:val="1"/>
          </w:tcPr>
          <w:p>
            <w:r>
              <w:rPr>
                <w:b w:val="false"/>
                <w:bCs w:val="false"/>
              </w:rPr>
              <w:t xml:space="preserve">Courthouse</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A-2</w:t>
            </w:r>
          </w:p>
        </w:tc>
        <w:tc>
          <w:tcPr>
            <w:gridSpan w:val="1"/>
          </w:tcPr>
          <w:p>
            <w:r>
              <w:rPr>
                <w:b w:val="false"/>
                <w:bCs w:val="false"/>
              </w:rPr>
              <w:t xml:space="preserve">2</w:t>
            </w:r>
          </w:p>
        </w:tc>
        <w:tc>
          <w:tcPr>
            <w:gridSpan w:val="1"/>
          </w:tcPr>
          <w:p>
            <w:r>
              <w:rPr>
                <w:b w:val="false"/>
                <w:bCs w:val="false"/>
              </w:rPr>
              <w:t xml:space="preserve">Administration Building</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A-3</w:t>
            </w:r>
          </w:p>
        </w:tc>
        <w:tc>
          <w:tcPr>
            <w:gridSpan w:val="1"/>
          </w:tcPr>
          <w:p>
            <w:r>
              <w:rPr>
                <w:b w:val="false"/>
                <w:bCs w:val="false"/>
              </w:rPr>
              <w:t xml:space="preserve">3</w:t>
            </w:r>
          </w:p>
        </w:tc>
        <w:tc>
          <w:tcPr>
            <w:gridSpan w:val="1"/>
          </w:tcPr>
          <w:p>
            <w:r>
              <w:rPr>
                <w:b w:val="false"/>
                <w:bCs w:val="false"/>
              </w:rPr>
              <w:t xml:space="preserve">Courthouse Annex</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A-4</w:t>
            </w:r>
          </w:p>
        </w:tc>
        <w:tc>
          <w:tcPr>
            <w:gridSpan w:val="1"/>
          </w:tcPr>
          <w:p>
            <w:r>
              <w:rPr>
                <w:b w:val="false"/>
                <w:bCs w:val="false"/>
              </w:rPr>
              <w:t xml:space="preserve">4</w:t>
            </w:r>
          </w:p>
        </w:tc>
        <w:tc>
          <w:tcPr>
            <w:gridSpan w:val="1"/>
          </w:tcPr>
          <w:p>
            <w:r>
              <w:rPr>
                <w:b w:val="false"/>
                <w:bCs w:val="false"/>
              </w:rPr>
              <w:t xml:space="preserve">Human Services Building</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A-5</w:t>
            </w:r>
          </w:p>
        </w:tc>
        <w:tc>
          <w:tcPr>
            <w:gridSpan w:val="1"/>
          </w:tcPr>
          <w:p>
            <w:r>
              <w:rPr>
                <w:b w:val="false"/>
                <w:bCs w:val="false"/>
              </w:rPr>
              <w:t xml:space="preserve">5</w:t>
            </w:r>
          </w:p>
        </w:tc>
        <w:tc>
          <w:tcPr>
            <w:gridSpan w:val="1"/>
          </w:tcPr>
          <w:p>
            <w:r>
              <w:rPr>
                <w:b w:val="false"/>
                <w:bCs w:val="false"/>
              </w:rPr>
              <w:t xml:space="preserve">Main Library</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A-6</w:t>
            </w:r>
          </w:p>
        </w:tc>
        <w:tc>
          <w:tcPr>
            <w:gridSpan w:val="1"/>
          </w:tcPr>
          <w:p>
            <w:r>
              <w:rPr>
                <w:b w:val="false"/>
                <w:bCs w:val="false"/>
              </w:rPr>
              <w:t xml:space="preserve">6</w:t>
            </w:r>
          </w:p>
        </w:tc>
        <w:tc>
          <w:tcPr>
            <w:gridSpan w:val="1"/>
          </w:tcPr>
          <w:p>
            <w:r>
              <w:rPr>
                <w:b w:val="false"/>
                <w:bCs w:val="false"/>
              </w:rPr>
              <w:t xml:space="preserve">Justice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A-7</w:t>
            </w:r>
          </w:p>
        </w:tc>
        <w:tc>
          <w:tcPr>
            <w:gridSpan w:val="1"/>
          </w:tcPr>
          <w:p>
            <w:r>
              <w:rPr>
                <w:b w:val="false"/>
                <w:bCs w:val="false"/>
              </w:rPr>
              <w:t xml:space="preserve">7</w:t>
            </w:r>
          </w:p>
        </w:tc>
        <w:tc>
          <w:tcPr>
            <w:gridSpan w:val="1"/>
          </w:tcPr>
          <w:p>
            <w:r>
              <w:rPr>
                <w:b w:val="false"/>
                <w:bCs w:val="false"/>
              </w:rPr>
              <w:t xml:space="preserve">Law Enforcement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A-8</w:t>
            </w:r>
          </w:p>
        </w:tc>
        <w:tc>
          <w:tcPr>
            <w:gridSpan w:val="1"/>
          </w:tcPr>
          <w:p>
            <w:r>
              <w:rPr>
                <w:b w:val="false"/>
                <w:bCs w:val="false"/>
              </w:rPr>
              <w:t xml:space="preserve">8</w:t>
            </w:r>
          </w:p>
        </w:tc>
        <w:tc>
          <w:tcPr>
            <w:gridSpan w:val="1"/>
          </w:tcPr>
          <w:p>
            <w:r>
              <w:rPr>
                <w:b w:val="false"/>
                <w:bCs w:val="false"/>
              </w:rPr>
              <w:t xml:space="preserve">Jail – public and admin areas</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A-9</w:t>
            </w:r>
          </w:p>
        </w:tc>
        <w:tc>
          <w:tcPr>
            <w:gridSpan w:val="1"/>
          </w:tcPr>
          <w:p>
            <w:r>
              <w:rPr>
                <w:b w:val="false"/>
                <w:bCs w:val="false"/>
              </w:rPr>
              <w:t xml:space="preserve">9</w:t>
            </w:r>
          </w:p>
        </w:tc>
        <w:tc>
          <w:tcPr>
            <w:gridSpan w:val="1"/>
          </w:tcPr>
          <w:p>
            <w:r>
              <w:rPr>
                <w:b w:val="false"/>
                <w:bCs w:val="false"/>
              </w:rPr>
              <w:t xml:space="preserve">Friend of the Court / Probation</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A-10</w:t>
            </w:r>
          </w:p>
        </w:tc>
        <w:tc>
          <w:tcPr>
            <w:gridSpan w:val="1"/>
          </w:tcPr>
          <w:p>
            <w:r>
              <w:rPr>
                <w:b w:val="false"/>
                <w:bCs w:val="false"/>
              </w:rPr>
              <w:t xml:space="preserve">10</w:t>
            </w:r>
          </w:p>
        </w:tc>
        <w:tc>
          <w:tcPr>
            <w:gridSpan w:val="1"/>
          </w:tcPr>
          <w:p>
            <w:r>
              <w:rPr>
                <w:b w:val="false"/>
                <w:bCs w:val="false"/>
              </w:rPr>
              <w:t xml:space="preserve">Central Garage</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A-11</w:t>
            </w:r>
          </w:p>
        </w:tc>
        <w:tc>
          <w:tcPr>
            <w:gridSpan w:val="1"/>
          </w:tcPr>
          <w:p>
            <w:r>
              <w:rPr>
                <w:b w:val="false"/>
                <w:bCs w:val="false"/>
              </w:rPr>
              <w:t xml:space="preserve">11</w:t>
            </w:r>
          </w:p>
        </w:tc>
        <w:tc>
          <w:tcPr>
            <w:gridSpan w:val="1"/>
          </w:tcPr>
          <w:p>
            <w:r>
              <w:rPr>
                <w:b w:val="false"/>
                <w:bCs w:val="false"/>
              </w:rPr>
              <w:t xml:space="preserve">Senior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A-12</w:t>
            </w:r>
          </w:p>
        </w:tc>
        <w:tc>
          <w:tcPr>
            <w:gridSpan w:val="1"/>
          </w:tcPr>
          <w:p>
            <w:r>
              <w:rPr>
                <w:b w:val="false"/>
                <w:bCs w:val="false"/>
              </w:rPr>
              <w:t xml:space="preserve">12</w:t>
            </w:r>
          </w:p>
        </w:tc>
        <w:tc>
          <w:tcPr>
            <w:gridSpan w:val="1"/>
          </w:tcPr>
          <w:p>
            <w:r>
              <w:rPr>
                <w:b w:val="false"/>
                <w:bCs w:val="false"/>
              </w:rPr>
              <w:t xml:space="preserve">Animal Control &amp; Adoption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A-13</w:t>
            </w:r>
          </w:p>
        </w:tc>
        <w:tc>
          <w:tcPr>
            <w:gridSpan w:val="1"/>
          </w:tcPr>
          <w:p>
            <w:r>
              <w:rPr>
                <w:b w:val="false"/>
                <w:bCs w:val="false"/>
              </w:rPr>
              <w:t xml:space="preserve">13</w:t>
            </w:r>
          </w:p>
        </w:tc>
        <w:tc>
          <w:tcPr>
            <w:gridSpan w:val="1"/>
          </w:tcPr>
          <w:p>
            <w:r>
              <w:rPr>
                <w:b w:val="false"/>
                <w:bCs w:val="false"/>
              </w:rPr>
              <w:t xml:space="preserve">Emergency Operations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A-14</w:t>
            </w:r>
          </w:p>
        </w:tc>
        <w:tc>
          <w:tcPr>
            <w:gridSpan w:val="1"/>
          </w:tcPr>
          <w:p>
            <w:r>
              <w:rPr>
                <w:b w:val="false"/>
                <w:bCs w:val="false"/>
              </w:rPr>
              <w:t xml:space="preserve">14</w:t>
            </w:r>
          </w:p>
        </w:tc>
        <w:tc>
          <w:tcPr>
            <w:gridSpan w:val="1"/>
          </w:tcPr>
          <w:p>
            <w:r>
              <w:rPr>
                <w:b w:val="false"/>
                <w:bCs w:val="false"/>
              </w:rPr>
              <w:t xml:space="preserve">Records Storage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A-15</w:t>
            </w:r>
          </w:p>
        </w:tc>
        <w:tc>
          <w:tcPr>
            <w:gridSpan w:val="1"/>
          </w:tcPr>
          <w:p>
            <w:r>
              <w:rPr>
                <w:b w:val="false"/>
                <w:bCs w:val="false"/>
              </w:rPr>
              <w:t xml:space="preserve">15</w:t>
            </w:r>
          </w:p>
        </w:tc>
        <w:tc>
          <w:tcPr>
            <w:gridSpan w:val="1"/>
          </w:tcPr>
          <w:p>
            <w:r>
              <w:rPr>
                <w:b w:val="false"/>
                <w:bCs w:val="false"/>
              </w:rPr>
              <w:t xml:space="preserve">North County Service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A-16</w:t>
            </w:r>
          </w:p>
        </w:tc>
        <w:tc>
          <w:tcPr>
            <w:gridSpan w:val="1"/>
          </w:tcPr>
          <w:p>
            <w:r>
              <w:rPr>
                <w:b w:val="false"/>
                <w:bCs w:val="false"/>
              </w:rPr>
              <w:t xml:space="preserve">16</w:t>
            </w:r>
          </w:p>
        </w:tc>
        <w:tc>
          <w:tcPr>
            <w:gridSpan w:val="1"/>
          </w:tcPr>
          <w:p>
            <w:r>
              <w:rPr>
                <w:b w:val="false"/>
                <w:bCs w:val="false"/>
              </w:rPr>
              <w:t xml:space="preserve">South County Service Center</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1"/>
          </w:tcPr>
          <w:p>
            <w:r>
              <w:rPr>
                <w:b w:val="false"/>
                <w:bCs w:val="false"/>
              </w:rPr>
              <w:t xml:space="preserve">A-17</w:t>
            </w:r>
          </w:p>
        </w:tc>
        <w:tc>
          <w:tcPr>
            <w:gridSpan w:val="1"/>
          </w:tcPr>
          <w:p>
            <w:r>
              <w:rPr>
                <w:b w:val="false"/>
                <w:bCs w:val="false"/>
              </w:rPr>
              <w:t xml:space="preserve">20</w:t>
            </w:r>
          </w:p>
        </w:tc>
        <w:tc>
          <w:tcPr>
            <w:gridSpan w:val="1"/>
          </w:tcPr>
          <w:p>
            <w:r>
              <w:rPr>
                <w:b w:val="false"/>
                <w:bCs w:val="false"/>
              </w:rPr>
              <w:t xml:space="preserve">Riverbend Trailhead Restroom</w:t>
            </w:r>
          </w:p>
        </w:tc>
        <w:tc>
          <w:tcPr>
            <w:gridSpan w:val="1"/>
          </w:tcPr>
          <w:p>
            <w:r>
              <w:rPr>
                <w:b w:val="false"/>
                <w:bCs w:val="false"/>
              </w:rPr>
              <w:t xml:space="preserve">Monthly</w:t>
            </w:r>
          </w:p>
        </w:tc>
        <w:tc>
          <w:tcPr>
            <w:gridSpan w:val="1"/>
          </w:tcPr>
          <w:p>
            <w:r>
              <w:rPr>
                <w:b w:val="false"/>
                <w:bCs w:val="false"/>
              </w:rPr>
              <w:t xml:space="preserve">$________</w:t>
            </w:r>
          </w:p>
        </w:tc>
        <w:tc>
          <w:tcPr>
            <w:gridSpan w:val="1"/>
          </w:tcPr>
          <w:p>
            <w:r>
              <w:rPr>
                <w:b w:val="false"/>
                <w:bCs w:val="false"/>
              </w:rPr>
              <w:t xml:space="preserve">12</w:t>
            </w:r>
          </w:p>
        </w:tc>
        <w:tc>
          <w:tcPr>
            <w:gridSpan w:val="1"/>
          </w:tcPr>
          <w:p>
            <w:r>
              <w:rPr>
                <w:b w:val="false"/>
                <w:bCs w:val="false"/>
              </w:rPr>
              <w:t xml:space="preserve">$________</w:t>
            </w:r>
          </w:p>
        </w:tc>
      </w:tr>
      <w:tr>
        <w:trPr>
          <w:tblHeader w:val="off"/>
        </w:trPr>
        <w:tc>
          <w:tcPr>
            <w:gridSpan w:val="7"/>
          </w:tcPr>
          <w:p>
            <w:r>
              <w:rPr>
                <w:b/>
                <w:bCs/>
              </w:rPr>
              <w:t xml:space="preserve">Part B – Seasonal Park Services</w:t>
            </w:r>
          </w:p>
        </w:tc>
      </w:tr>
      <w:tr>
        <w:trPr>
          <w:tblHeader w:val="off"/>
        </w:trPr>
        <w:tc>
          <w:tcPr>
            <w:gridSpan w:val="1"/>
          </w:tcPr>
          <w:p>
            <w:r>
              <w:rPr>
                <w:b w:val="false"/>
                <w:bCs w:val="false"/>
              </w:rPr>
              <w:t xml:space="preserve">B-1</w:t>
            </w:r>
          </w:p>
        </w:tc>
        <w:tc>
          <w:tcPr>
            <w:gridSpan w:val="1"/>
          </w:tcPr>
          <w:p>
            <w:r>
              <w:rPr>
                <w:b w:val="false"/>
                <w:bCs w:val="false"/>
              </w:rPr>
              <w:t xml:space="preserve">18</w:t>
            </w:r>
          </w:p>
        </w:tc>
        <w:tc>
          <w:tcPr>
            <w:gridSpan w:val="1"/>
          </w:tcPr>
          <w:p>
            <w:r>
              <w:rPr>
                <w:b w:val="false"/>
                <w:bCs w:val="false"/>
              </w:rPr>
              <w:t xml:space="preserve">Lakeview Beach House</w:t>
            </w:r>
          </w:p>
        </w:tc>
        <w:tc>
          <w:tcPr>
            <w:gridSpan w:val="1"/>
          </w:tcPr>
          <w:p>
            <w:r>
              <w:rPr>
                <w:b w:val="false"/>
                <w:bCs w:val="false"/>
              </w:rPr>
              <w:t xml:space="preserve">Per season</w:t>
            </w:r>
          </w:p>
        </w:tc>
        <w:tc>
          <w:tcPr>
            <w:gridSpan w:val="1"/>
          </w:tcPr>
          <w:p>
            <w:r>
              <w:rPr>
                <w:b w:val="false"/>
                <w:bCs w:val="false"/>
              </w:rPr>
              <w:t xml:space="preserve">$________</w:t>
            </w:r>
          </w:p>
        </w:tc>
        <w:tc>
          <w:tcPr>
            <w:gridSpan w:val="1"/>
          </w:tcPr>
          <w:p>
            <w:r>
              <w:rPr>
                <w:b w:val="false"/>
                <w:bCs w:val="false"/>
              </w:rPr>
              <w:t xml:space="preserve">1</w:t>
            </w:r>
          </w:p>
        </w:tc>
        <w:tc>
          <w:tcPr>
            <w:gridSpan w:val="1"/>
          </w:tcPr>
          <w:p>
            <w:r>
              <w:rPr>
                <w:b w:val="false"/>
                <w:bCs w:val="false"/>
              </w:rPr>
              <w:t xml:space="preserve">$________</w:t>
            </w:r>
          </w:p>
        </w:tc>
      </w:tr>
      <w:tr>
        <w:trPr>
          <w:tblHeader w:val="off"/>
        </w:trPr>
        <w:tc>
          <w:tcPr>
            <w:gridSpan w:val="1"/>
          </w:tcPr>
          <w:p>
            <w:r>
              <w:rPr>
                <w:b w:val="false"/>
                <w:bCs w:val="false"/>
              </w:rPr>
              <w:t xml:space="preserve">B-2</w:t>
            </w:r>
          </w:p>
        </w:tc>
        <w:tc>
          <w:tcPr>
            <w:gridSpan w:val="1"/>
          </w:tcPr>
          <w:p>
            <w:r>
              <w:rPr>
                <w:b w:val="false"/>
                <w:bCs w:val="false"/>
              </w:rPr>
              <w:t xml:space="preserve">19</w:t>
            </w:r>
          </w:p>
        </w:tc>
        <w:tc>
          <w:tcPr>
            <w:gridSpan w:val="1"/>
          </w:tcPr>
          <w:p>
            <w:r>
              <w:rPr>
                <w:b w:val="false"/>
                <w:bCs w:val="false"/>
              </w:rPr>
              <w:t xml:space="preserve">Lakeview Campground Shower Building</w:t>
            </w:r>
          </w:p>
        </w:tc>
        <w:tc>
          <w:tcPr>
            <w:gridSpan w:val="1"/>
          </w:tcPr>
          <w:p>
            <w:r>
              <w:rPr>
                <w:b w:val="false"/>
                <w:bCs w:val="false"/>
              </w:rPr>
              <w:t xml:space="preserve">Per season</w:t>
            </w:r>
          </w:p>
        </w:tc>
        <w:tc>
          <w:tcPr>
            <w:gridSpan w:val="1"/>
          </w:tcPr>
          <w:p>
            <w:r>
              <w:rPr>
                <w:b w:val="false"/>
                <w:bCs w:val="false"/>
              </w:rPr>
              <w:t xml:space="preserve">$________</w:t>
            </w:r>
          </w:p>
        </w:tc>
        <w:tc>
          <w:tcPr>
            <w:gridSpan w:val="1"/>
          </w:tcPr>
          <w:p>
            <w:r>
              <w:rPr>
                <w:b w:val="false"/>
                <w:bCs w:val="false"/>
              </w:rPr>
              <w:t xml:space="preserve">1</w:t>
            </w:r>
          </w:p>
        </w:tc>
        <w:tc>
          <w:tcPr>
            <w:gridSpan w:val="1"/>
          </w:tcPr>
          <w:p>
            <w:r>
              <w:rPr>
                <w:b w:val="false"/>
                <w:bCs w:val="false"/>
              </w:rPr>
              <w:t xml:space="preserve">$________</w:t>
            </w:r>
          </w:p>
        </w:tc>
      </w:tr>
      <w:tr>
        <w:trPr>
          <w:tblHeader w:val="off"/>
        </w:trPr>
        <w:tc>
          <w:tcPr>
            <w:gridSpan w:val="7"/>
          </w:tcPr>
          <w:p>
            <w:r>
              <w:rPr>
                <w:b/>
                <w:bCs/>
              </w:rPr>
              <w:t xml:space="preserve">Part C – Event, Rental and On-Call Services</w:t>
            </w:r>
          </w:p>
        </w:tc>
      </w:tr>
      <w:tr>
        <w:trPr>
          <w:tblHeader w:val="off"/>
        </w:trPr>
        <w:tc>
          <w:tcPr>
            <w:gridSpan w:val="1"/>
          </w:tcPr>
          <w:p>
            <w:r>
              <w:rPr>
                <w:b w:val="false"/>
                <w:bCs w:val="false"/>
              </w:rPr>
              <w:t xml:space="preserve">C-1</w:t>
            </w:r>
          </w:p>
        </w:tc>
        <w:tc>
          <w:tcPr>
            <w:gridSpan w:val="1"/>
          </w:tcPr>
          <w:p>
            <w:r>
              <w:rPr>
                <w:b w:val="false"/>
                <w:bCs w:val="false"/>
              </w:rPr>
              <w:t xml:space="preserve">17</w:t>
            </w:r>
          </w:p>
        </w:tc>
        <w:tc>
          <w:tcPr>
            <w:gridSpan w:val="1"/>
          </w:tcPr>
          <w:p>
            <w:r>
              <w:rPr>
                <w:b w:val="false"/>
                <w:bCs w:val="false"/>
              </w:rPr>
              <w:t xml:space="preserve">Fairgrounds Exhibit Hall – event cleaning</w:t>
            </w:r>
          </w:p>
        </w:tc>
        <w:tc>
          <w:tcPr>
            <w:gridSpan w:val="1"/>
          </w:tcPr>
          <w:p>
            <w:r>
              <w:rPr>
                <w:b w:val="false"/>
                <w:bCs w:val="false"/>
              </w:rPr>
              <w:t xml:space="preserve">Per event</w:t>
            </w:r>
          </w:p>
        </w:tc>
        <w:tc>
          <w:tcPr>
            <w:gridSpan w:val="1"/>
          </w:tcPr>
          <w:p>
            <w:r>
              <w:rPr>
                <w:b w:val="false"/>
                <w:bCs w:val="false"/>
              </w:rPr>
              <w:t xml:space="preserve">$________</w:t>
            </w:r>
          </w:p>
        </w:tc>
        <w:tc>
          <w:tcPr>
            <w:gridSpan w:val="1"/>
          </w:tcPr>
          <w:p>
            <w:r>
              <w:rPr>
                <w:b w:val="false"/>
                <w:bCs w:val="false"/>
              </w:rPr>
              <w:t xml:space="preserve">31</w:t>
            </w:r>
          </w:p>
        </w:tc>
        <w:tc>
          <w:tcPr>
            <w:gridSpan w:val="1"/>
          </w:tcPr>
          <w:p>
            <w:r>
              <w:rPr>
                <w:b w:val="false"/>
                <w:bCs w:val="false"/>
              </w:rPr>
              <w:t xml:space="preserve">$________</w:t>
            </w:r>
          </w:p>
        </w:tc>
      </w:tr>
      <w:tr>
        <w:trPr>
          <w:tblHeader w:val="off"/>
        </w:trPr>
        <w:tc>
          <w:tcPr>
            <w:gridSpan w:val="1"/>
          </w:tcPr>
          <w:p>
            <w:r>
              <w:rPr>
                <w:b w:val="false"/>
                <w:bCs w:val="false"/>
              </w:rPr>
              <w:t xml:space="preserve">C-2</w:t>
            </w:r>
          </w:p>
        </w:tc>
        <w:tc>
          <w:tcPr>
            <w:gridSpan w:val="1"/>
          </w:tcPr>
          <w:p>
            <w:r>
              <w:rPr>
                <w:b w:val="false"/>
                <w:bCs w:val="false"/>
              </w:rPr>
              <w:t xml:space="preserve">21</w:t>
            </w:r>
          </w:p>
        </w:tc>
        <w:tc>
          <w:tcPr>
            <w:gridSpan w:val="1"/>
          </w:tcPr>
          <w:p>
            <w:r>
              <w:rPr>
                <w:b w:val="false"/>
                <w:bCs w:val="false"/>
              </w:rPr>
              <w:t xml:space="preserve">Cedar Bluff Lodge – rental cleaning</w:t>
            </w:r>
          </w:p>
        </w:tc>
        <w:tc>
          <w:tcPr>
            <w:gridSpan w:val="1"/>
          </w:tcPr>
          <w:p>
            <w:r>
              <w:rPr>
                <w:b w:val="false"/>
                <w:bCs w:val="false"/>
              </w:rPr>
              <w:t xml:space="preserve">Per rental</w:t>
            </w:r>
          </w:p>
        </w:tc>
        <w:tc>
          <w:tcPr>
            <w:gridSpan w:val="1"/>
          </w:tcPr>
          <w:p>
            <w:r>
              <w:rPr>
                <w:b w:val="false"/>
                <w:bCs w:val="false"/>
              </w:rPr>
              <w:t xml:space="preserve">$________</w:t>
            </w:r>
          </w:p>
        </w:tc>
        <w:tc>
          <w:tcPr>
            <w:gridSpan w:val="1"/>
          </w:tcPr>
          <w:p>
            <w:r>
              <w:rPr>
                <w:b w:val="false"/>
                <w:bCs w:val="false"/>
              </w:rPr>
              <w:t xml:space="preserve">58</w:t>
            </w:r>
          </w:p>
        </w:tc>
        <w:tc>
          <w:tcPr>
            <w:gridSpan w:val="1"/>
          </w:tcPr>
          <w:p>
            <w:r>
              <w:rPr>
                <w:b w:val="false"/>
                <w:bCs w:val="false"/>
              </w:rPr>
              <w:t xml:space="preserve">$________</w:t>
            </w:r>
          </w:p>
        </w:tc>
      </w:tr>
      <w:tr>
        <w:trPr>
          <w:tblHeader w:val="off"/>
        </w:trPr>
        <w:tc>
          <w:tcPr>
            <w:gridSpan w:val="1"/>
          </w:tcPr>
          <w:p>
            <w:r>
              <w:rPr>
                <w:b w:val="false"/>
                <w:bCs w:val="false"/>
              </w:rPr>
              <w:t xml:space="preserve">C-3</w:t>
            </w:r>
          </w:p>
        </w:tc>
        <w:tc>
          <w:tcPr>
            <w:gridSpan w:val="1"/>
          </w:tcPr>
          <w:p>
            <w:r>
              <w:rPr>
                <w:b w:val="false"/>
                <w:bCs w:val="false"/>
              </w:rPr>
              <w:t xml:space="preserve">All</w:t>
            </w:r>
          </w:p>
        </w:tc>
        <w:tc>
          <w:tcPr>
            <w:gridSpan w:val="1"/>
          </w:tcPr>
          <w:p>
            <w:r>
              <w:rPr>
                <w:b w:val="false"/>
                <w:bCs w:val="false"/>
              </w:rPr>
              <w:t xml:space="preserve">On-call and additional work (incl. EOC activation)</w:t>
            </w:r>
          </w:p>
        </w:tc>
        <w:tc>
          <w:tcPr>
            <w:gridSpan w:val="1"/>
          </w:tcPr>
          <w:p>
            <w:r>
              <w:rPr>
                <w:b w:val="false"/>
                <w:bCs w:val="false"/>
              </w:rPr>
              <w:t xml:space="preserve">Per hour</w:t>
            </w:r>
          </w:p>
        </w:tc>
        <w:tc>
          <w:tcPr>
            <w:gridSpan w:val="1"/>
          </w:tcPr>
          <w:p>
            <w:r>
              <w:rPr>
                <w:b w:val="false"/>
                <w:bCs w:val="false"/>
              </w:rPr>
              <w:t xml:space="preserve">$________</w:t>
            </w:r>
          </w:p>
        </w:tc>
        <w:tc>
          <w:tcPr>
            <w:gridSpan w:val="1"/>
          </w:tcPr>
          <w:p>
            <w:r>
              <w:rPr>
                <w:b w:val="false"/>
                <w:bCs w:val="false"/>
              </w:rPr>
              <w:t xml:space="preserve">40</w:t>
            </w:r>
          </w:p>
        </w:tc>
        <w:tc>
          <w:tcPr>
            <w:gridSpan w:val="1"/>
          </w:tcPr>
          <w:p>
            <w:r>
              <w:rPr>
                <w:b w:val="false"/>
                <w:bCs w:val="false"/>
              </w:rPr>
              <w:t xml:space="preserve">$________</w:t>
            </w:r>
          </w:p>
        </w:tc>
      </w:tr>
      <w:tr>
        <w:trPr>
          <w:tblHeader w:val="off"/>
        </w:trPr>
        <w:tc>
          <w:tcPr>
            <w:gridSpan w:val="1"/>
          </w:tcPr>
          <w:p>
            <w:r>
              <w:rPr>
                <w:b w:val="false"/>
                <w:bCs w:val="false"/>
              </w:rPr>
              <w:t xml:space="preserve">C-4</w:t>
            </w:r>
          </w:p>
        </w:tc>
        <w:tc>
          <w:tcPr>
            <w:gridSpan w:val="1"/>
          </w:tcPr>
          <w:p>
            <w:r>
              <w:rPr>
                <w:b w:val="false"/>
                <w:bCs w:val="false"/>
              </w:rPr>
              <w:t xml:space="preserve">All</w:t>
            </w:r>
          </w:p>
        </w:tc>
        <w:tc>
          <w:tcPr>
            <w:gridSpan w:val="1"/>
          </w:tcPr>
          <w:p>
            <w:r>
              <w:rPr>
                <w:b w:val="false"/>
                <w:bCs w:val="false"/>
              </w:rPr>
              <w:t xml:space="preserve">Additions / deletions of area (Section 1.7)</w:t>
            </w:r>
          </w:p>
        </w:tc>
        <w:tc>
          <w:tcPr>
            <w:gridSpan w:val="1"/>
          </w:tcPr>
          <w:p>
            <w:r>
              <w:rPr>
                <w:b w:val="false"/>
                <w:bCs w:val="false"/>
              </w:rPr>
              <w:t xml:space="preserve">Per sq. ft. per month</w:t>
            </w:r>
          </w:p>
        </w:tc>
        <w:tc>
          <w:tcPr>
            <w:gridSpan w:val="1"/>
          </w:tcPr>
          <w:p>
            <w:r>
              <w:rPr>
                <w:b w:val="false"/>
                <w:bCs w:val="false"/>
              </w:rPr>
              <w:t xml:space="preserve">$________</w:t>
            </w:r>
          </w:p>
        </w:tc>
        <w:tc>
          <w:tcPr>
            <w:gridSpan w:val="1"/>
          </w:tcPr>
          <w:p>
            <w:r>
              <w:rPr>
                <w:b w:val="false"/>
                <w:bCs w:val="false"/>
              </w:rPr>
              <w:t xml:space="preserve">—</w:t>
            </w:r>
          </w:p>
        </w:tc>
        <w:tc>
          <w:tcPr>
            <w:gridSpan w:val="1"/>
          </w:tcPr>
          <w:p>
            <w:r>
              <w:rPr>
                <w:b w:val="false"/>
                <w:bCs w:val="false"/>
              </w:rPr>
              <w:t xml:space="preserve">—</w:t>
            </w:r>
          </w:p>
        </w:tc>
      </w:tr>
      <w:tr>
        <w:trPr>
          <w:tblHeader w:val="off"/>
        </w:trPr>
        <w:tc>
          <w:tcPr>
            <w:gridSpan w:val="1"/>
          </w:tcPr>
          <w:p>
            <w:r>
              <w:t xml:space="preserve"/>
            </w:r>
          </w:p>
        </w:tc>
        <w:tc>
          <w:tcPr>
            <w:gridSpan w:val="1"/>
          </w:tcPr>
          <w:p>
            <w:r>
              <w:t xml:space="preserve"/>
            </w:r>
          </w:p>
        </w:tc>
        <w:tc>
          <w:tcPr>
            <w:gridSpan w:val="1"/>
          </w:tcPr>
          <w:p>
            <w:r>
              <w:rPr>
                <w:b/>
                <w:bCs/>
              </w:rPr>
              <w:t xml:space="preserve">TOTAL ANNUAL PRICE (Lines A-1 through C-3)</w:t>
            </w:r>
          </w:p>
        </w:tc>
        <w:tc>
          <w:tcPr>
            <w:gridSpan w:val="1"/>
          </w:tcPr>
          <w:p>
            <w:r>
              <w:t xml:space="preserve"/>
            </w:r>
          </w:p>
        </w:tc>
        <w:tc>
          <w:tcPr>
            <w:gridSpan w:val="1"/>
          </w:tcPr>
          <w:p>
            <w:r>
              <w:t xml:space="preserve"/>
            </w:r>
          </w:p>
        </w:tc>
        <w:tc>
          <w:tcPr>
            <w:gridSpan w:val="1"/>
          </w:tcPr>
          <w:p>
            <w:r>
              <w:t xml:space="preserve"/>
            </w:r>
          </w:p>
        </w:tc>
        <w:tc>
          <w:tcPr>
            <w:gridSpan w:val="1"/>
          </w:tcPr>
          <w:p>
            <w:r>
              <w:rPr>
                <w:b w:val="false"/>
                <w:bCs w:val="false"/>
              </w:rPr>
              <w:t xml:space="preserve">$________</w:t>
            </w:r>
          </w:p>
        </w:tc>
      </w:tr>
    </w:tbl>
    <w:p>
      <w:r>
        <w:rPr>
          <w:b w:val="false"/>
          <w:bCs w:val="false"/>
        </w:rPr>
        <w:t xml:space="preserve">Company Name: ______________________________ Authorized Signature: ______________________________ Date: ____________</w:t>
      </w:r>
    </w:p>
    <w:p>
      <w:r>
        <w:rPr>
          <w:b/>
          <w:bCs/>
        </w:rPr>
        <w:t xml:space="preserve">KESSLING COUNTY, MICHIGAN</w:t>
      </w:r>
    </w:p>
    <w:p>
      <w:r>
        <w:rPr>
          <w:b w:val="false"/>
          <w:bCs w:val="false"/>
        </w:rPr>
        <w:t xml:space="preserve">Purchasing Division • 400 E. Main Street, Ardmore Falls, Michigan 49689</w:t>
      </w:r>
    </w:p>
    <w:p>
      <w:pPr>
        <w:pStyle w:val="Heading1"/>
      </w:pPr>
      <w:r>
        <w:rPr>
          <w:b w:val="false"/>
          <w:bCs w:val="false"/>
        </w:rPr>
        <w:t xml:space="preserve">ADDENDUM NO. 1</w:t>
      </w:r>
      <w:r>
        <w:br/>
        <w:t xml:space="preserve"/>
      </w:r>
      <w:r>
        <w:rPr>
          <w:b w:val="false"/>
          <w:bCs w:val="false"/>
        </w:rPr>
        <w:t xml:space="preserve">RFP No. 2026-041 – Janitorial Services for County Facilities</w:t>
      </w:r>
    </w:p>
    <w:p>
      <w:r>
        <w:rPr>
          <w:b w:val="false"/>
          <w:bCs w:val="false"/>
        </w:rPr>
        <w:t xml:space="preserve">DATE: November 20, 2026</w:t>
      </w:r>
    </w:p>
    <w:p>
      <w:r>
        <w:rPr>
          <w:b w:val="false"/>
          <w:bCs w:val="false"/>
        </w:rPr>
        <w:t xml:space="preserve">TO: All Prospective Proposers</w:t>
      </w:r>
    </w:p>
    <w:p>
      <w:r>
        <w:rPr>
          <w:b w:val="false"/>
          <w:bCs w:val="false"/>
        </w:rPr>
        <w:t xml:space="preserve">This Addendum forms part of the Request for Proposals and modifies the original RFP documents as noted below. All other terms and conditions remain unchanged. Proposers shall acknowledge receipt of this Addendum on Attachment A. Failure to acknowledge it may result in rejection of the proposal.</w:t>
      </w:r>
    </w:p>
    <w:p>
      <w:r>
        <w:rPr>
          <w:b/>
          <w:bCs/>
        </w:rPr>
        <w:t xml:space="preserve">Item 1 – Proposal Opening.</w:t>
      </w:r>
      <w:r>
        <w:rPr>
          <w:b w:val="false"/>
          <w:bCs w:val="false"/>
        </w:rPr>
        <w:t xml:space="preserve"> Please note the location change for the proposal opening. Proposals will be publicly opened in the Board of Commissioners Chambers, First Floor, Administration Building, at 2:15 p.m. on Tuesday, December 8, 2026. The due date and time for delivery to Room 210 are unchanged.</w:t>
      </w:r>
    </w:p>
    <w:p>
      <w:r>
        <w:rPr>
          <w:b/>
          <w:bCs/>
        </w:rPr>
        <w:t xml:space="preserve">Item 2 – Site 4, Human Services Building – Revised Square Footage.</w:t>
      </w:r>
      <w:r>
        <w:rPr>
          <w:b w:val="false"/>
          <w:bCs w:val="false"/>
        </w:rPr>
        <w:t xml:space="preserve"> In Section 3.1, Site 4, delete “approximately 41,750 square feet (First Floor 21,420 sq. ft.; Second Floor 20,330 sq. ft.)” and replace with “approximately 46,210 square feet (First Floor 25,880 sq. ft.; Second Floor 20,330 sq. ft.)”. The one-story WIC clinic addition of 4,460 sq. ft., opened in June 2026, had been omitted from the County’s facility inventory. In Table 3-1, the Approx. Sq. Ft. for Site 4 is revised from 41,750 to 46,210. Service days are unchanged (evenings, Monday thru Friday).</w:t>
      </w:r>
    </w:p>
    <w:p>
      <w:r>
        <w:rPr>
          <w:b/>
          <w:bCs/>
        </w:rPr>
        <w:t xml:space="preserve">Item 3 – New Location Added: Site 22.</w:t>
      </w:r>
      <w:r>
        <w:rPr>
          <w:b w:val="false"/>
          <w:bCs w:val="false"/>
        </w:rPr>
        <w:t xml:space="preserve"> Add the following location to Section 3.1, Table 3-1 and Attachment B (new Line A-18):</w:t>
      </w:r>
    </w:p>
    <w:p>
      <w:r>
        <w:rPr>
          <w:b/>
          <w:bCs/>
        </w:rPr>
        <w:t xml:space="preserve">Site 22 – Community Corrections and Pretrial Services Office</w:t>
      </w:r>
      <w:r>
        <w:rPr>
          <w:b w:val="false"/>
          <w:bCs w:val="false"/>
        </w:rPr>
        <w:t xml:space="preserve"> — approximately 5,280 sq. ft.</w:t>
      </w:r>
      <w:r>
        <w:br/>
        <w:t xml:space="preserve"/>
      </w:r>
      <w:r>
        <w:rPr>
          <w:b w:val="false"/>
          <w:bCs w:val="false"/>
        </w:rPr>
        <w:t xml:space="preserve">610 Orchard Street — Evenings: Monday, Wednesday and Friday</w:t>
      </w:r>
      <w:r>
        <w:br/>
        <w:t xml:space="preserve"/>
      </w:r>
      <w:r>
        <w:rPr>
          <w:b w:val="false"/>
          <w:bCs w:val="false"/>
        </w:rPr>
        <w:t xml:space="preserve">Ardmore Falls, MI 49689</w:t>
      </w:r>
    </w:p>
    <w:p>
      <w:r>
        <w:rPr>
          <w:b w:val="false"/>
          <w:bCs w:val="false"/>
        </w:rPr>
        <w:t xml:space="preserve">One-story leased office building with a public lobby, offices, a group room and three (3) restrooms, two of which are drug-testing restrooms to be cleaned and disinfected at each service visit. The County’s lease begins January 1, 2027; service begins with the contract on February 1, 2027.</w:t>
      </w:r>
    </w:p>
    <w:p>
      <w:r>
        <w:rPr>
          <w:b/>
          <w:bCs/>
        </w:rPr>
        <w:t xml:space="preserve">Item 4 – Table 3-1 Revised Total.</w:t>
      </w:r>
      <w:r>
        <w:rPr>
          <w:b w:val="false"/>
          <w:bCs w:val="false"/>
        </w:rPr>
        <w:t xml:space="preserve"> With Items 2 and 3, the total in Table 3-1 is revised to read: “TOTAL – 18 County buildings: 489,830”. Park facilities (Sites 18–21) remain outside Table 3-1.</w:t>
      </w:r>
    </w:p>
    <w:p>
      <w:r>
        <w:rPr>
          <w:b/>
          <w:bCs/>
        </w:rPr>
        <w:t xml:space="preserve">Item 5 – Attachment B.</w:t>
      </w:r>
      <w:r>
        <w:rPr>
          <w:b w:val="false"/>
          <w:bCs w:val="false"/>
        </w:rPr>
        <w:t xml:space="preserve"> Add Line A-18: Site 22, Community Corrections and Pretrial Services Office, Monthly, Est. Qty / Yr 12. The Total Annual Price shall include Line A-18.</w:t>
      </w:r>
    </w:p>
    <w:p>
      <w:r>
        <w:rPr>
          <w:b/>
          <w:bCs/>
        </w:rPr>
        <w:t xml:space="preserve">Item 6 – Questions and Answers.</w:t>
      </w:r>
      <w:r>
        <w:rPr>
          <w:b w:val="false"/>
          <w:bCs w:val="false"/>
        </w:rPr>
        <w:t xml:space="preserve"> The following questions were received by the deadline. Questions are reproduced as submitted.</w:t>
      </w:r>
    </w:p>
    <w:p>
      <w:r>
        <w:rPr>
          <w:b w:val="false"/>
          <w:bCs w:val="false"/>
        </w:rPr>
        <w:t xml:space="preserve">Q1. Who is the current contractor, and what is the current contract amount?</w:t>
      </w:r>
    </w:p>
    <w:p>
      <w:r>
        <w:rPr>
          <w:b w:val="false"/>
          <w:bCs w:val="false"/>
        </w:rPr>
        <w:t xml:space="preserve">A1. Janitorial services are currently provided by Northern Shores Building Services, Inc. under Contract No. KC-23-0412, awarded by the Board of Commissioners in November 2023 for the term February 1, 2024 through January 31, 2027. The current monthly contract amount is $91,240, or $1,094,880 annually. Event and rental cleaning at Sites 17 and 21 is billed separately and is not included in that amount.</w:t>
      </w:r>
    </w:p>
    <w:p>
      <w:r>
        <w:rPr>
          <w:b w:val="false"/>
          <w:bCs w:val="false"/>
        </w:rPr>
        <w:t xml:space="preserve">Q2. Are the square footages in Section 3 gross or cleanable?</w:t>
      </w:r>
    </w:p>
    <w:p>
      <w:r>
        <w:rPr>
          <w:b w:val="false"/>
          <w:bCs w:val="false"/>
        </w:rPr>
        <w:t xml:space="preserve">A2. They are approximate gross building areas from the County’s facility inventory and insurance schedule, except where Section 3 states a contractor cleaning area (Sites 6, 8 and 10). See also Section 1.7.</w:t>
      </w:r>
    </w:p>
    <w:p>
      <w:r>
        <w:rPr>
          <w:b w:val="false"/>
          <w:bCs w:val="false"/>
        </w:rPr>
        <w:t xml:space="preserve">Q3. Is the Juvenile Detention Center or any part of the Jail secure perimeter included?</w:t>
      </w:r>
    </w:p>
    <w:p>
      <w:r>
        <w:rPr>
          <w:b w:val="false"/>
          <w:bCs w:val="false"/>
        </w:rPr>
        <w:t xml:space="preserve">A3. No. See Section 3.5 (a) and (b). At the Jail, only the areas listed under Site 8 are included.</w:t>
      </w:r>
    </w:p>
    <w:p>
      <w:r>
        <w:rPr>
          <w:b w:val="false"/>
          <w:bCs w:val="false"/>
        </w:rPr>
        <w:t xml:space="preserve">Q4. Will the Pine Run Park restroom reopen during the contract term?</w:t>
      </w:r>
    </w:p>
    <w:p>
      <w:r>
        <w:rPr>
          <w:b w:val="false"/>
          <w:bCs w:val="false"/>
        </w:rPr>
        <w:t xml:space="preserve">A4. No. The building will be demolished in spring 2027 and will not be replaced.</w:t>
      </w:r>
    </w:p>
    <w:p>
      <w:r>
        <w:rPr>
          <w:b w:val="false"/>
          <w:bCs w:val="false"/>
        </w:rPr>
        <w:t xml:space="preserve">Q5. Do Sites 18 and 19 require any service outside the stated seasons?</w:t>
      </w:r>
    </w:p>
    <w:p>
      <w:r>
        <w:rPr>
          <w:b w:val="false"/>
          <w:bCs w:val="false"/>
        </w:rPr>
        <w:t xml:space="preserve">A5. No. Both buildings are winterized and closed outside the seasons stated in Section 3.4.</w:t>
      </w:r>
    </w:p>
    <w:p>
      <w:r>
        <w:rPr>
          <w:b w:val="false"/>
          <w:bCs w:val="false"/>
        </w:rPr>
        <w:t xml:space="preserve">Q6. Does the County provide can liners and paper products at all sites, including the parks?</w:t>
      </w:r>
    </w:p>
    <w:p>
      <w:r>
        <w:rPr>
          <w:b w:val="false"/>
          <w:bCs w:val="false"/>
        </w:rPr>
        <w:t xml:space="preserve">A6. Yes. See Section 2.1. Parks staff will stock a supply closet at Sites 18 through 21.</w:t>
      </w:r>
    </w:p>
    <w:p>
      <w:r>
        <w:rPr>
          <w:b w:val="false"/>
          <w:bCs w:val="false"/>
        </w:rPr>
        <w:t xml:space="preserve">END OF ADDENDUM NO. 1</w:t>
      </w:r>
    </w:p>
    <w:p>
      <w:r>
        <w:rPr>
          <w:b w:val="false"/>
          <w:bCs w:val="false"/>
        </w:rPr>
        <w:t xml:space="preserve">Dana Whitcomb, Purchasing Agent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2026-10-23T06:45:08.415Z</dcterms:created>
  <dcterms:modified xsi:type="dcterms:W3CDTF">2026-10-23T06:45:08.415Z</dcterms:modified>
</cp:coreProperties>
</file>

<file path=docProps/custom.xml><?xml version="1.0" encoding="utf-8"?>
<Properties xmlns="http://schemas.openxmlformats.org/officeDocument/2006/custom-properties" xmlns:vt="http://schemas.openxmlformats.org/officeDocument/2006/docPropsVTypes"/>
</file>