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Forests are recognized as critical to climate change mitigation under the Paris Agreement.</w:t>
      </w:r>
      <w:r>
        <w:t xml:space="preserve"> </w:t>
      </w:r>
      <w:r>
        <w:t xml:space="preserve"> </w:t>
      </w:r>
      <w:r>
        <w:t xml:space="preserve">However, the efficacy of climate change mitigation planning and reporting depends on having high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The Global Forest C database (ForC) is a compilation of tens of thousands of ground-based forest C estimates that is fully traceable and publicly available.</w:t>
      </w:r>
      <w:r>
        <w:t xml:space="preserve"> </w:t>
      </w:r>
      <w:r>
        <w:t xml:space="preserve">Here, we develop and document a process for semi-automated submission of data from ForC into EFDB,</w:t>
      </w:r>
      <w:r>
        <w:t xml:space="preserve"> </w:t>
      </w:r>
      <w:r>
        <w:t xml:space="preserve"> </w:t>
      </w:r>
      <w:r>
        <w:t xml:space="preserve">assess the data currently available through ForC, and provide recommendations for improving forest data collection, analysis, and reporting.</w:t>
      </w:r>
      <w:r>
        <w:t xml:space="preserve"> </w:t>
      </w:r>
    </w:p>
    <w:p>
      <w:pPr>
        <w:numPr>
          <w:ilvl w:val="0"/>
          <w:numId w:val="1002"/>
        </w:numPr>
        <w:pStyle w:val="Compact"/>
      </w:pPr>
      <w:r>
        <w:t xml:space="preserve">As of January 2024, ForC contained ~19316 independent records relevant to EFDB, 1438 of which had undergone necessary review and been submitted.</w:t>
      </w:r>
      <w:r>
        <w:t xml:space="preserve"> </w:t>
      </w:r>
      <w:r>
        <w:t xml:space="preserve">Records were unevenly distributed across variables (skewed towards aboveground biomass stocks) and geographic regions (skewed towards temperate forests).</w:t>
      </w:r>
      <w:r>
        <w:t xml:space="preserve"> </w:t>
      </w:r>
      <w:r>
        <w:t xml:space="preserve">However, 59% of ForC records reviewed could not be submitted because the original publication lacked information required by the IPCC.</w:t>
      </w:r>
      <w:r>
        <w:t xml:space="preserve"> </w:t>
      </w:r>
    </w:p>
    <w:p>
      <w:pPr>
        <w:numPr>
          <w:ilvl w:val="0"/>
          <w:numId w:val="1002"/>
        </w:numPr>
        <w:pStyle w:val="Compact"/>
      </w:pPr>
      <w:r>
        <w:t xml:space="preserve">In the future, ground-based forest C estimates should be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especially critical to accurate forest C inventories.</w:t>
      </w:r>
    </w:p>
    <w:p>
      <w:pPr>
        <w:pStyle w:val="FirstParagraph"/>
      </w:pPr>
      <w:r>
        <w:rPr>
          <w:bCs/>
          <w:b/>
        </w:rPr>
        <w:t xml:space="preserve">Keywords:</w:t>
      </w:r>
      <w:r>
        <w:t xml:space="preserve"> </w:t>
      </w:r>
    </w:p>
    <w:bookmarkEnd w:id="21"/>
    <w:bookmarkStart w:id="22" w:name="societal-impact-statement"/>
    <w:p>
      <w:pPr>
        <w:pStyle w:val="Heading1"/>
      </w:pPr>
      <w:r>
        <w:t xml:space="preserve">Societal Impact Statement</w:t>
      </w:r>
    </w:p>
    <w:p>
      <w:pPr>
        <w:numPr>
          <w:ilvl w:val="0"/>
          <w:numId w:val="1003"/>
        </w:numPr>
        <w:pStyle w:val="Compact"/>
      </w:pPr>
      <w:r>
        <w:t xml:space="preserve">helps bridge scientific research accounting under Paris agreement</w:t>
      </w:r>
    </w:p>
    <w:p>
      <w:r>
        <w:br w:type="page"/>
      </w:r>
    </w:p>
    <w:bookmarkEnd w:id="22"/>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depending upon both direct human impacts on forests</w:t>
      </w:r>
      <w:r>
        <w:t xml:space="preserve"> </w:t>
      </w:r>
      <w:r>
        <w:t xml:space="preserve">(i.e., deforestation/ degradation vs. conservation/ restoration, IPCC, 2019a, 2022a)</w:t>
      </w:r>
      <w:r>
        <w:t xml:space="preserve"> </w:t>
      </w:r>
      <w:r>
        <w:t xml:space="preserve">and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[e.g., C stocks, net annual increments, and annual fluxes for various pools</w:t>
      </w:r>
      <w:r>
        <w:t xml:space="preserve"> </w:t>
      </w:r>
      <w:r>
        <w:t xml:space="preserve">(IPCC, 2006a; IPCC, 2019b)</w:t>
      </w:r>
      <w:r>
        <w:t xml:space="preserve"> </w:t>
      </w:r>
      <w:r>
        <w:t xml:space="preserve">from peer-reviewed journal articles or other accepted sources for inclusion in the database.</w:t>
      </w:r>
      <w:r>
        <w:t xml:space="preserve"> </w:t>
      </w:r>
      <w:r>
        <w:t xml:space="preserve">Needed is an efficient system for submission of data to the EFDB.</w:t>
      </w:r>
    </w:p>
    <w:p>
      <w:pPr>
        <w:pStyle w:val="BodyText"/>
      </w:pPr>
      <w:r>
        <w:t xml:space="preserve">The Global Forest Carbon Database, ForC (</w:t>
      </w:r>
      <w:hyperlink r:id="rId24">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January 26, 2024,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p>
    <w:p>
      <w:pPr>
        <w:pStyle w:val="BodyText"/>
      </w:pPr>
      <w:r>
        <w:rPr>
          <w:iCs/>
          <w:i/>
        </w:rPr>
        <w:t xml:space="preserve">(The following needs work:)</w:t>
      </w:r>
    </w:p>
    <w:p>
      <w:pPr>
        <w:pStyle w:val="BodyText"/>
      </w:pP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Major steps included</w:t>
      </w:r>
      <w:r>
        <w:t xml:space="preserve"> </w:t>
      </w:r>
      <w:r>
        <w:t xml:space="preserve">(1) mapping ForC into EFDB, including aligning ForC and IPCC definitions (summarized in Notes S1),</w:t>
      </w:r>
      <w:r>
        <w:t xml:space="preserve"> </w:t>
      </w:r>
      <w:r>
        <w:t xml:space="preserve">(2) revising ForC v3.0 to support semi-automated submissions to EFDB, yielding ForC v4.0 (detailed in Methods S1), and</w:t>
      </w:r>
      <w:r>
        <w:t xml:space="preserve"> </w:t>
      </w:r>
      <w:r>
        <w:t xml:space="preserve">(3) submitting data to EFDB.</w:t>
      </w:r>
      <w:r>
        <w:t xml:space="preserve"> </w:t>
      </w:r>
      <w:r>
        <w:t xml:space="preserve">These steps are detailed below.</w:t>
      </w:r>
    </w:p>
    <w:bookmarkStart w:id="32" w:name="mapping-forc-to-efdb"/>
    <w:p>
      <w:pPr>
        <w:pStyle w:val="Heading2"/>
      </w:pPr>
      <w:r>
        <w:rPr>
          <w:rStyle w:val="SectionNumber"/>
        </w:rPr>
        <w:t xml:space="preserve">2.1</w:t>
      </w:r>
      <w:r>
        <w:tab/>
      </w:r>
      <w:r>
        <w:t xml:space="preserve">Mapping ForC to EFDB</w:t>
      </w:r>
    </w:p>
    <w:p>
      <w:pPr>
        <w:pStyle w:val="FirstParagraph"/>
      </w:pPr>
      <w:r>
        <w:t xml:space="preserve">With input from the IPCC’s Technical Support Unit and referencing IPCC guidance</w:t>
      </w:r>
      <w:r>
        <w:t xml:space="preserve"> </w:t>
      </w:r>
      <w:r>
        <w:t xml:space="preserve">(</w:t>
      </w:r>
      <w:r>
        <w:rPr>
          <w:bCs/>
          <w:b/>
        </w:rPr>
        <w:t xml:space="preserve">refs?</w:t>
      </w:r>
      <w:r>
        <w:t xml:space="preserve">)</w:t>
      </w:r>
      <w:r>
        <w:t xml:space="preserve">, we mapped ForC fields into EFDB fields, as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(detailed below in</w:t>
      </w:r>
      <w:r>
        <w:t xml:space="preserve"> </w:t>
      </w:r>
      <w:r>
        <w:rPr>
          <w:bCs/>
          <w:b/>
        </w:rPr>
        <w:t xml:space="preserve">Carbon cycle variables</w:t>
      </w:r>
      <w:r>
        <w:t xml:space="preserve">) and (2) land classification (detailed below in</w:t>
      </w:r>
      <w:r>
        <w:t xml:space="preserve"> </w:t>
      </w:r>
      <w:r>
        <w:rPr>
          <w:bCs/>
          <w:b/>
        </w:rPr>
        <w:t xml:space="preserve">Land classification</w:t>
      </w:r>
      <w:r>
        <w:t xml:space="preserve">).</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January 26, 2024,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p>
      <w:r>
        <w:br w:type="page"/>
      </w:r>
    </w:p>
    <w:p>
      <w:pPr>
        <w:pStyle w:val="BodyText"/>
      </w:pPr>
      <w:r>
        <w:rPr>
          <w:bCs/>
          <w:b/>
        </w:rPr>
        <w:t xml:space="preserve">Table 2. Numbers of records of ForC variables (or closely related variable groups) relevant to, and sent to, EFDB.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440"/>
        <w:gridCol w:w="1440"/>
        <w:gridCol w:w="1440"/>
        <w:gridCol w:w="1440"/>
      </w:tblGrid>
      <w:tr>
        <w:trPr>
          <w:trHeight w:val="55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independent records in ForC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reviewed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n submitted to EFDB</w:t>
            </w:r>
          </w:p>
        </w:tc>
      </w:tr>
      <w:tr>
        <w:trPr>
          <w:trHeight w:val="52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2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764</w:t>
            </w:r>
          </w:p>
        </w:tc>
      </w:tr>
      <w:tr>
        <w:trPr>
          <w:trHeight w:val="55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biomass_ag_foliage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r>
      <w:tr>
        <w:trPr>
          <w:trHeight w:val="55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delta.agb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123</w:t>
            </w:r>
          </w:p>
        </w:tc>
      </w:tr>
      <w:tr>
        <w:trPr>
          <w:trHeight w:val="55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ANPP_woody_stem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61</w:t>
            </w:r>
          </w:p>
        </w:tc>
      </w:tr>
      <w:tr>
        <w:trPr>
          <w:trHeight w:val="55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ANPP_woody_branch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5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50</w:t>
            </w:r>
          </w:p>
        </w:tc>
      </w:tr>
      <w:tr>
        <w:trPr>
          <w:trHeight w:val="55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stem_pC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w:t>
            </w:r>
          </w:p>
        </w:tc>
      </w:tr>
      <w:tr>
        <w:trPr>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r>
      <w:tr>
        <w:trPr>
          <w:trHeight w:val="55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w:t>
            </w:r>
          </w:p>
        </w:tc>
      </w:tr>
      <w:tr>
        <w:trPr>
          <w:trHeight w:val="55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delta.biomass_root_fine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woody.mortality_root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BNPP_root.turnover_fine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BNPP_root_coarse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Dead 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r>
      <w:tr>
        <w:trPr>
          <w:trHeight w:val="55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17</w:t>
            </w:r>
          </w:p>
        </w:tc>
      </w:tr>
      <w:tr>
        <w:trPr>
          <w:trHeight w:val="55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28</w:t>
            </w:r>
          </w:p>
        </w:tc>
      </w:tr>
      <w:tr>
        <w:trPr>
          <w:trHeight w:val="528"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delta.deadwood_down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w:t>
            </w:r>
          </w:p>
        </w:tc>
      </w:tr>
      <w:tr>
        <w:trPr>
          <w:trHeight w:val="529"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delta.O.horizon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w:t>
            </w:r>
          </w:p>
        </w:tc>
      </w:tr>
      <w:tr>
        <w:trPr>
          <w:trHeight w:val="528"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23</w:t>
            </w:r>
          </w:p>
        </w:tc>
      </w:tr>
      <w:tr>
        <w:trPr>
          <w:trHeight w:val="52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ANPP_litterfall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11</w:t>
            </w:r>
          </w:p>
        </w:tc>
      </w:tr>
      <w:tr>
        <w:trPr>
          <w:trHeight w:val="55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NPP_litter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R_het_litter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 Ecosystem C (excl.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59"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5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delta.total.ecosystem_2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6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
            </w:r>
          </w:p>
        </w:tc>
      </w:tr>
      <w:tr>
        <w:trPr>
          <w:trHeight w:val="529"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SOM / 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56</w:t>
            </w:r>
          </w:p>
        </w:tc>
      </w:tr>
      <w:tr>
        <w:trPr>
          <w:trHeight w:val="529"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delta.SOM / delta.SOC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0</w:t>
            </w:r>
          </w:p>
        </w:tc>
      </w:tr>
      <w:tr>
        <w:trPr>
          <w:trHeight w:val="529" w:hRule="auto"/>
        </w:trPr>
        body50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TOTAL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23568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19316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2292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1438</w:t>
            </w:r>
          </w:p>
        </w:tc>
      </w:tr>
    </w:tbl>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January 26, 2024</w:t>
      </w:r>
      <w:r>
        <w:t xml:space="preserve">, we had reviewed or added 2292 EFDB-relevant records, 1438 records of which were submitted to EFDB, and 1068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3.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January 26, 2024,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48" w:name="references"/>
    <w:p>
      <w:pPr>
        <w:pStyle w:val="Heading1"/>
      </w:pPr>
      <w:r>
        <w:t xml:space="preserve">References</w:t>
      </w:r>
    </w:p>
    <w:bookmarkStart w:id="147"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6"/>
    <w:bookmarkStart w:id="107"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7"/>
    <w:bookmarkStart w:id="108"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8"/>
    <w:bookmarkStart w:id="109"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9"/>
    <w:bookmarkStart w:id="110"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0"/>
    <w:bookmarkStart w:id="112"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1">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2"/>
    <w:bookmarkStart w:id="113"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3"/>
    <w:bookmarkStart w:id="115"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4">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5"/>
    <w:bookmarkStart w:id="117"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6">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7"/>
    <w:bookmarkStart w:id="119"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8">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9"/>
    <w:bookmarkStart w:id="121"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0">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1"/>
    <w:bookmarkStart w:id="122"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2"/>
    <w:bookmarkStart w:id="124"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3">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4"/>
    <w:bookmarkStart w:id="125"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5"/>
    <w:bookmarkStart w:id="127"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6">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7"/>
    <w:bookmarkStart w:id="129"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8">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9"/>
    <w:bookmarkStart w:id="131"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0">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1"/>
    <w:bookmarkStart w:id="133"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2">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3"/>
    <w:bookmarkStart w:id="135"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4">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5"/>
    <w:bookmarkStart w:id="137"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6">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7"/>
    <w:bookmarkStart w:id="139"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8">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9"/>
    <w:bookmarkStart w:id="140"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0"/>
    <w:bookmarkStart w:id="142"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1">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2"/>
    <w:bookmarkStart w:id="144"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4"/>
    <w:bookmarkStart w:id="146"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5">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6"/>
    <w:bookmarkEnd w:id="147"/>
    <w:bookmarkEnd w:id="14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8"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28"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1"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6"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30"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2"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4"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6" Target="https://doi.org/10.1111/gcb.16497" TargetMode="External" /><Relationship Type="http://schemas.openxmlformats.org/officeDocument/2006/relationships/hyperlink" Id="rId120" Target="https://doi.org/10.1111/j.1365-2486.2005.001043.x" TargetMode="External" /><Relationship Type="http://schemas.openxmlformats.org/officeDocument/2006/relationships/hyperlink" Id="rId126" Target="https://doi.org/10.1111/nph.17995" TargetMode="External" /><Relationship Type="http://schemas.openxmlformats.org/officeDocument/2006/relationships/hyperlink" Id="rId145" Target="https://doi.org/10.1126/sciadv.abe9829" TargetMode="External" /><Relationship Type="http://schemas.openxmlformats.org/officeDocument/2006/relationships/hyperlink" Id="rId118"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3"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4"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28"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1"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74" Target="https://doi.org/10.1038/s41467-022-31380-7" TargetMode="External" /><Relationship Type="http://schemas.openxmlformats.org/officeDocument/2006/relationships/hyperlink" Id="rId105"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6"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30"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2"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4"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6" Target="https://doi.org/10.1111/gcb.16497" TargetMode="External" /><Relationship Type="http://schemas.openxmlformats.org/officeDocument/2006/relationships/hyperlink" Id="rId120" Target="https://doi.org/10.1111/j.1365-2486.2005.001043.x" TargetMode="External" /><Relationship Type="http://schemas.openxmlformats.org/officeDocument/2006/relationships/hyperlink" Id="rId126" Target="https://doi.org/10.1111/nph.17995" TargetMode="External" /><Relationship Type="http://schemas.openxmlformats.org/officeDocument/2006/relationships/hyperlink" Id="rId145" Target="https://doi.org/10.1126/sciadv.abe9829" TargetMode="External" /><Relationship Type="http://schemas.openxmlformats.org/officeDocument/2006/relationships/hyperlink" Id="rId118"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3"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4"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2024-01-26T22:59:53Z</dcterms:created>
  <dcterms:modified xsi:type="dcterms:W3CDTF">2024-01-26T22:59:53Z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