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rPr>
          <w:iCs/>
          <w:i/>
        </w:rPr>
        <w:t xml:space="preserve">(Humans have been influencing Earth’s climate via interactions with forests for thousands of years, and now)</w:t>
      </w:r>
      <w:r>
        <w:t xml:space="preserve"> </w:t>
      </w:r>
      <w:r>
        <w:t xml:space="preserve">Forests are recognized as critical to climate change mitigation under the Paris Agreement.</w:t>
      </w:r>
      <w:r>
        <w:t xml:space="preserve"> </w:t>
      </w:r>
      <w:r>
        <w:t xml:space="preserve"> </w:t>
      </w:r>
      <w:r>
        <w:t xml:space="preserve">However, the efficacy of climate change mitigation planning and reporting depends on having high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The Global Forest C database (ForC) is a compilation of tens of thousands of ground-based forest C estimates that is fully traceable and publicly available.</w:t>
      </w:r>
      <w:r>
        <w:t xml:space="preserve"> </w:t>
      </w:r>
      <w:r>
        <w:t xml:space="preserve">Here, we develop and document a process for semi-automated submission of data from ForC into EFDB,</w:t>
      </w:r>
      <w:r>
        <w:t xml:space="preserve"> </w:t>
      </w:r>
      <w:r>
        <w:t xml:space="preserve"> </w:t>
      </w:r>
      <w:r>
        <w:t xml:space="preserve">assess the data currently available through ForC, and provide recommendations for improving forest data collection, analysis, and reporting.</w:t>
      </w:r>
      <w:r>
        <w:t xml:space="preserve"> </w:t>
      </w:r>
    </w:p>
    <w:p>
      <w:pPr>
        <w:numPr>
          <w:ilvl w:val="0"/>
          <w:numId w:val="1002"/>
        </w:numPr>
        <w:pStyle w:val="Compact"/>
      </w:pPr>
      <w:r>
        <w:t xml:space="preserve">As of January 2024, ForC contained ~19316 independent records relevant to EFDB, 1438 of which had undergone necessary review and been submitted.</w:t>
      </w:r>
      <w:r>
        <w:t xml:space="preserve"> </w:t>
      </w:r>
      <w:r>
        <w:t xml:space="preserve">Records were unevenly distributed across variables (skewed towards aboveground biomass stocks) and geographic regions (skewed towards temperate forests).</w:t>
      </w:r>
      <w:r>
        <w:t xml:space="preserve"> </w:t>
      </w:r>
      <w:r>
        <w:t xml:space="preserve">However, 59% of ForC records reviewed could not be submitted because the original publication lacked information required by the IPCC.</w:t>
      </w:r>
      <w:r>
        <w:t xml:space="preserve"> </w:t>
      </w:r>
    </w:p>
    <w:p>
      <w:pPr>
        <w:numPr>
          <w:ilvl w:val="0"/>
          <w:numId w:val="1002"/>
        </w:numPr>
        <w:pStyle w:val="Compact"/>
      </w:pPr>
      <w:r>
        <w:t xml:space="preserve">In the future, ground-based forest C estimates should be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pPr>
        <w:numPr>
          <w:ilvl w:val="0"/>
          <w:numId w:val="1003"/>
        </w:numPr>
        <w:pStyle w:val="Compact"/>
      </w:pPr>
      <w:r>
        <w:t xml:space="preserve">helps bridge scientific research accounting under Paris agreement</w:t>
      </w:r>
    </w:p>
    <w:p>
      <w:r>
        <w:br w:type="page"/>
      </w:r>
    </w:p>
    <w:bookmarkEnd w:id="22"/>
    <w:bookmarkStart w:id="25" w:name="introduction"/>
    <w:p>
      <w:pPr>
        <w:pStyle w:val="Heading1"/>
      </w:pPr>
      <w:r>
        <w:rPr>
          <w:rStyle w:val="SectionNumber"/>
        </w:rPr>
        <w:t xml:space="preserve">1</w:t>
      </w:r>
      <w:r>
        <w:tab/>
      </w:r>
      <w:r>
        <w:t xml:space="preserve">Introduction</w:t>
      </w:r>
    </w:p>
    <w:p>
      <w:pPr>
        <w:pStyle w:val="FirstParagraph"/>
      </w:pPr>
      <w:r>
        <w:t xml:space="preserve">Humans have been influencing Earth’s climate via ecologically transformative land use practices for &gt;12,000 years</w:t>
      </w:r>
      <w:r>
        <w:t xml:space="preserve"> </w:t>
      </w:r>
      <w:r>
        <w:t xml:space="preserve">(Sanderman</w:t>
      </w:r>
      <w:r>
        <w:t xml:space="preserve"> </w:t>
      </w:r>
      <w:r>
        <w:rPr>
          <w:iCs/>
          <w:i/>
        </w:rPr>
        <w:t xml:space="preserve">et al.</w:t>
      </w:r>
      <w:r>
        <w:t xml:space="preserve">, 2017;</w:t>
      </w:r>
      <w:r>
        <w:t xml:space="preserve"> </w:t>
      </w:r>
      <w:r>
        <w:rPr>
          <w:bCs/>
          <w:b/>
        </w:rPr>
        <w:t xml:space="preserve">ellis_people_2021?</w:t>
      </w:r>
      <w:r>
        <w:t xml:space="preserve">;</w:t>
      </w:r>
      <w:r>
        <w:t xml:space="preserve"> </w:t>
      </w:r>
      <w:r>
        <w:rPr>
          <w:bCs/>
          <w:b/>
        </w:rPr>
        <w:t xml:space="preserve">bonan_forests_2016?</w:t>
      </w:r>
      <w:r>
        <w:t xml:space="preserve">)</w:t>
      </w:r>
      <w:r>
        <w:t xml:space="preserve">.</w:t>
      </w:r>
      <w:r>
        <w:t xml:space="preserve"> </w:t>
      </w:r>
      <w:r>
        <w:t xml:space="preserve">In recent decades, as anthropogenic climate change has accelerated, this relationship has come into increasing focus</w:t>
      </w:r>
      <w:r>
        <w:t xml:space="preserve"> </w:t>
      </w:r>
      <w:r>
        <w:t xml:space="preserve">(IPCC, 2019a, 2022a)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w:t>
      </w:r>
      <w:r>
        <w:rPr>
          <w:bCs/>
          <w:b/>
        </w:rPr>
        <w:t xml:space="preserve">friedlingstein_global_2022?</w:t>
      </w:r>
      <w:r>
        <w:t xml:space="preserve">)</w:t>
      </w:r>
      <w:r>
        <w:t xml:space="preserve">.</w:t>
      </w:r>
      <w:r>
        <w:t xml:space="preserve"> </w:t>
      </w:r>
      <w:r>
        <w:t xml:space="preserve">Yet at the same time, CO</w:t>
      </w:r>
      <w:r>
        <w:rPr>
          <w:vertAlign w:val="subscript"/>
        </w:rPr>
        <w:t xml:space="preserve">2</w:t>
      </w:r>
      <w:r>
        <w:t xml:space="preserve"> </w:t>
      </w:r>
      <w:r>
        <w:t xml:space="preserve">uptake by remaining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 </w:t>
      </w:r>
      <w:r>
        <w:t xml:space="preserve">which has offset an estimated 10%</w:t>
      </w:r>
      <w:r>
        <w:t xml:space="preserve"> </w:t>
      </w:r>
      <w:r>
        <w:t xml:space="preserve">to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 [i.e., deforestation/ degradation vs. conservation/ restoration,</w:t>
      </w:r>
      <w:r>
        <w:t xml:space="preserve"> </w:t>
      </w:r>
      <w:r>
        <w:t xml:space="preserve">(IPCC,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p>
    <w:p>
      <w:pPr>
        <w:pStyle w:val="BodyText"/>
      </w:pPr>
      <w:r>
        <w:t xml:space="preserve">Given this important role of forests in climate regulation, they play a substantial role in international plans for climate change mitigation under the Paris Agreement</w:t>
      </w:r>
      <w:r>
        <w:t xml:space="preserve"> </w:t>
      </w:r>
      <w:r>
        <w:t xml:space="preserve">(UNFCCC, 2015)</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As of 2016, forest-based mitigation accounted for 26% of total planned greenhouse gas mitigation within Nationally Determined Contributions under the Paris Agreement</w:t>
      </w:r>
      <w:r>
        <w:t xml:space="preserve"> </w:t>
      </w:r>
      <w:r>
        <w:t xml:space="preserve">(Grassi</w:t>
      </w:r>
      <w:r>
        <w:t xml:space="preserve"> </w:t>
      </w:r>
      <w:r>
        <w:rPr>
          <w:iCs/>
          <w:i/>
        </w:rPr>
        <w:t xml:space="preserve">et al.</w:t>
      </w:r>
      <w:r>
        <w:t xml:space="preserve">, 2017)</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inventories include all managed land, including most of the world’s forest land</w:t>
      </w:r>
      <w:r>
        <w:t xml:space="preserve"> </w:t>
      </w:r>
      <w:r>
        <w:t xml:space="preserve">(Ogle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The goal of this publication is to lower the activation energy required for forest scientists to make their estimates of forest C stocks and changes therein useful and accessible for accounting under IPCC inventory guidelines.</w:t>
      </w:r>
      <w:r>
        <w:t xml:space="preserve"> </w:t>
      </w:r>
      <w:r>
        <w:t xml:space="preserve">To accomplish this, 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updated to facilitate data submission to EFDB (ForC v4.0).</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p>
      <w:pPr>
        <w:pStyle w:val="FirstParagraph"/>
      </w:pPr>
      <w:r>
        <w:t xml:space="preserve">The Global Forest Carbon Database, ForC (</w:t>
      </w:r>
      <w:hyperlink r:id="rId24">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January 29, 2024,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p>
    <w:p>
      <w:pPr>
        <w:pStyle w:val="BodyText"/>
      </w:pPr>
      <w:r>
        <w:t xml:space="preserve">Major steps included</w:t>
      </w:r>
      <w:r>
        <w:t xml:space="preserve"> </w:t>
      </w:r>
      <w:r>
        <w:t xml:space="preserve">(1) mapping ForC into EFDB, including aligning ForC and IPCC definitions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rPr>
          <w:rStyle w:val="SectionNumber"/>
        </w:rPr>
        <w:t xml:space="preserve">2.1</w:t>
      </w:r>
      <w:r>
        <w:tab/>
      </w:r>
      <w:r>
        <w:t xml:space="preserve">Mapping ForC to EFDB</w:t>
      </w:r>
    </w:p>
    <w:p>
      <w:pPr>
        <w:pStyle w:val="FirstParagraph"/>
      </w:pPr>
      <w:r>
        <w:t xml:space="preserve">With input from the IPCC’s Technical Support Unit and referencing IPCC guidance</w:t>
      </w:r>
      <w:r>
        <w:t xml:space="preserve"> </w:t>
      </w:r>
      <w:r>
        <w:t xml:space="preserve">(</w:t>
      </w:r>
      <w:r>
        <w:rPr>
          <w:bCs/>
          <w:b/>
        </w:rPr>
        <w:t xml:space="preserve">refs?</w:t>
      </w:r>
      <w:r>
        <w:t xml:space="preserve">)</w:t>
      </w:r>
      <w:r>
        <w:t xml:space="preserve">, we mapped ForC fields into EFDB fields, as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January 29, 2024,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p>
      <w:r>
        <w:br w:type="page"/>
      </w:r>
    </w:p>
    <w:p>
      <w:pPr>
        <w:pStyle w:val="BodyText"/>
      </w:pPr>
      <w:r>
        <w:rPr>
          <w:bCs/>
          <w:b/>
        </w:rPr>
        <w:t xml:space="preserve">Table 2. Numbers of records of ForC variables (or closely related variable groups) relevant to, and sent to, EFDB.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gridCol w:w="1440"/>
      </w:tblGrid>
      <w:tr>
        <w:trPr>
          <w:trHeight w:val="55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independent records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reviewed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submitted to EFDB</w:t>
            </w:r>
          </w:p>
        </w:tc>
      </w:tr>
      <w:tr>
        <w:trPr>
          <w:trHeight w:val="52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764</w:t>
            </w:r>
          </w:p>
        </w:tc>
      </w:tr>
      <w:tr>
        <w:trPr>
          <w:trHeight w:val="55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biomass_ag_foliage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delta.agb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123</w:t>
            </w:r>
          </w:p>
        </w:tc>
      </w:tr>
      <w:tr>
        <w:trPr>
          <w:trHeight w:val="55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ANPP_woody_stem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ANPP_woody_branch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5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stem_pC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r>
      <w:tr>
        <w:trPr>
          <w:trHeight w:val="55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w:t>
            </w:r>
          </w:p>
        </w:tc>
      </w:tr>
      <w:tr>
        <w:trPr>
          <w:trHeight w:val="5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BNPP_root.turnover_fine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Dead 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r>
      <w:tr>
        <w:trPr>
          <w:trHeight w:val="55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w:t>
            </w:r>
          </w:p>
        </w:tc>
      </w:tr>
      <w:tr>
        <w:trPr>
          <w:trHeight w:val="55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28</w:t>
            </w:r>
          </w:p>
        </w:tc>
      </w:tr>
      <w:tr>
        <w:trPr>
          <w:trHeight w:val="52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w:t>
            </w:r>
          </w:p>
        </w:tc>
      </w:tr>
      <w:tr>
        <w:trPr>
          <w:trHeight w:val="52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2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r>
      <w:tr>
        <w:trPr>
          <w:trHeight w:val="52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ANPP_litterfall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r>
      <w:tr>
        <w:trPr>
          <w:trHeight w:val="55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 Ecosystem C (excl.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SOM / 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r>
      <w:tr>
        <w:trPr>
          <w:trHeight w:val="52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delta.SOM / delta.SOC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9"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23568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19316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1438</w:t>
            </w:r>
          </w:p>
        </w:tc>
      </w:tr>
    </w:tbl>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January 29, 2024</w:t>
      </w:r>
      <w:r>
        <w:t xml:space="preserve">, we had reviewed or added 2292 EFDB-relevant records, 1438 records of which were submitted to EFDB, and 1068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January 29, 2024, the 1438 ForC records posted in EFDB represented 19% of the total EFDB records for forest land.</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w:t>
      </w:r>
      <w:r>
        <w:rPr>
          <w:bCs/>
          <w:b/>
        </w:rPr>
        <w:t xml:space="preserve">stall_make_2019?</w:t>
      </w:r>
      <w:r>
        <w:t xml:space="preserve">)</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January 29, 2024,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50" w:name="references"/>
    <w:p>
      <w:pPr>
        <w:pStyle w:val="Heading1"/>
      </w:pPr>
      <w:r>
        <w:t xml:space="preserve">References</w:t>
      </w:r>
    </w:p>
    <w:bookmarkStart w:id="149"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0">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1"/>
    <w:bookmarkStart w:id="73"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2">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3"/>
    <w:bookmarkStart w:id="75"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4">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5"/>
    <w:bookmarkStart w:id="77"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6">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7"/>
    <w:bookmarkStart w:id="79"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8">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9"/>
    <w:bookmarkStart w:id="81"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0">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1"/>
    <w:bookmarkStart w:id="83"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3"/>
    <w:bookmarkStart w:id="85"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4">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5"/>
    <w:bookmarkStart w:id="87"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6">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7"/>
    <w:bookmarkStart w:id="89"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8">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9"/>
    <w:bookmarkStart w:id="91"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0">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1"/>
    <w:bookmarkStart w:id="93"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2">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3"/>
    <w:bookmarkStart w:id="94"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4"/>
    <w:bookmarkStart w:id="96"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6"/>
    <w:bookmarkStart w:id="98"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98"/>
    <w:bookmarkStart w:id="100"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9">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0"/>
    <w:bookmarkStart w:id="102"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2"/>
    <w:bookmarkStart w:id="104"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3">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4"/>
    <w:bookmarkStart w:id="106"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5">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6"/>
    <w:bookmarkStart w:id="107"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7"/>
    <w:bookmarkStart w:id="108"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08"/>
    <w:bookmarkStart w:id="109"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09"/>
    <w:bookmarkStart w:id="110"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0"/>
    <w:bookmarkStart w:id="112"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1">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2"/>
    <w:bookmarkStart w:id="113"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3"/>
    <w:bookmarkStart w:id="115"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4">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5"/>
    <w:bookmarkStart w:id="117"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6">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7"/>
    <w:bookmarkStart w:id="119"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8">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19"/>
    <w:bookmarkStart w:id="121"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0">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1"/>
    <w:bookmarkStart w:id="122"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2"/>
    <w:bookmarkStart w:id="124"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3">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4"/>
    <w:bookmarkStart w:id="125"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5"/>
    <w:bookmarkStart w:id="127"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26">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27"/>
    <w:bookmarkStart w:id="129"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8">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29"/>
    <w:bookmarkStart w:id="131"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0">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1"/>
    <w:bookmarkStart w:id="133"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2">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3"/>
    <w:bookmarkStart w:id="135"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4">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5"/>
    <w:bookmarkStart w:id="137"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6">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7"/>
    <w:bookmarkStart w:id="139"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38">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39"/>
    <w:bookmarkStart w:id="141"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0">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1"/>
    <w:bookmarkStart w:id="142"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2"/>
    <w:bookmarkStart w:id="144"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3">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4"/>
    <w:bookmarkStart w:id="146"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5">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6"/>
    <w:bookmarkStart w:id="148"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7">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8"/>
    <w:bookmarkEnd w:id="149"/>
    <w:bookmarkEnd w:id="15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28"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1"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74" Target="https://doi.org/10.1038/s41467-022-31380-7" TargetMode="External" /><Relationship Type="http://schemas.openxmlformats.org/officeDocument/2006/relationships/hyperlink" Id="rId105"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138" Target="https://doi.org/10.1073/pnas.1706103114" TargetMode="External" /><Relationship Type="http://schemas.openxmlformats.org/officeDocument/2006/relationships/hyperlink" Id="rId58" Target="https://doi.org/10.1088/1748-9326/abed01" TargetMode="External" /><Relationship Type="http://schemas.openxmlformats.org/officeDocument/2006/relationships/hyperlink" Id="rId136"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0"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2"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4"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6" Target="https://doi.org/10.1111/gcb.16497" TargetMode="External" /><Relationship Type="http://schemas.openxmlformats.org/officeDocument/2006/relationships/hyperlink" Id="rId120" Target="https://doi.org/10.1111/j.1365-2486.2005.001043.x" TargetMode="External" /><Relationship Type="http://schemas.openxmlformats.org/officeDocument/2006/relationships/hyperlink" Id="rId126"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18"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3"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4"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28"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1"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74" Target="https://doi.org/10.1038/s41467-022-31380-7" TargetMode="External" /><Relationship Type="http://schemas.openxmlformats.org/officeDocument/2006/relationships/hyperlink" Id="rId105"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138" Target="https://doi.org/10.1073/pnas.1706103114" TargetMode="External" /><Relationship Type="http://schemas.openxmlformats.org/officeDocument/2006/relationships/hyperlink" Id="rId58" Target="https://doi.org/10.1088/1748-9326/abed01" TargetMode="External" /><Relationship Type="http://schemas.openxmlformats.org/officeDocument/2006/relationships/hyperlink" Id="rId136"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0"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2"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4"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6" Target="https://doi.org/10.1111/gcb.16497" TargetMode="External" /><Relationship Type="http://schemas.openxmlformats.org/officeDocument/2006/relationships/hyperlink" Id="rId120" Target="https://doi.org/10.1111/j.1365-2486.2005.001043.x" TargetMode="External" /><Relationship Type="http://schemas.openxmlformats.org/officeDocument/2006/relationships/hyperlink" Id="rId126"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18"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3"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4"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2024-01-29T16:31:10Z</dcterms:created>
  <dcterms:modified xsi:type="dcterms:W3CDTF">2024-01-29T16:31:10Z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