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the Global Forest Carbon Database (ForC v4.0)</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Forests are critical for climate change mitigation and constitute a substantial portion of planned net emissions reductions under the 2015 Paris Agreement.</w:t>
      </w:r>
      <w:r>
        <w:t xml:space="preserve"> </w:t>
      </w:r>
      <w:r>
        <w:t xml:space="preserve">The efficacy of greenhouse gas mitigation planning and reporting depends on the accessibility and quality of data on forest carbon (C) stocks and changes therein.</w:t>
      </w:r>
      <w:r>
        <w:t xml:space="preserve"> </w:t>
      </w:r>
      <w:r>
        <w:t xml:space="preserve">Tens of thousands of relevant forest C estimates have been published and compiled in the Global Forest C database (ForC) and could be valuable for this purpose if made accessible through the Emission Factor Database (EFDB) of the International Panel on Climate Change (IPCC).</w:t>
      </w:r>
      <w:r>
        <w:t xml:space="preserve"> </w:t>
      </w:r>
    </w:p>
    <w:p>
      <w:pPr>
        <w:numPr>
          <w:ilvl w:val="0"/>
          <w:numId w:val="1002"/>
        </w:numPr>
        <w:pStyle w:val="Compact"/>
      </w:pPr>
      <w:r>
        <w:t xml:space="preserve">Here, we develop and document a process for semi-automated submission of data from ForC into the EFDB, assess the data available and submitted to date, and provide recommendations for improving forest data collection, analysis, and reporting to improve inventories of forest-sector greenhouse gas emissions and removals.</w:t>
      </w:r>
      <w:r>
        <w:t xml:space="preserve"> </w:t>
      </w:r>
    </w:p>
    <w:p>
      <w:pPr>
        <w:numPr>
          <w:ilvl w:val="0"/>
          <w:numId w:val="1002"/>
        </w:numPr>
        <w:pStyle w:val="Compact"/>
      </w:pPr>
      <w:r>
        <w:t xml:space="preserve">As of October 2023, ForC contained ~19316 independent records relevant to EFDB, 1438 of which had undergone necessary review and been submitted.</w:t>
      </w:r>
      <w:r>
        <w:t xml:space="preserve"> </w:t>
      </w:r>
      <w:r>
        <w:t xml:space="preserve">Records were unevenly distributed across variables (skewed towards aboveground biomass stocks) and geographic regions (skewed towards temperate forests).</w:t>
      </w:r>
      <w:r>
        <w:t xml:space="preserve"> </w:t>
      </w:r>
    </w:p>
    <w:p>
      <w:pPr>
        <w:numPr>
          <w:ilvl w:val="0"/>
          <w:numId w:val="1002"/>
        </w:numPr>
        <w:pStyle w:val="Compact"/>
      </w:pPr>
      <w:r>
        <w:t xml:space="preserve">In the future, forest C estimates in EFDB can be improved through targeted research to fill critical gaps, reporting of information required by IPCC, and continued submission of data from scientific publications to the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r>
        <w:br w:type="page"/>
      </w:r>
    </w:p>
    <w:bookmarkEnd w:id="22"/>
    <w:bookmarkStart w:id="25" w:name="introduction"/>
    <w:p>
      <w:pPr>
        <w:pStyle w:val="Heading1"/>
      </w:pPr>
      <w:r>
        <w:rPr>
          <w:rStyle w:val="SectionNumber"/>
        </w:rPr>
        <w:t xml:space="preserve">1</w:t>
      </w:r>
      <w:r>
        <w:tab/>
      </w:r>
      <w:r>
        <w:t xml:space="preserve">Introduction</w:t>
      </w:r>
    </w:p>
    <w:p>
      <w:pPr>
        <w:pStyle w:val="FirstParagraph"/>
      </w:pPr>
      <w:r>
        <w:t xml:space="preserve">Forests are critical to management of the atmospheric concentration of the greenhouse gas carbon dioxide (CO</w:t>
      </w:r>
      <w:r>
        <w:rPr>
          <w:vertAlign w:val="subscript"/>
        </w:rPr>
        <w:t xml:space="preserve">2</w:t>
      </w:r>
      <w:r>
        <w:t xml:space="preserve">), and thereby climate change.</w:t>
      </w:r>
      <w:r>
        <w:t xml:space="preserve"> </w:t>
      </w:r>
      <w:r>
        <w:t xml:space="preserve">In recent decades, CO</w:t>
      </w:r>
      <w:r>
        <w:rPr>
          <w:vertAlign w:val="subscript"/>
        </w:rPr>
        <w:t xml:space="preserve">2</w:t>
      </w:r>
      <w:r>
        <w:t xml:space="preserve"> </w:t>
      </w:r>
      <w:r>
        <w:t xml:space="preserve">uptake by forests, woodlands, and savannas has exceeded releases from deforestation and other severe disturbances, resulting in a net carbon CO</w:t>
      </w:r>
      <w:r>
        <w:rPr>
          <w:vertAlign w:val="subscript"/>
        </w:rPr>
        <w:t xml:space="preserve">2</w:t>
      </w:r>
      <w:r>
        <w:t xml:space="preserve"> </w:t>
      </w:r>
      <w:r>
        <w:t xml:space="preserve">sink of ~0.88 Gt C yr</w:t>
      </w:r>
      <w:r>
        <w:rPr>
          <w:vertAlign w:val="superscript"/>
        </w:rPr>
        <w:t xml:space="preserve">-1</w:t>
      </w:r>
      <w:r>
        <w:t xml:space="preserve"> </w:t>
      </w:r>
      <w:r>
        <w:t xml:space="preserve">(all biomes with trees, Xu</w:t>
      </w:r>
      <w:r>
        <w:t xml:space="preserve"> </w:t>
      </w:r>
      <w:r>
        <w:rPr>
          <w:iCs/>
          <w:i/>
        </w:rPr>
        <w:t xml:space="preserve">et al.</w:t>
      </w:r>
      <w:r>
        <w:t xml:space="preserve">, 2021)</w:t>
      </w:r>
      <w:r>
        <w:t xml:space="preserve"> </w:t>
      </w:r>
      <w:r>
        <w:t xml:space="preserve">to ~1.6 Gt C yr</w:t>
      </w:r>
      <w:r>
        <w:rPr>
          <w:vertAlign w:val="superscript"/>
        </w:rPr>
        <w:t xml:space="preserve">-1</w:t>
      </w:r>
      <w:r>
        <w:t xml:space="preserve"> </w:t>
      </w:r>
      <w:r>
        <w:t xml:space="preserve">(forests only, Harris</w:t>
      </w:r>
      <w:r>
        <w:t xml:space="preserve"> </w:t>
      </w:r>
      <w:r>
        <w:rPr>
          <w:iCs/>
          <w:i/>
        </w:rPr>
        <w:t xml:space="preserve">et al.</w:t>
      </w:r>
      <w:r>
        <w:t xml:space="preserve">, 2021)</w:t>
      </w:r>
      <w:r>
        <w:t xml:space="preserve">.</w:t>
      </w:r>
      <w:r>
        <w:t xml:space="preserve"> </w:t>
      </w:r>
      <w:r>
        <w:t xml:space="preserve">This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 dramatically slowing the pace of atmospheric CO</w:t>
      </w:r>
      <w:r>
        <w:rPr>
          <w:vertAlign w:val="subscript"/>
        </w:rPr>
        <w:t xml:space="preserve">2</w:t>
      </w:r>
      <w:r>
        <w:t xml:space="preserve"> </w:t>
      </w:r>
      <w:r>
        <w:t xml:space="preserve">accumulation and associated climate change.</w:t>
      </w:r>
      <w:r>
        <w:t xml:space="preserve"> </w:t>
      </w:r>
      <w:r>
        <w:t xml:space="preserve">The future of this important CO</w:t>
      </w:r>
      <w:r>
        <w:rPr>
          <w:vertAlign w:val="subscript"/>
        </w:rPr>
        <w:t xml:space="preserve">2</w:t>
      </w:r>
      <w:r>
        <w:t xml:space="preserve"> </w:t>
      </w:r>
      <w:r>
        <w:t xml:space="preserve">sink is highly uncertain, and depends upon both forest responses to climate change, which are likely to reduce the sink strength</w:t>
      </w:r>
      <w:r>
        <w:t xml:space="preserve"> </w:t>
      </w:r>
      <w:r>
        <w:t xml:space="preserve">(McDowell</w:t>
      </w:r>
      <w:r>
        <w:t xml:space="preserve"> </w:t>
      </w:r>
      <w:r>
        <w:rPr>
          <w:iCs/>
          <w:i/>
        </w:rPr>
        <w:t xml:space="preserve">et al.</w:t>
      </w:r>
      <w:r>
        <w:t xml:space="preserve">, 2020; Hammond</w:t>
      </w:r>
      <w:r>
        <w:t xml:space="preserve"> </w:t>
      </w:r>
      <w:r>
        <w:rPr>
          <w:iCs/>
          <w:i/>
        </w:rPr>
        <w:t xml:space="preserve">et al.</w:t>
      </w:r>
      <w:r>
        <w:t xml:space="preserve">, 2022)</w:t>
      </w:r>
      <w:r>
        <w:t xml:space="preserve">, and human conservation, restoration, and management of forests</w:t>
      </w:r>
      <w:r>
        <w:t xml:space="preserve"> </w:t>
      </w:r>
      <w:r>
        <w:t xml:space="preserve">(IPCC, 2019a, 2022a)</w:t>
      </w:r>
      <w:r>
        <w:t xml:space="preserve">.</w:t>
      </w:r>
    </w:p>
    <w:p>
      <w:pPr>
        <w:pStyle w:val="BodyText"/>
      </w:pPr>
      <w:r>
        <w:t xml:space="preserve">Forests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w:t>
      </w:r>
      <w:r>
        <w:t xml:space="preserve"> </w:t>
      </w:r>
      <w:r>
        <w:t xml:space="preserve">(UNFCCC, 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the year following the release of the latest IPCC guidelines, a more thorough analysis of C accumulation in regrowth forests found that IPCC’s Tier 1 default failed to capture eight-fold variation within ecozones</w:t>
      </w:r>
      <w:r>
        <w:t xml:space="preserve"> </w:t>
      </w:r>
      <w:r>
        <w:t xml:space="preserve">(Cook-Patton</w:t>
      </w:r>
      <w:r>
        <w:t xml:space="preserve"> </w:t>
      </w:r>
      <w:r>
        <w:rPr>
          <w:iCs/>
          <w:i/>
        </w:rPr>
        <w:t xml:space="preserve">et al.</w:t>
      </w:r>
      <w:r>
        <w:t xml:space="preserve">, 2020)</w:t>
      </w:r>
      <w:r>
        <w:t xml:space="preserve">.</w:t>
      </w:r>
      <w:r>
        <w:t xml:space="preserve"> </w:t>
      </w:r>
      <w:r>
        <w:t xml:space="preserve">In addition, it was revealed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 from peer-reviewed journal papers or other accepted sources for inclusion in the database.</w:t>
      </w:r>
      <w:r>
        <w:t xml:space="preserve"> </w:t>
      </w:r>
      <w:r>
        <w:t xml:space="preserve">In the case of forests, emission factors include C stocks, net annual increments, and annual fluxes for various pools</w:t>
      </w:r>
      <w:r>
        <w:t xml:space="preserve"> </w:t>
      </w:r>
      <w:r>
        <w:t xml:space="preserve">(IPCC, 2006a; IPCC, 2019b)</w:t>
      </w:r>
      <w:r>
        <w:t xml:space="preserve">.</w:t>
      </w:r>
    </w:p>
    <w:p>
      <w:pPr>
        <w:pStyle w:val="BodyText"/>
      </w:pPr>
      <w:r>
        <w:t xml:space="preserve">The Global Forest Carbon Database, ForC (</w:t>
      </w:r>
      <w:hyperlink r:id="rId24">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October 26, 2023,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r>
        <w:t xml:space="preserve"> </w:t>
      </w:r>
      <w:r>
        <w:t xml:space="preserve">The purpose of this publication is to document that process and provide recommendations for future improvements.</w:t>
      </w:r>
    </w:p>
    <w:p>
      <w:pPr>
        <w:pStyle w:val="BodyText"/>
      </w:pPr>
      <w:r>
        <w:t xml:space="preserve">Here, we</w:t>
      </w:r>
      <w:r>
        <w:t xml:space="preserve"> </w:t>
      </w:r>
      <w:r>
        <w:t xml:space="preserve">(1) review IPCC methods and definitions applied to estimate CO</w:t>
      </w:r>
      <w:r>
        <w:rPr>
          <w:vertAlign w:val="subscript"/>
        </w:rPr>
        <w:t xml:space="preserve">2</w:t>
      </w:r>
      <w:r>
        <w:t xml:space="preserve"> </w:t>
      </w:r>
      <w:r>
        <w:t xml:space="preserve">emissions and removals from forest in the context of typical forest C estimation methodologies;</w:t>
      </w:r>
      <w:r>
        <w:t xml:space="preserve"> </w:t>
      </w:r>
      <w:r>
        <w:t xml:space="preserve">(2) describe mapping of ForC to IPCC’s EFDB;</w:t>
      </w:r>
      <w:r>
        <w:t xml:space="preserve"> </w:t>
      </w:r>
      <w:r>
        <w:t xml:space="preserve">(3) describe updates to ForC (ForC v4.0), most of which were implemented to facilitate data submission to EFDB;</w:t>
      </w:r>
      <w:r>
        <w:t xml:space="preserve"> </w:t>
      </w:r>
      <w:r>
        <w:t xml:space="preserve">(4) summarize the data in ForC relevant to EFDB and records that have been submitted to date; and</w:t>
      </w:r>
      <w:r>
        <w:t xml:space="preserve"> </w:t>
      </w:r>
      <w:r>
        <w:t xml:space="preserve">(5) provide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bookmarkStart w:id="32" w:name="mapping-forc-to-efdb"/>
    <w:p>
      <w:pPr>
        <w:pStyle w:val="Heading2"/>
      </w:pPr>
      <w:r>
        <w:rPr>
          <w:rStyle w:val="SectionNumber"/>
        </w:rPr>
        <w:t xml:space="preserve">2.1</w:t>
      </w:r>
      <w:r>
        <w:tab/>
      </w:r>
      <w:r>
        <w:t xml:space="preserve">Mapping ForC to EFDB</w:t>
      </w:r>
    </w:p>
    <w:p>
      <w:pPr>
        <w:pStyle w:val="FirstParagraph"/>
      </w:pPr>
      <w:r>
        <w:t xml:space="preserve">The mapping of ForC fields into EFDB fields is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(section 4.1.1) and (2) land classification (section 4.1.2).</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With input from the IPCC’s Technical Support Unit, 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r>
        <w:t xml:space="preserve"> </w:t>
      </w:r>
      <w:r>
        <w:t xml:space="preserve">Complete records needed to be reviewed by the EFDB editorial board and then posted in the database – a process that lags behind submission of records and had not yet been completed for all records sent as of October 26, 2023.</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October 26, 2023,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October 26, 2023</w:t>
      </w:r>
      <w:r>
        <w:t xml:space="preserve">, we had reviewed or added 2292 EFDB-relevant records, 1438 records of which were submitted to EFDB, and 376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primarily attributable to the time required for the IPCC to review and post the records, and also because a minority of records were deemed not applicable to EFDB by the review panel.</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w:t>
      </w:r>
      <w:r>
        <w:rPr>
          <w:bCs/>
          <w:b/>
        </w:rPr>
        <w:t xml:space="preserve">stall_make_2019?</w:t>
      </w:r>
      <w:r>
        <w:t xml:space="preserve">)</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October 26, 2023,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50" w:name="references"/>
    <w:p>
      <w:pPr>
        <w:pStyle w:val="Heading1"/>
      </w:pPr>
      <w:r>
        <w:t xml:space="preserve">References</w:t>
      </w:r>
    </w:p>
    <w:bookmarkStart w:id="149"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1"/>
    <w:bookmarkStart w:id="7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3"/>
    <w:bookmarkStart w:id="7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5"/>
    <w:bookmarkStart w:id="7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7"/>
    <w:bookmarkStart w:id="79"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8">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9"/>
    <w:bookmarkStart w:id="81"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0">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1"/>
    <w:bookmarkStart w:id="83"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3"/>
    <w:bookmarkStart w:id="85"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4">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5"/>
    <w:bookmarkStart w:id="87"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6">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7"/>
    <w:bookmarkStart w:id="89"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8">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9"/>
    <w:bookmarkStart w:id="91"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0">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1"/>
    <w:bookmarkStart w:id="93"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2">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3"/>
    <w:bookmarkStart w:id="94"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4"/>
    <w:bookmarkStart w:id="96"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6"/>
    <w:bookmarkStart w:id="98"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98"/>
    <w:bookmarkStart w:id="100"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9">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0"/>
    <w:bookmarkStart w:id="102"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2"/>
    <w:bookmarkStart w:id="104"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3">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4"/>
    <w:bookmarkStart w:id="106" w:name="ref-hammond_global_2022"/>
    <w:p>
      <w:pPr>
        <w:pStyle w:val="Bibliography"/>
      </w:pPr>
      <w:r>
        <w:rPr>
          <w:bCs/>
          <w:b/>
          <w:bCs/>
          <w:b/>
        </w:rPr>
        <w:t xml:space="preserve">Hammond WM</w:t>
      </w:r>
      <w:r>
        <w:rPr>
          <w:bCs/>
          <w:b/>
        </w:rPr>
        <w:t xml:space="preserve">,</w:t>
      </w:r>
      <w:r>
        <w:rPr>
          <w:bCs/>
          <w:b/>
        </w:rPr>
        <w:t xml:space="preserve"> </w:t>
      </w:r>
      <w:r>
        <w:rPr>
          <w:bCs/>
          <w:b/>
          <w:bCs/>
          <w:b/>
        </w:rPr>
        <w:t xml:space="preserve">Williams AP</w:t>
      </w:r>
      <w:r>
        <w:rPr>
          <w:bCs/>
          <w:b/>
        </w:rPr>
        <w:t xml:space="preserve">,</w:t>
      </w:r>
      <w:r>
        <w:rPr>
          <w:bCs/>
          <w:b/>
        </w:rPr>
        <w:t xml:space="preserve"> </w:t>
      </w:r>
      <w:r>
        <w:rPr>
          <w:bCs/>
          <w:b/>
          <w:bCs/>
          <w:b/>
        </w:rPr>
        <w:t xml:space="preserve">Abatzoglou JT</w:t>
      </w:r>
      <w:r>
        <w:rPr>
          <w:bCs/>
          <w:b/>
        </w:rPr>
        <w:t xml:space="preserve">,</w:t>
      </w:r>
      <w:r>
        <w:rPr>
          <w:bCs/>
          <w:b/>
        </w:rPr>
        <w:t xml:space="preserve"> </w:t>
      </w:r>
      <w:r>
        <w:rPr>
          <w:bCs/>
          <w:b/>
          <w:bCs/>
          <w:b/>
        </w:rPr>
        <w:t xml:space="preserve">Adams HD</w:t>
      </w:r>
      <w:r>
        <w:rPr>
          <w:bCs/>
          <w:b/>
        </w:rPr>
        <w:t xml:space="preserve">,</w:t>
      </w:r>
      <w:r>
        <w:rPr>
          <w:bCs/>
          <w:b/>
        </w:rPr>
        <w:t xml:space="preserve"> </w:t>
      </w:r>
      <w:r>
        <w:rPr>
          <w:bCs/>
          <w:b/>
          <w:bCs/>
          <w:b/>
        </w:rPr>
        <w:t xml:space="preserve">Klein T</w:t>
      </w:r>
      <w:r>
        <w:rPr>
          <w:bCs/>
          <w:b/>
        </w:rPr>
        <w:t xml:space="preserve">,</w:t>
      </w:r>
      <w:r>
        <w:rPr>
          <w:bCs/>
          <w:b/>
        </w:rPr>
        <w:t xml:space="preserve"> </w:t>
      </w:r>
      <w:r>
        <w:rPr>
          <w:bCs/>
          <w:b/>
          <w:bCs/>
          <w:b/>
        </w:rPr>
        <w:t xml:space="preserve">López R</w:t>
      </w:r>
      <w:r>
        <w:rPr>
          <w:bCs/>
          <w:b/>
        </w:rPr>
        <w:t xml:space="preserve">,</w:t>
      </w:r>
      <w:r>
        <w:rPr>
          <w:bCs/>
          <w:b/>
        </w:rPr>
        <w:t xml:space="preserve"> </w:t>
      </w:r>
      <w:r>
        <w:rPr>
          <w:bCs/>
          <w:b/>
          <w:bCs/>
          <w:b/>
        </w:rPr>
        <w:t xml:space="preserve">Sáenz-Romero C</w:t>
      </w:r>
      <w:r>
        <w:rPr>
          <w:bCs/>
          <w:b/>
        </w:rPr>
        <w:t xml:space="preserve">,</w:t>
      </w:r>
      <w:r>
        <w:rPr>
          <w:bCs/>
          <w:b/>
        </w:rPr>
        <w:t xml:space="preserve"> </w:t>
      </w:r>
      <w:r>
        <w:rPr>
          <w:bCs/>
          <w:b/>
          <w:bCs/>
          <w:b/>
        </w:rPr>
        <w:t xml:space="preserve">Hartmann H</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Allen CD</w:t>
      </w:r>
      <w:r>
        <w:t xml:space="preserve">.</w:t>
      </w:r>
      <w:r>
        <w:t xml:space="preserve"> </w:t>
      </w:r>
      <w:r>
        <w:rPr>
          <w:bCs/>
          <w:b/>
        </w:rPr>
        <w:t xml:space="preserve">2022</w:t>
      </w:r>
      <w:r>
        <w:t xml:space="preserve">.</w:t>
      </w:r>
      <w:r>
        <w:t xml:space="preserve"> </w:t>
      </w:r>
      <w:hyperlink r:id="rId105">
        <w:r>
          <w:rPr>
            <w:rStyle w:val="Hyperlink"/>
          </w:rPr>
          <w:t xml:space="preserve">Global field observations of tree die-off reveal hotter-drought fingerprint for</w:t>
        </w:r>
        <w:r>
          <w:rPr>
            <w:rStyle w:val="Hyperlink"/>
          </w:rPr>
          <w:t xml:space="preserve"> </w:t>
        </w:r>
        <w:r>
          <w:rPr>
            <w:rStyle w:val="Hyperlink"/>
          </w:rPr>
          <w:t xml:space="preserve">Earth</w:t>
        </w:r>
        <w:r>
          <w:rPr>
            <w:rStyle w:val="Hyperlink"/>
          </w:rPr>
          <w:t xml:space="preserve">’s forests</w:t>
        </w:r>
      </w:hyperlink>
      <w:r>
        <w:t xml:space="preserve">.</w:t>
      </w:r>
      <w:r>
        <w:t xml:space="preserve"> </w:t>
      </w:r>
      <w:r>
        <w:rPr>
          <w:iCs/>
          <w:i/>
        </w:rPr>
        <w:t xml:space="preserve">Nature Communications</w:t>
      </w:r>
      <w:r>
        <w:t xml:space="preserve"> </w:t>
      </w:r>
      <w:r>
        <w:rPr>
          <w:bCs/>
          <w:b/>
        </w:rPr>
        <w:t xml:space="preserve">13</w:t>
      </w:r>
      <w:r>
        <w:t xml:space="preserve">: 1761.</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09"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9"/>
    <w:bookmarkStart w:id="110"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0"/>
    <w:bookmarkStart w:id="111"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1"/>
    <w:bookmarkStart w:id="112"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2"/>
    <w:bookmarkStart w:id="114"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3">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4"/>
    <w:bookmarkStart w:id="115"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5"/>
    <w:bookmarkStart w:id="117"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6">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7"/>
    <w:bookmarkStart w:id="119"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8">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9"/>
    <w:bookmarkStart w:id="121"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0">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1"/>
    <w:bookmarkStart w:id="123"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2">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3"/>
    <w:bookmarkStart w:id="124"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4"/>
    <w:bookmarkStart w:id="126"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5">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6"/>
    <w:bookmarkStart w:id="127"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7"/>
    <w:bookmarkStart w:id="129"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8">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29"/>
    <w:bookmarkStart w:id="131"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0">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1"/>
    <w:bookmarkStart w:id="133"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2">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3"/>
    <w:bookmarkStart w:id="135"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4">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5"/>
    <w:bookmarkStart w:id="137"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6">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7"/>
    <w:bookmarkStart w:id="139"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8">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9"/>
    <w:bookmarkStart w:id="141"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0">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1"/>
    <w:bookmarkStart w:id="142"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2"/>
    <w:bookmarkStart w:id="144"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3">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4"/>
    <w:bookmarkStart w:id="146"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6"/>
    <w:bookmarkStart w:id="148"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7">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8"/>
    <w:bookmarkEnd w:id="149"/>
    <w:bookmarkEnd w:id="1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2023-10-26T16:11:45Z</dcterms:created>
  <dcterms:modified xsi:type="dcterms:W3CDTF">2023-10-26T16:11:45Z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