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the Global Forest Carbon Database (ForC v4.0)</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Rogers</w:t>
      </w:r>
      <w:r>
        <w:rPr>
          <w:vertAlign w:val="superscript"/>
        </w:rPr>
        <w:t xml:space="preserve">1</w:t>
      </w:r>
    </w:p>
    <w:p>
      <w:pPr>
        <w:pStyle w:val="BodyText"/>
      </w:pPr>
      <w:r>
        <w:t xml:space="preserve">Rebecca Banbury Morgan</w:t>
      </w:r>
      <w:r>
        <w:rPr>
          <w:vertAlign w:val="superscript"/>
        </w:rPr>
        <w:t xml:space="preserve">1,3</w:t>
      </w:r>
    </w:p>
    <w:p>
      <w:pPr>
        <w:pStyle w:val="BodyText"/>
      </w:pPr>
      <w:r>
        <w:t xml:space="preserve">Ben Bond-Lamberty</w:t>
      </w:r>
      <w:r>
        <w:rPr>
          <w:vertAlign w:val="superscript"/>
        </w:rPr>
        <w:t xml:space="preserve">4</w:t>
      </w:r>
    </w:p>
    <w:p>
      <w:pPr>
        <w:pStyle w:val="BodyText"/>
      </w:pPr>
      <w:r>
        <w:t xml:space="preserve">Susan Cook-Patton</w:t>
      </w:r>
      <w:r>
        <w:rPr>
          <w:vertAlign w:val="superscript"/>
        </w:rPr>
        <w:t xml:space="preserve">5</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School of Geography, University of Leeds, Leeds, UK</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USA</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Forests are critical for climate change mitigation and constitute a substantial portion of planned net emissions reductions under the 2015 Paris Agreement.</w:t>
      </w:r>
      <w:r>
        <w:t xml:space="preserve"> </w:t>
      </w:r>
      <w:r>
        <w:t xml:space="preserve">The efficacy of greenhouse gas mitigation planning and reporting depends on the accessibility and quality of data on forest carbon (C) stocks and changes therein.</w:t>
      </w:r>
      <w:r>
        <w:t xml:space="preserve"> </w:t>
      </w:r>
      <w:r>
        <w:t xml:space="preserve">Tens of thousands of relevant forest C estimates have been published and compiled in the Global Forest C database (ForC) and could be valuable for this purpose if made accessible through the Emission Factor Database (EFDB) of the International Panel on Climate Change (IPCC).</w:t>
      </w:r>
      <w:r>
        <w:t xml:space="preserve"> </w:t>
      </w:r>
    </w:p>
    <w:p>
      <w:pPr>
        <w:numPr>
          <w:ilvl w:val="0"/>
          <w:numId w:val="1002"/>
        </w:numPr>
        <w:pStyle w:val="Compact"/>
      </w:pPr>
      <w:r>
        <w:t xml:space="preserve">Here, we develop and document a process for semi-automated submission of data from ForC into the EFDB, assess the data available and submitted to date, and provide recommendations for improving forest data collection, analysis, and reporting to improve inventories of forest-sector greenhouse gas emissions and removals.</w:t>
      </w:r>
      <w:r>
        <w:t xml:space="preserve"> </w:t>
      </w:r>
    </w:p>
    <w:p>
      <w:pPr>
        <w:numPr>
          <w:ilvl w:val="0"/>
          <w:numId w:val="1002"/>
        </w:numPr>
        <w:pStyle w:val="Compact"/>
      </w:pPr>
      <w:r>
        <w:t xml:space="preserve">As of October 2023, ForC contained ~19316 independent records relevant to EFDB, 1438 of which had undergone necessary review and been submitted.</w:t>
      </w:r>
      <w:r>
        <w:t xml:space="preserve"> </w:t>
      </w:r>
      <w:r>
        <w:t xml:space="preserve">Records were unevenly distributed across variables (skewed towards aboveground biomass stocks) and geographic regions (skewed towards temperate forests).</w:t>
      </w:r>
      <w:r>
        <w:t xml:space="preserve"> </w:t>
      </w:r>
    </w:p>
    <w:p>
      <w:pPr>
        <w:numPr>
          <w:ilvl w:val="0"/>
          <w:numId w:val="1002"/>
        </w:numPr>
        <w:pStyle w:val="Compact"/>
      </w:pPr>
      <w:r>
        <w:t xml:space="preserve">In the future, forest C estimates in EFDB can be improved through targeted research to fill critical gaps, reporting of information required by IPCC, and continued submission of data from scientific publications to the EFDB.</w:t>
      </w:r>
      <w:r>
        <w:t xml:space="preserve"> </w:t>
      </w:r>
      <w:r>
        <w:t xml:space="preserve">Given that climate change is rapidly impacting the world’s forests, timely reporting of recent estimates will be especially critical to accurate forest C inventories.</w:t>
      </w:r>
    </w:p>
    <w:p>
      <w:pPr>
        <w:pStyle w:val="FirstParagraph"/>
      </w:pPr>
      <w:r>
        <w:rPr>
          <w:bCs/>
          <w:b/>
        </w:rPr>
        <w:t xml:space="preserve">Keywords:</w:t>
      </w:r>
      <w:r>
        <w:t xml:space="preserve"> </w:t>
      </w:r>
    </w:p>
    <w:bookmarkEnd w:id="21"/>
    <w:bookmarkStart w:id="22" w:name="societal-impact-statement"/>
    <w:p>
      <w:pPr>
        <w:pStyle w:val="Heading1"/>
      </w:pPr>
      <w:r>
        <w:t xml:space="preserve">Societal Impact Statement</w:t>
      </w:r>
    </w:p>
    <w:p>
      <w:r>
        <w:br w:type="page"/>
      </w:r>
    </w:p>
    <w:bookmarkEnd w:id="22"/>
    <w:bookmarkStart w:id="25" w:name="introduction"/>
    <w:p>
      <w:pPr>
        <w:pStyle w:val="Heading1"/>
      </w:pPr>
      <w:r>
        <w:rPr>
          <w:rStyle w:val="SectionNumber"/>
        </w:rPr>
        <w:t xml:space="preserve">1</w:t>
      </w:r>
      <w:r>
        <w:tab/>
      </w:r>
      <w:r>
        <w:t xml:space="preserve">Introduction</w:t>
      </w:r>
    </w:p>
    <w:p>
      <w:pPr>
        <w:pStyle w:val="FirstParagraph"/>
      </w:pPr>
      <w:r>
        <w:t xml:space="preserve">Forests are critical to management of the atmospheric concentration of the greenhouse gas carbon dioxide (CO</w:t>
      </w:r>
      <w:r>
        <w:rPr>
          <w:vertAlign w:val="subscript"/>
        </w:rPr>
        <w:t xml:space="preserve">2</w:t>
      </w:r>
      <w:r>
        <w:t xml:space="preserve">), and thereby climate change.</w:t>
      </w:r>
      <w:r>
        <w:t xml:space="preserve"> </w:t>
      </w:r>
      <w:r>
        <w:t xml:space="preserve">In recent decades, CO</w:t>
      </w:r>
      <w:r>
        <w:rPr>
          <w:vertAlign w:val="subscript"/>
        </w:rPr>
        <w:t xml:space="preserve">2</w:t>
      </w:r>
      <w:r>
        <w:t xml:space="preserve"> </w:t>
      </w:r>
      <w:r>
        <w:t xml:space="preserve">uptake by forests, woodlands, and savannas has exceeded releases from deforestation and other severe disturbances, resulting in a net carbon CO</w:t>
      </w:r>
      <w:r>
        <w:rPr>
          <w:vertAlign w:val="subscript"/>
        </w:rPr>
        <w:t xml:space="preserve">2</w:t>
      </w:r>
      <w:r>
        <w:t xml:space="preserve"> </w:t>
      </w:r>
      <w:r>
        <w:t xml:space="preserve">sink of ~0.88 Gt C yr</w:t>
      </w:r>
      <w:r>
        <w:rPr>
          <w:vertAlign w:val="superscript"/>
        </w:rPr>
        <w:t xml:space="preserve">-1</w:t>
      </w:r>
      <w:r>
        <w:t xml:space="preserve"> </w:t>
      </w:r>
      <w:r>
        <w:t xml:space="preserve">(all biomes with trees, Xu</w:t>
      </w:r>
      <w:r>
        <w:t xml:space="preserve"> </w:t>
      </w:r>
      <w:r>
        <w:rPr>
          <w:iCs/>
          <w:i/>
        </w:rPr>
        <w:t xml:space="preserve">et al.</w:t>
      </w:r>
      <w:r>
        <w:t xml:space="preserve">, 2021)</w:t>
      </w:r>
      <w:r>
        <w:t xml:space="preserve"> </w:t>
      </w:r>
      <w:r>
        <w:t xml:space="preserve">to ~1.6 Gt C yr</w:t>
      </w:r>
      <w:r>
        <w:rPr>
          <w:vertAlign w:val="superscript"/>
        </w:rPr>
        <w:t xml:space="preserve">-1</w:t>
      </w:r>
      <w:r>
        <w:t xml:space="preserve"> </w:t>
      </w:r>
      <w:r>
        <w:t xml:space="preserve">(forests only, Harris</w:t>
      </w:r>
      <w:r>
        <w:t xml:space="preserve"> </w:t>
      </w:r>
      <w:r>
        <w:rPr>
          <w:iCs/>
          <w:i/>
        </w:rPr>
        <w:t xml:space="preserve">et al.</w:t>
      </w:r>
      <w:r>
        <w:t xml:space="preserve">, 2021)</w:t>
      </w:r>
      <w:r>
        <w:t xml:space="preserve">.</w:t>
      </w:r>
      <w:r>
        <w:t xml:space="preserve"> </w:t>
      </w:r>
      <w:r>
        <w:t xml:space="preserve">This has offset an estimated 10%</w:t>
      </w:r>
      <w:r>
        <w:t xml:space="preserve"> </w:t>
      </w:r>
      <w:r>
        <w:t xml:space="preserve">to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 dramatically slowing the pace of atmospheric CO</w:t>
      </w:r>
      <w:r>
        <w:rPr>
          <w:vertAlign w:val="subscript"/>
        </w:rPr>
        <w:t xml:space="preserve">2</w:t>
      </w:r>
      <w:r>
        <w:t xml:space="preserve"> </w:t>
      </w:r>
      <w:r>
        <w:t xml:space="preserve">accumulation and associated climate change.</w:t>
      </w:r>
      <w:r>
        <w:t xml:space="preserve"> </w:t>
      </w:r>
      <w:r>
        <w:t xml:space="preserve">The future of this important CO</w:t>
      </w:r>
      <w:r>
        <w:rPr>
          <w:vertAlign w:val="subscript"/>
        </w:rPr>
        <w:t xml:space="preserve">2</w:t>
      </w:r>
      <w:r>
        <w:t xml:space="preserve"> </w:t>
      </w:r>
      <w:r>
        <w:t xml:space="preserve">sink is highly uncertain, and depends upon both forest responses to climate change, which are likely to reduce the sink strength</w:t>
      </w:r>
      <w:r>
        <w:t xml:space="preserve"> </w:t>
      </w:r>
      <w:r>
        <w:t xml:space="preserve">(McDowell</w:t>
      </w:r>
      <w:r>
        <w:t xml:space="preserve"> </w:t>
      </w:r>
      <w:r>
        <w:rPr>
          <w:iCs/>
          <w:i/>
        </w:rPr>
        <w:t xml:space="preserve">et al.</w:t>
      </w:r>
      <w:r>
        <w:t xml:space="preserve">, 2020; Hammond</w:t>
      </w:r>
      <w:r>
        <w:t xml:space="preserve"> </w:t>
      </w:r>
      <w:r>
        <w:rPr>
          <w:iCs/>
          <w:i/>
        </w:rPr>
        <w:t xml:space="preserve">et al.</w:t>
      </w:r>
      <w:r>
        <w:t xml:space="preserve">, 2022)</w:t>
      </w:r>
      <w:r>
        <w:t xml:space="preserve">, and human conservation, restoration, and management of forests</w:t>
      </w:r>
      <w:r>
        <w:t xml:space="preserve"> </w:t>
      </w:r>
      <w:r>
        <w:t xml:space="preserve">(IPCC, 2019a, 2022a)</w:t>
      </w:r>
      <w:r>
        <w:t xml:space="preserve">.</w:t>
      </w:r>
    </w:p>
    <w:p>
      <w:pPr>
        <w:pStyle w:val="BodyText"/>
      </w:pPr>
      <w:r>
        <w:t xml:space="preserve">Forests play a substantial role in international plans for climate change mitigation under the Paris Agreement</w:t>
      </w:r>
      <w:r>
        <w:t xml:space="preserve"> </w:t>
      </w:r>
      <w:r>
        <w:t xml:space="preserve">(UNFCCC, 2015)</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 with conservation and reforestation having the fourth and fifth largest net emission reduction potentials or all mitigation options</w:t>
      </w:r>
      <w:r>
        <w:t xml:space="preserve"> </w:t>
      </w:r>
      <w:r>
        <w:t xml:space="preserve">(IPCC, 2022b)</w:t>
      </w:r>
      <w:r>
        <w:t xml:space="preserve">.</w:t>
      </w:r>
      <w:r>
        <w:t xml:space="preserve"> </w:t>
      </w:r>
      <w:r>
        <w:t xml:space="preserve">As of 2016, forest-based mitigation accounted for 26% of total planned greenhouse gas mitigation within Nationally Determined Contributions under the Paris Agreement</w:t>
      </w:r>
      <w:r>
        <w:t xml:space="preserve"> </w:t>
      </w:r>
      <w:r>
        <w:t xml:space="preserve">(Grassi</w:t>
      </w:r>
      <w:r>
        <w:t xml:space="preserve"> </w:t>
      </w:r>
      <w:r>
        <w:rPr>
          <w:iCs/>
          <w:i/>
        </w:rPr>
        <w:t xml:space="preserve">et al.</w:t>
      </w:r>
      <w:r>
        <w:t xml:space="preserve">, 2017)</w:t>
      </w:r>
      <w:r>
        <w:t xml:space="preserve">.</w:t>
      </w:r>
      <w:r>
        <w:t xml:space="preserve"> </w:t>
      </w:r>
      <w:r>
        <w:t xml:space="preserve">Yet, envisioned forest-based climate change mitigation initiatives do not always correspond to actual emission reductions through on-the-ground implementation</w:t>
      </w:r>
      <w:r>
        <w:t xml:space="preserve"> </w:t>
      </w:r>
      <w:r>
        <w:t xml:space="preserve">(e.g., Badgley</w:t>
      </w:r>
      <w:r>
        <w:t xml:space="preserve"> </w:t>
      </w:r>
      <w:r>
        <w:rPr>
          <w:iCs/>
          <w:i/>
        </w:rPr>
        <w:t xml:space="preserve">et al.</w:t>
      </w:r>
      <w:r>
        <w:t xml:space="preserve">, 2022)</w:t>
      </w:r>
      <w:r>
        <w:t xml:space="preserve">.</w:t>
      </w:r>
      <w:r>
        <w:t xml:space="preserve"> </w:t>
      </w:r>
      <w:r>
        <w:t xml:space="preserve">One critical need for ensuring that forest-based climate change mitigation initiatives are effective is realistic planning and reporting, underlain by solid scientific data</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The International Panel on Climate Change (IPCC) provides guidance for national greenhouse gas inventories for reporting to the United Nations Framework Convention on Climate Change</w:t>
      </w:r>
      <w:r>
        <w:t xml:space="preserve"> </w:t>
      </w:r>
      <w:r>
        <w:t xml:space="preserve">(UNFCCC, IPCC, 2006a; IPCC, 2019b)</w:t>
      </w:r>
      <w:r>
        <w:t xml:space="preserve">.</w:t>
      </w:r>
      <w:r>
        <w:t xml:space="preserve"> </w:t>
      </w:r>
      <w:r>
        <w:t xml:space="preserve">Under this guidance, greenhouse gas inventories include all managed land, including most of the world’s forest land</w:t>
      </w:r>
      <w:r>
        <w:t xml:space="preserve"> </w:t>
      </w:r>
      <w:r>
        <w:t xml:space="preserve">(Ogle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(FAO, 2012)</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of the relevant underlying data has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 as datasets grow and become more widely accessible.</w:t>
      </w:r>
      <w:r>
        <w:t xml:space="preserve"> </w:t>
      </w:r>
      <w:r>
        <w:t xml:space="preserve">For example, the year following the release of the latest IPCC guidelines, a more thorough analysis of C accumulation in regrowth forests found that IPCC’s Tier 1 default failed to capture eight-fold variation within ecozones</w:t>
      </w:r>
      <w:r>
        <w:t xml:space="preserve"> </w:t>
      </w:r>
      <w:r>
        <w:t xml:space="preserve">(Cook-Patton</w:t>
      </w:r>
      <w:r>
        <w:t xml:space="preserve"> </w:t>
      </w:r>
      <w:r>
        <w:rPr>
          <w:iCs/>
          <w:i/>
        </w:rPr>
        <w:t xml:space="preserve">et al.</w:t>
      </w:r>
      <w:r>
        <w:t xml:space="preserve">, 2020)</w:t>
      </w:r>
      <w:r>
        <w:t xml:space="preserve">.</w:t>
      </w:r>
      <w:r>
        <w:t xml:space="preserve"> </w:t>
      </w:r>
      <w:r>
        <w:t xml:space="preserve">In addition, it was revealed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r>
        <w:t xml:space="preserve"> </w:t>
      </w:r>
      <w:r>
        <w:t xml:space="preserve">Moreover, 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implies that it is useful for practitioners to have access to locally-specific information, when available.</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 from peer-reviewed journal papers or other accepted sources for inclusion in the database.</w:t>
      </w:r>
      <w:r>
        <w:t xml:space="preserve"> </w:t>
      </w:r>
      <w:r>
        <w:t xml:space="preserve">In the case of forests, emission factors include C stocks, net annual increments, and annual fluxes for various pools</w:t>
      </w:r>
      <w:r>
        <w:t xml:space="preserve"> </w:t>
      </w:r>
      <w:r>
        <w:t xml:space="preserve">(IPCC, 2006a; IPCC, 2019b)</w:t>
      </w:r>
      <w:r>
        <w:t xml:space="preserve">.</w:t>
      </w:r>
    </w:p>
    <w:p>
      <w:pPr>
        <w:pStyle w:val="BodyText"/>
      </w:pPr>
      <w:r>
        <w:t xml:space="preserve">The Global Forest Carbon Database, ForC (</w:t>
      </w:r>
      <w:hyperlink r:id="rId24">
        <w:r>
          <w:rPr>
            <w:rStyle w:val="Hyperlink"/>
          </w:rPr>
          <w:t xml:space="preserve">https://forc-db.github.io/</w:t>
        </w:r>
      </w:hyperlink>
      <w:r>
        <w:t xml:space="preserve">),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w:t>
      </w:r>
      <w:r>
        <w:t xml:space="preserve"> </w:t>
      </w:r>
      <w:r>
        <w:t xml:space="preserve">ForC includes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As of October 26, 2023, ForC contained 39848 records from 10589 plots in 1535 distinct geographical areas, along with records of stand age and disturbance history.</w:t>
      </w:r>
      <w:r>
        <w:t xml:space="preserve"> </w:t>
      </w:r>
      <w:r>
        <w:t xml:space="preserve">As such, ForC is positioned to improve forest-related estimates of CO</w:t>
      </w:r>
      <w:r>
        <w:rPr>
          <w:vertAlign w:val="subscript"/>
        </w:rPr>
        <w:t xml:space="preserve">2</w:t>
      </w:r>
      <w:r>
        <w:t xml:space="preserve"> </w:t>
      </w:r>
      <w:r>
        <w:t xml:space="preserve">emissions and removals through the submission of data to the EFDB.</w:t>
      </w:r>
      <w:r>
        <w:t xml:space="preserve"> </w:t>
      </w:r>
      <w:r>
        <w:t xml:space="preserve">The purpose of this publication is to document that process and provide recommendations for future improvements.</w:t>
      </w:r>
    </w:p>
    <w:p>
      <w:pPr>
        <w:pStyle w:val="BodyText"/>
      </w:pPr>
      <w:r>
        <w:t xml:space="preserve">Here, we</w:t>
      </w:r>
      <w:r>
        <w:t xml:space="preserve"> </w:t>
      </w:r>
      <w:r>
        <w:t xml:space="preserve">(1) review IPCC methods and definitions applied to estimate CO</w:t>
      </w:r>
      <w:r>
        <w:rPr>
          <w:vertAlign w:val="subscript"/>
        </w:rPr>
        <w:t xml:space="preserve">2</w:t>
      </w:r>
      <w:r>
        <w:t xml:space="preserve"> </w:t>
      </w:r>
      <w:r>
        <w:t xml:space="preserve">emissions and removals from forest in the context of typical forest C estimation methodologies;</w:t>
      </w:r>
      <w:r>
        <w:t xml:space="preserve"> </w:t>
      </w:r>
      <w:r>
        <w:t xml:space="preserve">(2) describe mapping of ForC to IPCC’s EFDB;</w:t>
      </w:r>
      <w:r>
        <w:t xml:space="preserve"> </w:t>
      </w:r>
      <w:r>
        <w:t xml:space="preserve">(3) describe updates to ForC (ForC v4.0), most of which were implemented to facilitate data submission to EFDB;</w:t>
      </w:r>
      <w:r>
        <w:t xml:space="preserve"> </w:t>
      </w:r>
      <w:r>
        <w:t xml:space="preserve">(4) summarize the data in ForC relevant to EFDB and records that have been submitted to date; and</w:t>
      </w:r>
      <w:r>
        <w:t xml:space="preserve"> </w:t>
      </w:r>
      <w:r>
        <w:t xml:space="preserve">(5) provide recommendations as to how the scientific community can better provide useful data for forest C inventories under the Paris Agreement.</w:t>
      </w:r>
    </w:p>
    <w:bookmarkEnd w:id="25"/>
    <w:bookmarkStart w:id="35" w:name="materials-and-methods"/>
    <w:p>
      <w:pPr>
        <w:pStyle w:val="Heading1"/>
      </w:pPr>
      <w:r>
        <w:rPr>
          <w:rStyle w:val="SectionNumber"/>
        </w:rPr>
        <w:t xml:space="preserve">2</w:t>
      </w:r>
      <w:r>
        <w:tab/>
      </w:r>
      <w:r>
        <w:t xml:space="preserve">Materials and Methods</w:t>
      </w:r>
    </w:p>
    <w:bookmarkStart w:id="32" w:name="mapping-forc-to-efdb"/>
    <w:p>
      <w:pPr>
        <w:pStyle w:val="Heading2"/>
      </w:pPr>
      <w:r>
        <w:rPr>
          <w:rStyle w:val="SectionNumber"/>
        </w:rPr>
        <w:t xml:space="preserve">2.1</w:t>
      </w:r>
      <w:r>
        <w:tab/>
      </w:r>
      <w:r>
        <w:t xml:space="preserve">Mapping ForC to EFDB</w:t>
      </w:r>
    </w:p>
    <w:p>
      <w:pPr>
        <w:pStyle w:val="FirstParagraph"/>
      </w:pPr>
      <w:r>
        <w:t xml:space="preserve">The mapping of ForC fields into EFDB fields is summarized in Table S2.</w:t>
      </w:r>
      <w:r>
        <w:t xml:space="preserve"> </w:t>
      </w:r>
      <w:r>
        <w:t xml:space="preserve">For the majority of fields, contents of the field in ForC was copied directly into an EFDB field, either as the only contents of that field or as part of a composite record.</w:t>
      </w:r>
      <w:r>
        <w:t xml:space="preserve"> </w:t>
      </w:r>
      <w:r>
        <w:t xml:space="preserve">For example, ten ForC fields describing site location, climate, and edaphic properties all mapped into the EFDB field</w:t>
      </w:r>
      <w:r>
        <w:t xml:space="preserve"> </w:t>
      </w:r>
      <w:r>
        <w:rPr>
          <w:iCs/>
          <w:i/>
        </w:rPr>
        <w:t xml:space="preserve">Region/Regional conditions</w:t>
      </w:r>
      <w:r>
        <w:t xml:space="preserve"> </w:t>
      </w:r>
      <w:r>
        <w:t xml:space="preserve">(Table S2).</w:t>
      </w:r>
      <w:r>
        <w:t xml:space="preserve"> </w:t>
      </w:r>
      <w:r>
        <w:t xml:space="preserve">In cases where original studies did not present 95% confidence intervals (required by IPCC when available) but did present information required to calculate these (standard error or n and standard deviation), we calculated the 95% confidence intervals and populated the EFDB field with this information (noting the calculation in the EFDB field</w:t>
      </w:r>
      <w:r>
        <w:t xml:space="preserve"> </w:t>
      </w:r>
      <w:r>
        <w:rPr>
          <w:iCs/>
          <w:i/>
        </w:rPr>
        <w:t xml:space="preserve">Comments from Data Provider</w:t>
      </w:r>
      <w:r>
        <w:t xml:space="preserve">).</w:t>
      </w:r>
      <w:r>
        <w:t xml:space="preserve"> </w:t>
      </w:r>
      <w:r>
        <w:t xml:space="preserve">For some fields, simple conditional logic was used to populate EFDB fields based on ForC records.</w:t>
      </w:r>
      <w:r>
        <w:t xml:space="preserve"> </w:t>
      </w:r>
      <w:r>
        <w:t xml:space="preserve">For example, for stock variables presented in the original publication in units of dry organic matter mass (as opposed to C), several greenhouse gasses (CO</w:t>
      </w:r>
      <w:r>
        <w:rPr>
          <w:vertAlign w:val="subscript"/>
        </w:rPr>
        <w:t xml:space="preserve">2</w:t>
      </w:r>
      <w:r>
        <w:t xml:space="preserve">, CO, CH</w:t>
      </w:r>
      <w:r>
        <w:rPr>
          <w:vertAlign w:val="subscript"/>
        </w:rPr>
        <w:t xml:space="preserve">4</w:t>
      </w:r>
      <w:r>
        <w:t xml:space="preserve">, NO, NO</w:t>
      </w:r>
      <w:r>
        <w:rPr>
          <w:vertAlign w:val="subscript"/>
        </w:rPr>
        <w:t xml:space="preserve">2</w:t>
      </w:r>
      <w:r>
        <w:t xml:space="preserve">, N</w:t>
      </w:r>
      <w:r>
        <w:rPr>
          <w:vertAlign w:val="subscript"/>
        </w:rPr>
        <w:t xml:space="preserve">2</w:t>
      </w:r>
      <w:r>
        <w:t xml:space="preserve">O) were entered in the EFDB field indicating the greenhouse gases to which the record could be pertinent (</w:t>
      </w:r>
      <w:r>
        <w:rPr>
          <w:iCs/>
          <w:i/>
        </w:rPr>
        <w:t xml:space="preserve">Gases</w:t>
      </w:r>
      <w:r>
        <w:t xml:space="preserve"> </w:t>
      </w:r>
      <w:r>
        <w:t xml:space="preserve">field) because these values could be used in calculations of greenhouse gas emissions from biomass burning</w:t>
      </w:r>
      <w:r>
        <w:t xml:space="preserve"> </w:t>
      </w:r>
      <w:r>
        <w:t xml:space="preserve">(IPCC, 2006a)</w:t>
      </w:r>
      <w:r>
        <w:t xml:space="preserve">; otherwise, the only pertinent greenhouse gas would be CO</w:t>
      </w:r>
      <w:r>
        <w:rPr>
          <w:vertAlign w:val="subscript"/>
        </w:rPr>
        <w:t xml:space="preserve">2</w:t>
      </w:r>
      <w:r>
        <w:t xml:space="preserve">.</w:t>
      </w:r>
      <w:r>
        <w:t xml:space="preserve"> </w:t>
      </w:r>
      <w:r>
        <w:t xml:space="preserve">There were two cases in which more complex mapping was required: (1) mapping of C cycle variables (section 4.1.1) and (2) land classification (section 4.1.2).</w:t>
      </w:r>
    </w:p>
    <w:bookmarkStart w:id="30" w:name="carbon-cycle-variables"/>
    <w:p>
      <w:pPr>
        <w:pStyle w:val="Heading3"/>
      </w:pPr>
      <w:r>
        <w:rPr>
          <w:rStyle w:val="SectionNumber"/>
        </w:rPr>
        <w:t xml:space="preserve">2.1.1</w:t>
      </w:r>
      <w:r>
        <w:tab/>
      </w:r>
      <w:r>
        <w:t xml:space="preserve">Carbon cycle variables</w:t>
      </w:r>
    </w:p>
    <w:p>
      <w:pPr>
        <w:pStyle w:val="FirstParagraph"/>
      </w:pPr>
      <w:r>
        <w:t xml:space="preserve">With input from the IPCC’s Technical Support Unit, we reviewed the list of ForC variables to identify those that were relevant to EFDB and to appropriately map them into EFDB (Fig. 1).</w:t>
      </w:r>
      <w:r>
        <w:t xml:space="preserve"> </w:t>
      </w:r>
      <w:r>
        <w:t xml:space="preserve">For each C pool (Table 1), we identified variables representing organic matter or C stocks, net annual increments, influxes (a.k.a.</w:t>
      </w:r>
      <w:r>
        <w:t xml:space="preserve"> </w:t>
      </w:r>
      <w:r>
        <w:t xml:space="preserve">“</w:t>
      </w:r>
      <w:r>
        <w:t xml:space="preserve">gross annual increments</w:t>
      </w:r>
      <w:r>
        <w:t xml:space="preserve">”</w:t>
      </w:r>
      <w:r>
        <w:t xml:space="preserve"> </w:t>
      </w:r>
      <w:r>
        <w:t xml:space="preserve">by IPCC), and outfluxes.</w:t>
      </w:r>
      <w:r>
        <w:t xml:space="preserve"> </w:t>
      </w:r>
      <w:r>
        <w:t xml:space="preserve">As described in section 3.2, we also defined 15 new EFDB-relevant variables that were not previously represented in ForC.</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are recorded as covariates in ForC and mapped into the EFDB field</w:t>
      </w:r>
      <w:r>
        <w:t xml:space="preserve"> </w:t>
      </w:r>
      <w:r>
        <w:rPr>
          <w:iCs/>
          <w:i/>
        </w:rPr>
        <w:t xml:space="preserve">Other Properties</w:t>
      </w:r>
      <w:r>
        <w:t xml:space="preserve"> </w:t>
      </w:r>
      <w:r>
        <w:t xml:space="preserve">(Table S2).</w:t>
      </w:r>
      <w:r>
        <w:t xml:space="preserve"> </w:t>
      </w:r>
      <w:r>
        <w:t xml:space="preserve">Details on the mapping of ForC variables to EFDB – including associated covariates, IPCC pools (Table 1) and relevant equations</w:t>
      </w:r>
      <w:r>
        <w:t xml:space="preserve"> </w:t>
      </w:r>
      <w:r>
        <w:t xml:space="preserve">(IPCC, 2006a)</w:t>
      </w:r>
      <w:r>
        <w:t xml:space="preserve"> </w:t>
      </w:r>
      <w:r>
        <w:t xml:space="preserve">– are documented in the file ForC_variables_mapping.csv in the GitHub repository associated with this publication IPCC-EFDB-integration repository in ForC-db organization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rPr>
          <w:rStyle w:val="SectionNumber"/>
        </w:rPr>
        <w:t xml:space="preserve">2.1.2</w:t>
      </w:r>
      <w:r>
        <w:tab/>
      </w:r>
      <w:r>
        <w:t xml:space="preserve">Land classification</w:t>
      </w:r>
    </w:p>
    <w:p>
      <w:pPr>
        <w:pStyle w:val="FirstParagraph"/>
      </w:pPr>
      <w:r>
        <w:t xml:space="preserve">Determination of the IPCC land-use category (i.e., Forest Land, Grassland, Wetlands, Cropland, Settlements, or Other Land; section 2.2) was made based on the categorical ForC field</w:t>
      </w:r>
      <w:r>
        <w:t xml:space="preserve"> </w:t>
      </w:r>
      <w:r>
        <w:rPr>
          <w:iCs/>
          <w:i/>
        </w:rPr>
        <w:t xml:space="preserve">dominant.life.form</w:t>
      </w:r>
      <w:r>
        <w:t xml:space="preserve">, sometimes drawing upon stand age.</w:t>
      </w:r>
      <w:r>
        <w:t xml:space="preserve"> </w:t>
      </w:r>
      <w:r>
        <w:t xml:space="preserve">Records with</w:t>
      </w:r>
      <w:r>
        <w:t xml:space="preserve"> </w:t>
      </w:r>
      <w:r>
        <w:t xml:space="preserve">“</w:t>
      </w:r>
      <w:r>
        <w:t xml:space="preserve">woody</w:t>
      </w:r>
      <w:r>
        <w:t xml:space="preserve">”</w:t>
      </w:r>
      <w:r>
        <w:t xml:space="preserve"> </w:t>
      </w:r>
      <w:r>
        <w:rPr>
          <w:iCs/>
          <w:i/>
        </w:rPr>
        <w:t xml:space="preserve">dominant.life.form</w:t>
      </w:r>
      <w:r>
        <w:t xml:space="preserve"> </w:t>
      </w:r>
      <w:r>
        <w:t xml:space="preserve">were classified as Forest Land.</w:t>
      </w:r>
      <w:r>
        <w:t xml:space="preserve"> </w:t>
      </w:r>
      <w:r>
        <w:t xml:space="preserve">Those with</w:t>
      </w:r>
      <w:r>
        <w:t xml:space="preserve"> </w:t>
      </w:r>
      <w:r>
        <w:rPr>
          <w:iCs/>
          <w:i/>
        </w:rPr>
        <w:t xml:space="preserve">dominant.life.form</w:t>
      </w:r>
      <w:r>
        <w:t xml:space="preserve"> </w:t>
      </w:r>
      <w:r>
        <w:t xml:space="preserve">of</w:t>
      </w:r>
      <w:r>
        <w:t xml:space="preserve"> </w:t>
      </w:r>
      <w:r>
        <w:t xml:space="preserve">“</w:t>
      </w:r>
      <w:r>
        <w:t xml:space="preserve">woody+grass</w:t>
      </w:r>
      <w:r>
        <w:t xml:space="preserve">”</w:t>
      </w:r>
      <w:r>
        <w:t xml:space="preserve">, which in ForC is indicative of anything from a shrub-encroached grassland to a tree-dominated savanna, were given dual classification of Forest Land and Grassland.</w:t>
      </w:r>
      <w:r>
        <w:t xml:space="preserve"> </w:t>
      </w:r>
      <w:r>
        <w:t xml:space="preserve">This dual classification indicates that records may be relevant to either category depending on the definition of forest applied (varies by country).</w:t>
      </w:r>
      <w:r>
        <w:t xml:space="preserve"> </w:t>
      </w:r>
      <w:r>
        <w:t xml:space="preserve">For (rare) cases where</w:t>
      </w:r>
      <w:r>
        <w:t xml:space="preserve"> </w:t>
      </w:r>
      <w:r>
        <w:rPr>
          <w:iCs/>
          <w:i/>
        </w:rPr>
        <w:t xml:space="preserve">dominant.life.form</w:t>
      </w:r>
      <w:r>
        <w:t xml:space="preserve"> </w:t>
      </w:r>
      <w:r>
        <w:t xml:space="preserve">was grass and stand age was greater than zero, indicative of early successional vegetation, we assigned a classification of Forest Land, consistent with the IPCC definition that Forest Land includes land expected to succeed to forest.</w:t>
      </w:r>
      <w:r>
        <w:t xml:space="preserve"> </w:t>
      </w:r>
      <w:r>
        <w:t xml:space="preserve">Cases where</w:t>
      </w:r>
      <w:r>
        <w:t xml:space="preserve"> </w:t>
      </w:r>
      <w:r>
        <w:rPr>
          <w:iCs/>
          <w:i/>
        </w:rPr>
        <w:t xml:space="preserve">dominant.life.form</w:t>
      </w:r>
      <w:r>
        <w:t xml:space="preserve"> </w:t>
      </w:r>
      <w:r>
        <w:t xml:space="preserve">was grass or crop and stand age was zero were indicative of a control for studies of forest regrowth following agricultural abandonment, and were classified as Grassland and Cropland, respectively.</w:t>
      </w:r>
    </w:p>
    <w:p>
      <w:pPr>
        <w:pStyle w:val="BodyText"/>
      </w:pPr>
      <w:r>
        <w:t xml:space="preserve">Classification into sub-categories was dependent upon stand age and site history (section 2.2).</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rPr>
          <w:rStyle w:val="SectionNumber"/>
        </w:rPr>
        <w:t xml:space="preserve">2.2</w:t>
      </w:r>
      <w:r>
        <w:tab/>
      </w:r>
      <w:r>
        <w:t xml:space="preserve">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to ForC v3.0</w:t>
      </w:r>
      <w:r>
        <w:t xml:space="preserve"> </w:t>
      </w:r>
      <w:r>
        <w:t xml:space="preserve">(Anderson-Teixeira</w:t>
      </w:r>
      <w:r>
        <w:t xml:space="preserve"> </w:t>
      </w:r>
      <w:r>
        <w:rPr>
          <w:iCs/>
          <w:i/>
        </w:rPr>
        <w:t xml:space="preserve">et al.</w:t>
      </w:r>
      <w:r>
        <w:t xml:space="preserve">, 2021)</w:t>
      </w:r>
      <w:r>
        <w:t xml:space="preserve">, which are described in detail in Methods S1, we released a new major version: ForC v4.0.</w:t>
      </w:r>
    </w:p>
    <w:bookmarkEnd w:id="33"/>
    <w:bookmarkStart w:id="34" w:name="submission-of-forc-data-to-efdb"/>
    <w:p>
      <w:pPr>
        <w:pStyle w:val="Heading2"/>
      </w:pPr>
      <w:r>
        <w:rPr>
          <w:rStyle w:val="SectionNumber"/>
        </w:rPr>
        <w:t xml:space="preserve">2.3</w:t>
      </w:r>
      <w:r>
        <w:tab/>
      </w:r>
      <w:r>
        <w:t xml:space="preserve">Submission of ForC data to EFDB</w:t>
      </w:r>
    </w:p>
    <w:p>
      <w:pPr>
        <w:pStyle w:val="FirstParagraph"/>
      </w:pPr>
      <w:r>
        <w:t xml:space="preserve">To submit complete, reviewed ForC records into EFDB, we created R scripts to restructure ForC records and populate EFDB’s bulk import form (</w:t>
      </w:r>
      <w:r>
        <w:t xml:space="preserve">“</w:t>
      </w:r>
      <w:r>
        <w:t xml:space="preserve">EFDB bulk import.xlsx</w:t>
      </w:r>
      <w:r>
        <w:t xml:space="preserve">”</w:t>
      </w:r>
      <w:r>
        <w:t xml:space="preserve">).</w:t>
      </w:r>
      <w:r>
        <w:t xml:space="preserve"> </w:t>
      </w:r>
      <w:r>
        <w:t xml:space="preserve">Criteria for data submission were that (1) records had been checked against the original study and determined to be complete and correct, and as originally presented, (2) the original study presented values in tables or text, as opposed to the values having been digitized from graphs or calculated based on related variables, and (3) the records had not previously been submitted to EFDB.</w:t>
      </w:r>
      <w:r>
        <w:t xml:space="preserve"> </w:t>
      </w:r>
      <w:r>
        <w:t xml:space="preserve">Once converted into EFDB format, the records were reviewed and then sent to the IPCC’s Technical Support Unit for submission to EFDB.</w:t>
      </w:r>
      <w:r>
        <w:t xml:space="preserve"> </w:t>
      </w:r>
      <w:r>
        <w:t xml:space="preserve">Complete records needed to be reviewed by the EFDB editorial board and then posted in the database – a process that lags behind submission of records and had not yet been completed for all records sent as of October 26, 2023.</w:t>
      </w:r>
    </w:p>
    <w:bookmarkEnd w:id="34"/>
    <w:bookmarkEnd w:id="35"/>
    <w:bookmarkStart w:id="44" w:name="results"/>
    <w:p>
      <w:pPr>
        <w:pStyle w:val="Heading1"/>
      </w:pPr>
      <w:r>
        <w:rPr>
          <w:rStyle w:val="SectionNumber"/>
        </w:rPr>
        <w:t xml:space="preserve">3</w:t>
      </w:r>
      <w:r>
        <w:tab/>
      </w:r>
      <w:r>
        <w:t xml:space="preserve">Results</w:t>
      </w:r>
    </w:p>
    <w:bookmarkStart w:id="42" w:name="forc-v4.0-contents"/>
    <w:p>
      <w:pPr>
        <w:pStyle w:val="Heading2"/>
      </w:pPr>
      <w:r>
        <w:rPr>
          <w:rStyle w:val="SectionNumber"/>
        </w:rPr>
        <w:t xml:space="preserve">3.1</w:t>
      </w:r>
      <w:r>
        <w:tab/>
      </w:r>
      <w:r>
        <w:t xml:space="preserve">ForC v4.0 contents</w:t>
      </w:r>
    </w:p>
    <w:p>
      <w:pPr>
        <w:pStyle w:val="FirstParagraph"/>
      </w:pPr>
      <w:r>
        <w:t xml:space="preserve">As of October 26, 2023, ForC (v4.0) contained 32686 independent records (39848 total), 19316 of which were for the 42 variables relevant to EFDB (Fig. 1).</w:t>
      </w:r>
      <w:r>
        <w:t xml:space="preserve"> </w:t>
      </w:r>
      <w:r>
        <w:t xml:space="preserve">These records were distributed across all forested continents and ecozones, albeit unevenly (Fig. 2).</w:t>
      </w:r>
      <w:r>
        <w:t xml:space="preserve"> </w:t>
      </w:r>
      <w:r>
        <w:t xml:space="preserve">The largest number of records came from Asia, followed by North America, South America, and Europe, with relatively few records from Africa, Australia, and Oceania (Fig. 3c).</w:t>
      </w:r>
      <w:r>
        <w:t xml:space="preserve"> </w:t>
      </w:r>
      <w:r>
        <w:t xml:space="preserve">Categorized by FAO ecozone, the greatest numbers of records came from subtropical humid forests, temperate mountain systems, and tropical rain forests, each with &gt;2,000 independent records (Fig. 3b).</w:t>
      </w:r>
      <w:r>
        <w:t xml:space="preserve"> </w:t>
      </w:r>
      <w:r>
        <w:t xml:space="preserve">Boreal coniferous forests, temperate continental forests, subtropical mountain systems, and tropical moist deciduous forests had &gt;1,000 independent records each, while other ecozones all had &lt;1,000 records.</w:t>
      </w:r>
      <w:r>
        <w:t xml:space="preserve"> </w:t>
      </w:r>
      <w:r>
        <w:t xml:space="preserve">The most widely represented forest type was needleleaf evergreen, followed by broadleaf deciduous and broadleaf evergreen (Fig. 3a).</w:t>
      </w:r>
      <w:r>
        <w:t xml:space="preserve"> </w:t>
      </w:r>
      <w:r>
        <w:t xml:space="preserve">In terms of stand age, the most represented age class was 20-100 years, followed by &lt;20 years and then &gt;100 years (Fig. 3d).</w:t>
      </w:r>
    </w:p>
    <w:p>
      <w:pPr>
        <w:pStyle w:val="CaptionedFigure"/>
      </w:pPr>
      <w:r>
        <w:drawing>
          <wp:inline>
            <wp:extent cx="5943600" cy="3516729"/>
            <wp:effectExtent b="0" l="0" r="0" t="0"/>
            <wp:docPr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to (circles) and submitted to (triangles) EFDB.</w:t>
      </w:r>
      <w:r>
        <w:t xml:space="preserve"> </w:t>
      </w:r>
      <w:r>
        <w:t xml:space="preserve">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r>
        <w:br w:type="page"/>
      </w:r>
    </w:p>
    <w:p>
      <w:pPr>
        <w:pStyle w:val="CaptionedFigure"/>
      </w:pPr>
      <w:r>
        <w:drawing>
          <wp:inline>
            <wp:extent cx="5943600" cy="6686549"/>
            <wp:effectExtent b="0" l="0" r="0" t="0"/>
            <wp:docPr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title="" id="40" name="Picture"/>
            <a:graphic>
              <a:graphicData uri="http://schemas.openxmlformats.org/drawingml/2006/picture">
                <pic:pic>
                  <pic:nvPicPr>
                    <pic:cNvPr descr="figures_tables/Histogram_n_Relevant_and_Transferred_Records.png" id="41" name="Picture"/>
                    <pic:cNvPicPr>
                      <a:picLocks noChangeArrowheads="1" noChangeAspect="1"/>
                    </pic:cNvPicPr>
                  </pic:nvPicPr>
                  <pic:blipFill>
                    <a:blip r:embed="rId39"/>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rPr>
          <w:bCs/>
          <w:b/>
        </w:rPr>
        <w:t xml:space="preserve">Figure 3. Histograms of number of independent records in ForC relevant to (grey) and submitted to (black) EFDB,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For FAO ecozones (b), codes are as listed in the caption of Figure 2.</w:t>
      </w:r>
    </w:p>
    <w:p>
      <w:pPr>
        <w:pStyle w:val="BodyText"/>
      </w:pPr>
      <w:r>
        <w:t xml:space="preserve">ForC contained records for 29 of the 42 variables (or closely-related variable groups) relevant to EFDB (Table 2, Fig. 1).</w:t>
      </w:r>
      <w:r>
        <w:t xml:space="preserve"> </w:t>
      </w:r>
      <w:r>
        <w:t xml:space="preserve">The records were very unevenly distributed across variables.</w:t>
      </w:r>
      <w:r>
        <w:t xml:space="preserve"> </w:t>
      </w:r>
      <w:r>
        <w:t xml:space="preserve">The variable with most records was aboveground biomass, representing 42% of all independent records relevant to EFDB, and aboveground biomass components (woody biomass or foliage) representing an additional 5%.</w:t>
      </w:r>
      <w:r>
        <w:t xml:space="preserve"> </w:t>
      </w:r>
      <w:r>
        <w:t xml:space="preserve">A total of 27% of relevant records were for root biomass (including fine and coarse root components), while 4% described total biomass.</w:t>
      </w:r>
      <w:r>
        <w:t xml:space="preserve"> </w:t>
      </w:r>
      <w:r>
        <w:t xml:space="preserve">The non-living pools were less represented, with 4% of relevant were for dead wood (including standing and fallen components), 0.4% for litter, 0.3% for total ecosystem C excluding soils, and 2.1% for soil carbon.</w:t>
      </w:r>
    </w:p>
    <w:p>
      <w:pPr>
        <w:pStyle w:val="BodyText"/>
      </w:pPr>
      <w:r>
        <w:t xml:space="preserve">Increment and flux variables were poorly represented (Table 2).</w:t>
      </w:r>
      <w:r>
        <w:t xml:space="preserve"> </w:t>
      </w:r>
      <w:r>
        <w:t xml:space="preserve">The increment variable with most records was the aboveground biomass increment, representing 0.8% of all independent records relevant to EFDB.</w:t>
      </w:r>
      <w:r>
        <w:t xml:space="preserve"> </w:t>
      </w:r>
      <w:r>
        <w:t xml:space="preserve">The only other relevant increment variable with any records was the O horizon (litter) increment, with just 4 records.</w:t>
      </w:r>
      <w:r>
        <w:t xml:space="preserve"> </w:t>
      </w:r>
      <w:r>
        <w:t xml:space="preserve">Relevant flux variable records (n=2751) together constituted 14% of ForC’s independent records relevant to EFDB.</w:t>
      </w:r>
    </w:p>
    <w:p>
      <w:r>
        <w:br w:type="page"/>
      </w:r>
    </w:p>
    <w:p>
      <w:pPr>
        <w:pStyle w:val="BodyText"/>
      </w:pPr>
      <w:r>
        <w:rPr>
          <w:bCs/>
          <w:b/>
        </w:rPr>
        <w:t xml:space="preserve">Table 2. Numbers of records of ForC variables (or closely related variable groups) relevant to, and sent to, EFDB.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440"/>
        <w:gridCol w:w="1440"/>
        <w:gridCol w:w="1440"/>
        <w:gridCol w:w="1440"/>
      </w:tblGrid>
      <w:tr>
        <w:trPr>
          <w:trHeight w:val="559"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in ForC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independent records in ForC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reviewed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submitted to EFDB</w:t>
            </w:r>
          </w:p>
        </w:tc>
      </w:tr>
      <w:tr>
        <w:trPr>
          <w:trHeight w:val="52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50</w:t>
            </w:r>
          </w:p>
        </w:tc>
      </w:tr>
      <w:tr>
        <w:trPr>
          <w:trHeight w:val="52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NPP_woody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764</w:t>
            </w:r>
          </w:p>
        </w:tc>
      </w:tr>
      <w:tr>
        <w:trPr>
          <w:trHeight w:val="55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biomass_ag_foliage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r>
      <w:tr>
        <w:trPr>
          <w:trHeight w:val="55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delta.agb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123</w:t>
            </w:r>
          </w:p>
        </w:tc>
      </w:tr>
      <w:tr>
        <w:trPr>
          <w:trHeight w:val="55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ANPP_woody_stem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61</w:t>
            </w:r>
          </w:p>
        </w:tc>
      </w:tr>
      <w:tr>
        <w:trPr>
          <w:trHeight w:val="55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ANPP_woody_branch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r>
      <w:tr>
        <w:trPr>
          <w:trHeight w:val="55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woody.mortality_ag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50</w:t>
            </w:r>
          </w:p>
        </w:tc>
      </w:tr>
      <w:tr>
        <w:trPr>
          <w:trHeight w:val="55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stem_pC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57</w:t>
            </w:r>
          </w:p>
        </w:tc>
      </w:tr>
      <w:tr>
        <w:trPr>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r>
      <w:tr>
        <w:trPr>
          <w:trHeight w:val="55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w:t>
            </w:r>
          </w:p>
        </w:tc>
      </w:tr>
      <w:tr>
        <w:trPr>
          <w:trHeight w:val="55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BNPP_root.turnover_fine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Dead 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70</w:t>
            </w:r>
          </w:p>
        </w:tc>
      </w:tr>
      <w:tr>
        <w:trPr>
          <w:trHeight w:val="55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deadwood_standing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17</w:t>
            </w:r>
          </w:p>
        </w:tc>
      </w:tr>
      <w:tr>
        <w:trPr>
          <w:trHeight w:val="55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deadwood_down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28</w:t>
            </w:r>
          </w:p>
        </w:tc>
      </w:tr>
      <w:tr>
        <w:trPr>
          <w:trHeight w:val="528"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delta.deadwood_standing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delta.deadwood_down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R_het_deadwood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9"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40</w:t>
            </w:r>
          </w:p>
        </w:tc>
      </w:tr>
      <w:tr>
        <w:trPr>
          <w:trHeight w:val="529"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delta.O.horizon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r>
      <w:tr>
        <w:trPr>
          <w:trHeight w:val="528"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23</w:t>
            </w:r>
          </w:p>
        </w:tc>
      </w:tr>
      <w:tr>
        <w:trPr>
          <w:trHeight w:val="528"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ANPP_litterfall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w:t>
            </w:r>
          </w:p>
        </w:tc>
      </w:tr>
      <w:tr>
        <w:trPr>
          <w:trHeight w:val="55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NPP_litter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R_het_litter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61"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Total Ecosystem C (excl.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9"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total.ecosystem_2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delta.total.ecosystem_2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61"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9"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SOM / SOC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56</w:t>
            </w:r>
          </w:p>
        </w:tc>
      </w:tr>
      <w:tr>
        <w:trPr>
          <w:trHeight w:val="529"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delta.SOM / delta.SOC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9" w:hRule="auto"/>
        </w:trPr>
        body50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TOTAL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23568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19316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2292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1438</w:t>
            </w:r>
          </w:p>
        </w:tc>
      </w:tr>
    </w:tbl>
    <w:bookmarkEnd w:id="42"/>
    <w:bookmarkStart w:id="43" w:name="data-submissions-to-efdb"/>
    <w:p>
      <w:pPr>
        <w:pStyle w:val="Heading2"/>
      </w:pPr>
      <w:r>
        <w:rPr>
          <w:rStyle w:val="SectionNumber"/>
        </w:rPr>
        <w:t xml:space="preserve">3.2</w:t>
      </w:r>
      <w:r>
        <w:tab/>
      </w:r>
      <w:r>
        <w:t xml:space="preserve">Data submissions to EFDB</w:t>
      </w:r>
    </w:p>
    <w:p>
      <w:pPr>
        <w:pStyle w:val="FirstParagraph"/>
      </w:pPr>
      <w:r>
        <w:t xml:space="preserve">As of October 26, 2023</w:t>
      </w:r>
      <w:r>
        <w:t xml:space="preserve">, we had reviewed or added 2292 EFDB-relevant records, 1438 records of which were submitted to EFDB, and 376 of which have been reviewed, accepted, and posted (Figs. 2-3, Table 2).</w:t>
      </w:r>
      <w:r>
        <w:t xml:space="preserve"> </w:t>
      </w:r>
      <w:r>
        <w:t xml:space="preserve">The 37% attenuation between records reviewed and those sent to EFDB was attributable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primarily attributable to the time required for the IPCC to review and post the records, and also because a minority of records were deemed not applicable to EFDB by the review panel.</w:t>
      </w:r>
    </w:p>
    <w:p>
      <w:pPr>
        <w:pStyle w:val="BodyText"/>
      </w:pPr>
      <w:r>
        <w:t xml:space="preserve">The ForC records submitted to EFDB were broadly distributed across Earth’s forests (Fig. 2).</w:t>
      </w:r>
      <w:r>
        <w:t xml:space="preserve"> </w:t>
      </w:r>
      <w:r>
        <w:t xml:space="preserve">However, the density of these records was very unevenly distributed across continents, biomes, and forest types and was not proportional to the numbers of relevant records in ForC (Fig. 3).</w:t>
      </w:r>
      <w:r>
        <w:t xml:space="preserve"> </w:t>
      </w:r>
      <w:r>
        <w:t xml:space="preserve">Rather, the largest number of records came from North America, followed by Asia, South America, and Africa (Fig. 3c), with the most represented FAO ecozones being boreal coniferous forest, temperate continental forest, and temperate mountain systems, followed by tropical rain forests and moist deciduous forests (Fig. 3b).</w:t>
      </w:r>
      <w:r>
        <w:t xml:space="preserve"> </w:t>
      </w:r>
      <w:r>
        <w:t xml:space="preserve">In terms of dominant vegetation, by far the most records came from needleleaf evergreen forests, followed by broadleaf deciduous and broadleaf evergreen (Fig. 3b).</w:t>
      </w:r>
      <w:r>
        <w:t xml:space="preserve"> </w:t>
      </w:r>
      <w:r>
        <w:t xml:space="preserve">The largest records came from mature forests (&gt;100 years), followed by young and intermediate-aged stands (Fig. 3d).</w:t>
      </w:r>
    </w:p>
    <w:p>
      <w:pPr>
        <w:pStyle w:val="BodyText"/>
      </w:pPr>
      <w:r>
        <w:t xml:space="preserve">In terms of variables, records were submitted for 19 variables (or closely-related variable groups), including variables from each C pool (Table 2).</w:t>
      </w:r>
      <w:r>
        <w:t xml:space="preserve"> </w:t>
      </w:r>
      <w:r>
        <w:t xml:space="preserve">The majority (82%) of records sent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sent, virtually all for aboveground biomass (excepting 4 records for delta.O.horizon).</w:t>
      </w:r>
      <w:r>
        <w:t xml:space="preserve"> </w:t>
      </w:r>
      <w:r>
        <w:t xml:space="preserve">The remaining 9% of records sent described fluxes, all of which were either inputs or outputs to the aboveground biomass pool, a subset of which also described inputs to the dead wood or litter pool (Table 2, Fig. 1).</w:t>
      </w:r>
    </w:p>
    <w:bookmarkEnd w:id="43"/>
    <w:bookmarkEnd w:id="44"/>
    <w:bookmarkStart w:id="48" w:name="discussion"/>
    <w:p>
      <w:pPr>
        <w:pStyle w:val="Heading1"/>
      </w:pPr>
      <w:r>
        <w:rPr>
          <w:rStyle w:val="SectionNumber"/>
        </w:rPr>
        <w:t xml:space="preserve">4</w:t>
      </w:r>
      <w:r>
        <w:tab/>
      </w:r>
      <w:r>
        <w:t xml:space="preserve">Discussion</w:t>
      </w:r>
    </w:p>
    <w:p>
      <w:pPr>
        <w:pStyle w:val="FirstParagraph"/>
      </w:pPr>
      <w:r>
        <w:t xml:space="preserve">** RECOMENDATIONS **</w:t>
      </w:r>
    </w:p>
    <w:p>
      <w:pPr>
        <w:pStyle w:val="BodyText"/>
      </w:pPr>
      <w:r>
        <w:t xml:space="preserve">Based on our experience contributing forest C data to EFDB via ForC, we make several recommendations as to how scientists can improve forest C records in EFDB through database work (section 6.1), new data collection and analysis (section 6.2), and reporting (section 6.3).</w:t>
      </w:r>
    </w:p>
    <w:bookmarkStart w:id="45" w:name="database-needs"/>
    <w:p>
      <w:pPr>
        <w:pStyle w:val="Heading2"/>
      </w:pPr>
      <w:r>
        <w:rPr>
          <w:rStyle w:val="SectionNumber"/>
        </w:rPr>
        <w:t xml:space="preserve">4.1</w:t>
      </w:r>
      <w:r>
        <w:tab/>
      </w:r>
      <w:r>
        <w:t xml:space="preserve">Database needs</w:t>
      </w:r>
    </w:p>
    <w:p>
      <w:pPr>
        <w:pStyle w:val="FirstParagraph"/>
      </w:pPr>
      <w:r>
        <w:t xml:space="preserve">There is vast potential to expand forest C data in EFDB by completing the process of reviewing and submitting data that are already in ForC (Figs. 2-3).</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hugely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2-3, Table 2), to records from countries relying on existing data for their greenhouse gas inventories (Tier 1 or 2 methodology), to the variables most needed by EFDB users, and to the more contemporary records.</w:t>
      </w:r>
    </w:p>
    <w:p>
      <w:pPr>
        <w:pStyle w:val="BodyText"/>
      </w:pPr>
      <w:r>
        <w:t xml:space="preserve">In addition to the large potential to expand EFDB using records already in ForC, there are innumerous published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w:t>
      </w:r>
      <w:r>
        <w:t xml:space="preserve"> </w:t>
      </w:r>
      <w:r>
        <w:t xml:space="preserve">Indeed, 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5"/>
    <w:bookmarkStart w:id="46" w:name="data-collection-and-analysis-needs"/>
    <w:p>
      <w:pPr>
        <w:pStyle w:val="Heading2"/>
      </w:pPr>
      <w:r>
        <w:rPr>
          <w:rStyle w:val="SectionNumber"/>
        </w:rPr>
        <w:t xml:space="preserve">4.2</w:t>
      </w:r>
      <w:r>
        <w:tab/>
      </w:r>
      <w:r>
        <w:t xml:space="preserve">Data collection and analysis needs</w:t>
      </w:r>
    </w:p>
    <w:p>
      <w:pPr>
        <w:pStyle w:val="FirstParagraph"/>
      </w:pPr>
      <w:r>
        <w:t xml:space="preserve">New data collection and analysis is needed to fill notable knowledge gaps.</w:t>
      </w:r>
      <w:r>
        <w:t xml:space="preserve"> </w:t>
      </w:r>
      <w:r>
        <w:t xml:space="preserve">While aboveground biomass stocks in particular have received – and continue to receive – by far the most research attention</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 Table 2,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very poorly quantified</w:t>
      </w:r>
      <w:r>
        <w:t xml:space="preserve"> </w:t>
      </w:r>
      <w:r>
        <w:t xml:space="preserve">(Table 2,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uneven across forest types and geographical regions (Figs. 2-3).</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w:t>
      </w:r>
      <w:r>
        <w:rPr>
          <w:iCs/>
          <w:i/>
        </w:rPr>
        <w:t xml:space="preserve">woody.mortality_ag</w:t>
      </w:r>
      <w:r>
        <w:t xml:space="preserve">) and aboveground biomass increment (</w:t>
      </w:r>
      <w:r>
        <w:rPr>
          <w:iCs/>
          <w:i/>
        </w:rPr>
        <w:t xml:space="preserve">delta.agb</w:t>
      </w:r>
      <w:r>
        <w:t xml:space="preserve">) can be calculated from the same census data as aboveground woody productivity (</w:t>
      </w:r>
      <w:r>
        <w:rPr>
          <w:iCs/>
          <w:i/>
        </w:rPr>
        <w:t xml:space="preserve">ANPP_woody</w:t>
      </w:r>
      <w:r>
        <w:t xml:space="preserve">), yet the latter has received far more research attention, and correspondingly has far more records in ForC</w:t>
      </w:r>
      <w:r>
        <w:t xml:space="preserve"> </w:t>
      </w:r>
      <w:r>
        <w:t xml:space="preserve">(Table 2, Anderson-Teixeira</w:t>
      </w:r>
      <w:r>
        <w:t xml:space="preserve"> </w:t>
      </w:r>
      <w:r>
        <w:rPr>
          <w:iCs/>
          <w:i/>
        </w:rPr>
        <w:t xml:space="preserve">et al.</w:t>
      </w:r>
      <w:r>
        <w:t xml:space="preserve">, 2021; but see Piponiot</w:t>
      </w:r>
      <w:r>
        <w:t xml:space="preserve"> </w:t>
      </w:r>
      <w:r>
        <w:rPr>
          <w:iCs/>
          <w:i/>
        </w:rPr>
        <w:t xml:space="preserve">et al.</w:t>
      </w:r>
      <w:r>
        <w:t xml:space="preserve">, 2022)</w:t>
      </w:r>
      <w:r>
        <w:t xml:space="preserve">.</w:t>
      </w:r>
      <w:r>
        <w:t xml:space="preserve"> </w:t>
      </w:r>
      <w:r>
        <w:t xml:space="preserve">Similarly, live coarse root biomass, total biomass, and changes in both of these pools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In addition, standing dead trees are captured in most forest censuses and could be used to estimate standing dead wood, although additional data on breakage would be needed for accurate estimates.</w:t>
      </w:r>
      <w:r>
        <w:t xml:space="preserve"> </w:t>
      </w:r>
      <w:r>
        <w:t xml:space="preserve">We recommend that, when possible, researchers calculate and report these variables, following the reporting guidelines specified in section 6.3.</w:t>
      </w:r>
    </w:p>
    <w:p>
      <w:pPr>
        <w:pStyle w:val="BodyText"/>
      </w:pPr>
      <w:r>
        <w:t xml:space="preserve">Filling knowledge gaps in other EFDB-relevant variables will require more effort, but this effort is warranted given their importance for estimating forest C stock chnages.</w:t>
      </w:r>
      <w:r>
        <w:t xml:space="preserve"> </w:t>
      </w:r>
      <w:r>
        <w:t xml:space="preserve">Although aboveground biomass is the most studied variable considered here (Table 2) and is the target of satellite missions</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w:t>
      </w:r>
      <w:r>
        <w:t xml:space="preserve">, significant ground-based research effort is required to create accurate global maps of forest biomass and changes therein</w:t>
      </w:r>
      <w:r>
        <w:t xml:space="preserve"> </w:t>
      </w:r>
      <w:r>
        <w:t xml:space="preserve">(Duncanson</w:t>
      </w:r>
      <w:r>
        <w:t xml:space="preserve"> </w:t>
      </w:r>
      <w:r>
        <w:rPr>
          <w:iCs/>
          <w:i/>
        </w:rPr>
        <w:t xml:space="preserve">et al.</w:t>
      </w:r>
      <w:r>
        <w:t xml:space="preserve">, 2019; Calders</w:t>
      </w:r>
      <w:r>
        <w:t xml:space="preserve"> </w:t>
      </w:r>
      <w:r>
        <w:rPr>
          <w:iCs/>
          <w:i/>
        </w:rPr>
        <w:t xml:space="preserve">et al.</w:t>
      </w:r>
      <w:r>
        <w:t xml:space="preserve">, 2022; Labrière</w:t>
      </w:r>
      <w:r>
        <w:t xml:space="preserve"> </w:t>
      </w:r>
      <w:r>
        <w:rPr>
          <w:iCs/>
          <w:i/>
        </w:rPr>
        <w:t xml:space="preserve">et al.</w:t>
      </w:r>
      <w:r>
        <w:t xml:space="preserve">, 2023)</w:t>
      </w:r>
      <w:r>
        <w:t xml:space="preserve">.</w:t>
      </w:r>
      <w:r>
        <w:t xml:space="preserve"> </w:t>
      </w:r>
      <w:r>
        <w:t xml:space="preserve">Given observations of increasing tree mortality in some forested regions</w:t>
      </w:r>
      <w:r>
        <w:t xml:space="preserve"> </w:t>
      </w:r>
      <w:r>
        <w:t xml:space="preserve">(McDowell</w:t>
      </w:r>
      <w:r>
        <w:t xml:space="preserve"> </w:t>
      </w:r>
      <w:r>
        <w:rPr>
          <w:iCs/>
          <w:i/>
        </w:rPr>
        <w:t xml:space="preserve">et al.</w:t>
      </w:r>
      <w:r>
        <w:t xml:space="preserve">, 2020)</w:t>
      </w:r>
      <w:r>
        <w:t xml:space="preserve">, better characterization of forest dead wood will be critical.</w:t>
      </w:r>
      <w:r>
        <w:t xml:space="preserve"> </w:t>
      </w:r>
      <w:r>
        <w:t xml:space="preserve">Additionally, C stocks in forest organic horizons and soils can be quite substantial and highly uncertain in many parts of the world</w:t>
      </w:r>
      <w:r>
        <w:t xml:space="preserve"> </w:t>
      </w:r>
      <w:r>
        <w:t xml:space="preserve">(Tifafi</w:t>
      </w:r>
      <w:r>
        <w:t xml:space="preserve"> </w:t>
      </w:r>
      <w:r>
        <w:rPr>
          <w:iCs/>
          <w:i/>
        </w:rPr>
        <w:t xml:space="preserve">et al.</w:t>
      </w:r>
      <w:r>
        <w:t xml:space="preserve">, 2018)</w:t>
      </w:r>
      <w:r>
        <w:t xml:space="preserve">.</w:t>
      </w:r>
      <w:r>
        <w:t xml:space="preserve"> </w:t>
      </w:r>
      <w:r>
        <w:t xml:space="preserve">Significant investment in ground-based forest research will be critical to filling these gaps.</w:t>
      </w:r>
    </w:p>
    <w:bookmarkEnd w:id="46"/>
    <w:bookmarkStart w:id="47" w:name="data-reporting-needs"/>
    <w:p>
      <w:pPr>
        <w:pStyle w:val="Heading2"/>
      </w:pPr>
      <w:r>
        <w:rPr>
          <w:rStyle w:val="SectionNumber"/>
        </w:rPr>
        <w:t xml:space="preserve">4.3</w:t>
      </w:r>
      <w:r>
        <w:tab/>
      </w:r>
      <w:r>
        <w:t xml:space="preserve">Data reporting needs</w:t>
      </w:r>
    </w:p>
    <w:p>
      <w:pPr>
        <w:pStyle w:val="FirstParagraph"/>
      </w:pPr>
      <w:r>
        <w:t xml:space="preserve">We recommend that, in order to make research valuable to estimate C stock changes according to methods provided in the IPCC guidelines, researchers calculate and report results according to IPCC good practice (Table 3).</w:t>
      </w:r>
      <w:r>
        <w:t xml:space="preserve"> </w:t>
      </w:r>
      <w:r>
        <w:t xml:space="preserve">It is particularly noteworthy that simple decisions on the presentation of results will determine whether the records meet the criteria for inclusion in EFDB.</w:t>
      </w:r>
      <w:r>
        <w:t xml:space="preserve"> </w:t>
      </w:r>
      <w:r>
        <w:t xml:space="preserve">Some examples are as follows:</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w:t>
      </w:r>
      <w:r>
        <w:rPr>
          <w:bCs/>
          <w:b/>
        </w:rPr>
        <w:t xml:space="preserve">stall_make_2019?</w:t>
      </w:r>
      <w:r>
        <w:t xml:space="preserve">)</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3.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welcome other researchers to use the ForC template.</w:t>
      </w:r>
    </w:p>
    <w:p>
      <w:pPr>
        <w:pStyle w:val="BodyText"/>
      </w:pPr>
      <w:r>
        <w:t xml:space="preserve">Once EFDB-relevant data are available in peer-reviewed publications, they may be submitted directly to EFDB or may use the ForC - EFDB data pipeline developed here.</w:t>
      </w:r>
      <w:r>
        <w:t xml:space="preserve"> </w:t>
      </w:r>
      <w:r>
        <w:t xml:space="preserve">For individual publications, the former option will generally be more efficient.</w:t>
      </w:r>
      <w:r>
        <w:t xml:space="preserve"> </w:t>
      </w:r>
      <w:r>
        <w:t xml:space="preserve">However, data incorporated into ForC as well as EFDB will be more broadly useful; for example, these data may be used for basic science</w:t>
      </w:r>
      <w:r>
        <w:t xml:space="preserve"> </w:t>
      </w:r>
      <w:r>
        <w:t xml:space="preserve">(e.g., Banbury Morgan</w:t>
      </w:r>
      <w:r>
        <w:t xml:space="preserve"> </w:t>
      </w:r>
      <w:r>
        <w:rPr>
          <w:iCs/>
          <w:i/>
        </w:rPr>
        <w:t xml:space="preserve">et al.</w:t>
      </w:r>
      <w:r>
        <w:t xml:space="preserve">, 2021; Anderson-Teixeira</w:t>
      </w:r>
      <w:r>
        <w:t xml:space="preserve"> </w:t>
      </w:r>
      <w:r>
        <w:rPr>
          <w:iCs/>
          <w:i/>
        </w:rPr>
        <w:t xml:space="preserve">et al.</w:t>
      </w:r>
      <w:r>
        <w:t xml:space="preserve">, 2021)</w:t>
      </w:r>
      <w:r>
        <w:t xml:space="preserve">, analyses of forest-based climate change mitigation potential</w:t>
      </w:r>
      <w:r>
        <w:t xml:space="preserve"> </w:t>
      </w:r>
      <w:r>
        <w:t xml:space="preserve">(Goldstein</w:t>
      </w:r>
      <w:r>
        <w:t xml:space="preserve"> </w:t>
      </w:r>
      <w:r>
        <w:rPr>
          <w:iCs/>
          <w:i/>
        </w:rPr>
        <w:t xml:space="preserve">et al.</w:t>
      </w:r>
      <w:r>
        <w:t xml:space="preserve">, 2020; e.g., Cook-Patton</w:t>
      </w:r>
      <w:r>
        <w:t xml:space="preserve"> </w:t>
      </w:r>
      <w:r>
        <w:rPr>
          <w:iCs/>
          <w:i/>
        </w:rPr>
        <w:t xml:space="preserve">et al.</w:t>
      </w:r>
      <w:r>
        <w:t xml:space="preserve">, 2020)</w:t>
      </w:r>
      <w:r>
        <w:t xml:space="preserve">, and model benchmarking</w:t>
      </w:r>
      <w:r>
        <w:t xml:space="preserve"> </w:t>
      </w:r>
      <w:r>
        <w:t xml:space="preserve">(Fer</w:t>
      </w:r>
      <w:r>
        <w:t xml:space="preserve"> </w:t>
      </w:r>
      <w:r>
        <w:rPr>
          <w:iCs/>
          <w:i/>
        </w:rPr>
        <w:t xml:space="preserve">et al.</w:t>
      </w:r>
      <w:r>
        <w:t xml:space="preserve">, 2021)</w:t>
      </w:r>
      <w:r>
        <w:t xml:space="preserve">.</w:t>
      </w:r>
    </w:p>
    <w:bookmarkEnd w:id="47"/>
    <w:bookmarkEnd w:id="48"/>
    <w:bookmarkStart w:id="49" w:name="conclusions"/>
    <w:p>
      <w:pPr>
        <w:pStyle w:val="Heading1"/>
      </w:pPr>
      <w:r>
        <w:rPr>
          <w:rStyle w:val="SectionNumber"/>
        </w:rPr>
        <w:t xml:space="preserve">5</w:t>
      </w:r>
      <w:r>
        <w:tab/>
      </w:r>
      <w:r>
        <w:t xml:space="preserve">Conclusions</w:t>
      </w:r>
    </w:p>
    <w:p>
      <w:pPr>
        <w:pStyle w:val="FirstParagraph"/>
      </w:pPr>
      <w:r>
        <w:t xml:space="preserve">The ForC database contains large numbers of records that could potentially be useful for estimating C stock changes applying methodological guidance provided by the IPCC.</w:t>
      </w:r>
      <w:r>
        <w:t xml:space="preserve"> </w:t>
      </w:r>
      <w:r>
        <w:t xml:space="preserve">Here we have developed a framework for submitting these records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October 26, 2023, we have submitted 1438 records to EFDB.</w:t>
      </w:r>
      <w:r>
        <w:t xml:space="preserve"> </w:t>
      </w:r>
      <w:r>
        <w:t xml:space="preserve">Although this represents just 7% of relevant records in ForC, it substantially increases the number of forest land records in EFDB.</w:t>
      </w:r>
      <w:r>
        <w:t xml:space="preserve"> </w:t>
      </w:r>
      <w:r>
        <w:t xml:space="preserve">The records submitted to EFDB and present in ForC are very unevenly distributed across variables, regions, and forest types (Figs. 2-3, Table 2), reflecting broader patterns in allocation of research effort.</w:t>
      </w:r>
    </w:p>
    <w:p>
      <w:pPr>
        <w:pStyle w:val="BodyText"/>
      </w:pPr>
      <w:r>
        <w:t xml:space="preserve">Going forward, forest researchers can make their research more useful for forest C inventories under IPCC guidelines by calculating and reporting results in ways that are consistent with methodologies provided in the IPCC guidelines (Tables 1, 3).</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teh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no longer be relevant.</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49"/>
    <w:bookmarkStart w:id="50" w:name="acknowledgements"/>
    <w:p>
      <w:pPr>
        <w:pStyle w:val="Heading1"/>
      </w:pPr>
      <w:r>
        <w:rPr>
          <w:rStyle w:val="SectionNumber"/>
        </w:rPr>
        <w:t xml:space="preserve">6</w:t>
      </w:r>
      <w:r>
        <w:tab/>
      </w: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50"/>
    <w:bookmarkStart w:id="51" w:name="author-contribution"/>
    <w:p>
      <w:pPr>
        <w:pStyle w:val="Heading1"/>
      </w:pPr>
      <w:r>
        <w:rPr>
          <w:rStyle w:val="SectionNumber"/>
        </w:rPr>
        <w:t xml:space="preserve">7</w:t>
      </w:r>
      <w:r>
        <w:tab/>
      </w: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1"/>
    <w:bookmarkStart w:id="53" w:name="data-availability-statement"/>
    <w:p>
      <w:pPr>
        <w:pStyle w:val="Heading1"/>
      </w:pPr>
      <w:r>
        <w:rPr>
          <w:rStyle w:val="SectionNumber"/>
        </w:rPr>
        <w:t xml:space="preserve">8</w:t>
      </w:r>
      <w:r>
        <w:tab/>
      </w: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2">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3"/>
    <w:bookmarkStart w:id="150" w:name="references"/>
    <w:p>
      <w:pPr>
        <w:pStyle w:val="Heading1"/>
      </w:pPr>
      <w:r>
        <w:t xml:space="preserve">References</w:t>
      </w:r>
    </w:p>
    <w:bookmarkStart w:id="149" w:name="refs"/>
    <w:bookmarkStart w:id="55"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4">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5"/>
    <w:bookmarkStart w:id="57"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6">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57"/>
    <w:bookmarkStart w:id="59"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58">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59"/>
    <w:bookmarkStart w:id="61"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0">
        <w:r>
          <w:rPr>
            <w:rStyle w:val="Hyperlink"/>
          </w:rPr>
          <w:t xml:space="preserve">ForC</w:t>
        </w:r>
        <w:r>
          <w:rPr>
            <w:rStyle w:val="Hyperlink"/>
          </w:rPr>
          <w:t xml:space="preserve"> </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1"/>
    <w:bookmarkStart w:id="63"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2">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3"/>
    <w:bookmarkStart w:id="65"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4">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5"/>
    <w:bookmarkStart w:id="67"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6">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67"/>
    <w:bookmarkStart w:id="69" w:name="ref-banburymorgan_global_2021"/>
    <w:p>
      <w:pPr>
        <w:pStyle w:val="Bibliography"/>
      </w:pPr>
      <w:r>
        <w:rPr>
          <w:bCs/>
          <w:b/>
          <w:bCs/>
          <w:b/>
        </w:rPr>
        <w:t xml:space="preserve">Banbury Morgan R</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Anderson-Teixeira KJ</w:t>
      </w:r>
      <w:r>
        <w:t xml:space="preserve">.</w:t>
      </w:r>
      <w:r>
        <w:t xml:space="preserve"> </w:t>
      </w:r>
      <w:r>
        <w:rPr>
          <w:bCs/>
          <w:b/>
        </w:rPr>
        <w:t xml:space="preserve">2021</w:t>
      </w:r>
      <w:r>
        <w:t xml:space="preserve">.</w:t>
      </w:r>
      <w:r>
        <w:t xml:space="preserve"> </w:t>
      </w:r>
      <w:hyperlink r:id="rId68">
        <w:r>
          <w:rPr>
            <w:rStyle w:val="Hyperlink"/>
          </w:rPr>
          <w:t xml:space="preserve">Global patterns of forest autotrophic carbon fluxes</w:t>
        </w:r>
      </w:hyperlink>
      <w:r>
        <w:t xml:space="preserve">.</w:t>
      </w:r>
      <w:r>
        <w:t xml:space="preserve"> </w:t>
      </w:r>
      <w:r>
        <w:rPr>
          <w:iCs/>
          <w:i/>
        </w:rPr>
        <w:t xml:space="preserve">Global Change Biology</w:t>
      </w:r>
      <w:r>
        <w:t xml:space="preserve"> </w:t>
      </w:r>
      <w:r>
        <w:rPr>
          <w:bCs/>
          <w:b/>
        </w:rPr>
        <w:t xml:space="preserve">27</w:t>
      </w:r>
      <w:r>
        <w:t xml:space="preserve">: 2840–2855.</w:t>
      </w:r>
    </w:p>
    <w:bookmarkEnd w:id="69"/>
    <w:bookmarkStart w:id="71"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0">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1"/>
    <w:bookmarkStart w:id="73"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2">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3"/>
    <w:bookmarkStart w:id="75"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4">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75"/>
    <w:bookmarkStart w:id="77" w:name="ref-calders_laser_2022"/>
    <w:p>
      <w:pPr>
        <w:pStyle w:val="Bibliography"/>
      </w:pPr>
      <w:r>
        <w:rPr>
          <w:bCs/>
          <w:b/>
          <w:bCs/>
          <w:b/>
        </w:rPr>
        <w:t xml:space="preserve">Calders K</w:t>
      </w:r>
      <w:r>
        <w:rPr>
          <w:bCs/>
          <w:b/>
        </w:rPr>
        <w:t xml:space="preserve">,</w:t>
      </w:r>
      <w:r>
        <w:rPr>
          <w:bCs/>
          <w:b/>
        </w:rPr>
        <w:t xml:space="preserve"> </w:t>
      </w:r>
      <w:r>
        <w:rPr>
          <w:bCs/>
          <w:b/>
          <w:bCs/>
          <w:b/>
        </w:rPr>
        <w:t xml:space="preserve">Verbeeck H</w:t>
      </w:r>
      <w:r>
        <w:rPr>
          <w:bCs/>
          <w:b/>
        </w:rPr>
        <w:t xml:space="preserve">,</w:t>
      </w:r>
      <w:r>
        <w:rPr>
          <w:bCs/>
          <w:b/>
        </w:rPr>
        <w:t xml:space="preserve"> </w:t>
      </w:r>
      <w:r>
        <w:rPr>
          <w:bCs/>
          <w:b/>
          <w:bCs/>
          <w:b/>
        </w:rPr>
        <w:t xml:space="preserve">Burt A</w:t>
      </w:r>
      <w:r>
        <w:rPr>
          <w:bCs/>
          <w:b/>
        </w:rPr>
        <w:t xml:space="preserve">,</w:t>
      </w:r>
      <w:r>
        <w:rPr>
          <w:bCs/>
          <w:b/>
        </w:rPr>
        <w:t xml:space="preserve"> </w:t>
      </w:r>
      <w:r>
        <w:rPr>
          <w:bCs/>
          <w:b/>
          <w:bCs/>
          <w:b/>
        </w:rPr>
        <w:t xml:space="preserve">Origo N</w:t>
      </w:r>
      <w:r>
        <w:rPr>
          <w:bCs/>
          <w:b/>
        </w:rPr>
        <w:t xml:space="preserve">,</w:t>
      </w:r>
      <w:r>
        <w:rPr>
          <w:bCs/>
          <w:b/>
        </w:rPr>
        <w:t xml:space="preserve"> </w:t>
      </w:r>
      <w:r>
        <w:rPr>
          <w:bCs/>
          <w:b/>
          <w:bCs/>
          <w:b/>
        </w:rPr>
        <w:t xml:space="preserve">Nightingale J</w:t>
      </w:r>
      <w:r>
        <w:rPr>
          <w:bCs/>
          <w:b/>
        </w:rPr>
        <w:t xml:space="preserve">,</w:t>
      </w:r>
      <w:r>
        <w:rPr>
          <w:bCs/>
          <w:b/>
        </w:rPr>
        <w:t xml:space="preserve"> </w:t>
      </w:r>
      <w:r>
        <w:rPr>
          <w:bCs/>
          <w:b/>
          <w:bCs/>
          <w:b/>
        </w:rPr>
        <w:t xml:space="preserve">Malhi Y</w:t>
      </w:r>
      <w:r>
        <w:rPr>
          <w:bCs/>
          <w:b/>
        </w:rPr>
        <w:t xml:space="preserve">,</w:t>
      </w:r>
      <w:r>
        <w:rPr>
          <w:bCs/>
          <w:b/>
        </w:rPr>
        <w:t xml:space="preserve"> </w:t>
      </w:r>
      <w:r>
        <w:rPr>
          <w:bCs/>
          <w:b/>
          <w:bCs/>
          <w:b/>
        </w:rPr>
        <w:t xml:space="preserve">Wilkes P</w:t>
      </w:r>
      <w:r>
        <w:rPr>
          <w:bCs/>
          <w:b/>
        </w:rPr>
        <w:t xml:space="preserve">,</w:t>
      </w:r>
      <w:r>
        <w:rPr>
          <w:bCs/>
          <w:b/>
        </w:rPr>
        <w:t xml:space="preserve"> </w:t>
      </w:r>
      <w:r>
        <w:rPr>
          <w:bCs/>
          <w:b/>
          <w:bCs/>
          <w:b/>
        </w:rPr>
        <w:t xml:space="preserve">Raumonen P</w:t>
      </w:r>
      <w:r>
        <w:rPr>
          <w:bCs/>
          <w:b/>
        </w:rPr>
        <w:t xml:space="preserve">,</w:t>
      </w:r>
      <w:r>
        <w:rPr>
          <w:bCs/>
          <w:b/>
        </w:rPr>
        <w:t xml:space="preserve"> </w:t>
      </w:r>
      <w:r>
        <w:rPr>
          <w:bCs/>
          <w:b/>
          <w:bCs/>
          <w:b/>
        </w:rPr>
        <w:t xml:space="preserve">Bunce RGH</w:t>
      </w:r>
      <w:r>
        <w:rPr>
          <w:bCs/>
          <w:b/>
        </w:rPr>
        <w:t xml:space="preserve">,</w:t>
      </w:r>
      <w:r>
        <w:rPr>
          <w:bCs/>
          <w:b/>
        </w:rPr>
        <w:t xml:space="preserve"> </w:t>
      </w:r>
      <w:r>
        <w:rPr>
          <w:bCs/>
          <w:b/>
          <w:bCs/>
          <w:b/>
        </w:rPr>
        <w:t xml:space="preserve">Disney M</w:t>
      </w:r>
      <w:r>
        <w:t xml:space="preserve">.</w:t>
      </w:r>
      <w:r>
        <w:t xml:space="preserve"> </w:t>
      </w:r>
      <w:r>
        <w:rPr>
          <w:bCs/>
          <w:b/>
        </w:rPr>
        <w:t xml:space="preserve">2022</w:t>
      </w:r>
      <w:r>
        <w:t xml:space="preserve">.</w:t>
      </w:r>
      <w:r>
        <w:t xml:space="preserve"> </w:t>
      </w:r>
      <w:hyperlink r:id="rId76">
        <w:r>
          <w:rPr>
            <w:rStyle w:val="Hyperlink"/>
          </w:rPr>
          <w:t xml:space="preserve">Laser scanning reveals potential underestimation of biomass carbon in temperate forest</w:t>
        </w:r>
      </w:hyperlink>
      <w:r>
        <w:t xml:space="preserve">.</w:t>
      </w:r>
      <w:r>
        <w:t xml:space="preserve"> </w:t>
      </w:r>
      <w:r>
        <w:rPr>
          <w:iCs/>
          <w:i/>
        </w:rPr>
        <w:t xml:space="preserve">Ecological Solutions and Evidence</w:t>
      </w:r>
      <w:r>
        <w:t xml:space="preserve"> </w:t>
      </w:r>
      <w:r>
        <w:rPr>
          <w:bCs/>
          <w:b/>
        </w:rPr>
        <w:t xml:space="preserve">3</w:t>
      </w:r>
      <w:r>
        <w:t xml:space="preserve">: e12197.</w:t>
      </w:r>
    </w:p>
    <w:bookmarkEnd w:id="77"/>
    <w:bookmarkStart w:id="79"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78">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79"/>
    <w:bookmarkStart w:id="81"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0">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1"/>
    <w:bookmarkStart w:id="83"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2">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3"/>
    <w:bookmarkStart w:id="85"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4">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5"/>
    <w:bookmarkStart w:id="87"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6">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87"/>
    <w:bookmarkStart w:id="89"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8">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89"/>
    <w:bookmarkStart w:id="91"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0">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1"/>
    <w:bookmarkStart w:id="93" w:name="ref-duncanson_importance_2019"/>
    <w:p>
      <w:pPr>
        <w:pStyle w:val="Bibliography"/>
      </w:pPr>
      <w:r>
        <w:rPr>
          <w:bCs/>
          <w:b/>
          <w:bCs/>
          <w:b/>
        </w:rPr>
        <w:t xml:space="preserve">Duncanson L</w:t>
      </w:r>
      <w:r>
        <w:rPr>
          <w:bCs/>
          <w:b/>
        </w:rPr>
        <w:t xml:space="preserve">,</w:t>
      </w:r>
      <w:r>
        <w:rPr>
          <w:bCs/>
          <w:b/>
        </w:rPr>
        <w:t xml:space="preserve"> </w:t>
      </w:r>
      <w:r>
        <w:rPr>
          <w:bCs/>
          <w:b/>
          <w:bCs/>
          <w:b/>
        </w:rPr>
        <w:t xml:space="preserve">Armston J</w:t>
      </w:r>
      <w:r>
        <w:rPr>
          <w:bCs/>
          <w:b/>
        </w:rPr>
        <w:t xml:space="preserve">,</w:t>
      </w:r>
      <w:r>
        <w:rPr>
          <w:bCs/>
          <w:b/>
        </w:rPr>
        <w:t xml:space="preserve"> </w:t>
      </w:r>
      <w:r>
        <w:rPr>
          <w:bCs/>
          <w:b/>
          <w:bCs/>
          <w:b/>
        </w:rPr>
        <w:t xml:space="preserve">Disney M</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Barbier N</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Crowther TW</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92">
        <w:r>
          <w:rPr>
            <w:rStyle w:val="Hyperlink"/>
          </w:rPr>
          <w:t xml:space="preserve">The</w:t>
        </w:r>
        <w:r>
          <w:rPr>
            <w:rStyle w:val="Hyperlink"/>
          </w:rPr>
          <w:t xml:space="preserve"> </w:t>
        </w:r>
        <w:r>
          <w:rPr>
            <w:rStyle w:val="Hyperlink"/>
          </w:rPr>
          <w:t xml:space="preserve">Importance</w:t>
        </w:r>
        <w:r>
          <w:rPr>
            <w:rStyle w:val="Hyperlink"/>
          </w:rPr>
          <w:t xml:space="preserve"> </w:t>
        </w:r>
        <w:r>
          <w:rPr>
            <w:rStyle w:val="Hyperlink"/>
          </w:rPr>
          <w:t xml:space="preserve">of</w:t>
        </w:r>
        <w:r>
          <w:rPr>
            <w:rStyle w:val="Hyperlink"/>
          </w:rPr>
          <w:t xml:space="preserve"> </w:t>
        </w:r>
        <w:r>
          <w:rPr>
            <w:rStyle w:val="Hyperlink"/>
          </w:rPr>
          <w:t xml:space="preserve">Consistent Global Forest Aboveground Biomass Product Validation</w:t>
        </w:r>
      </w:hyperlink>
      <w:r>
        <w:t xml:space="preserve">.</w:t>
      </w:r>
      <w:r>
        <w:t xml:space="preserve"> </w:t>
      </w:r>
      <w:r>
        <w:rPr>
          <w:iCs/>
          <w:i/>
        </w:rPr>
        <w:t xml:space="preserve">Surveys in Geophysics</w:t>
      </w:r>
      <w:r>
        <w:t xml:space="preserve"> </w:t>
      </w:r>
      <w:r>
        <w:rPr>
          <w:bCs/>
          <w:b/>
        </w:rPr>
        <w:t xml:space="preserve">40</w:t>
      </w:r>
      <w:r>
        <w:t xml:space="preserve">: 979–999.</w:t>
      </w:r>
    </w:p>
    <w:bookmarkEnd w:id="93"/>
    <w:bookmarkStart w:id="94" w:name="ref-fao_global_2012"/>
    <w:p>
      <w:pPr>
        <w:pStyle w:val="Bibliography"/>
      </w:pPr>
      <w:r>
        <w:rPr>
          <w:bCs/>
          <w:b/>
          <w:bCs/>
          <w:b/>
        </w:rPr>
        <w:t xml:space="preserve">FAO</w:t>
      </w:r>
      <w:r>
        <w:t xml:space="preserve">.</w:t>
      </w:r>
      <w:r>
        <w:t xml:space="preserve"> </w:t>
      </w:r>
      <w:r>
        <w:rPr>
          <w:bCs/>
          <w:b/>
        </w:rPr>
        <w:t xml:space="preserve">2012</w:t>
      </w:r>
      <w:r>
        <w:t xml:space="preserve">.</w:t>
      </w:r>
      <w:r>
        <w:t xml:space="preserve"> </w:t>
      </w:r>
      <w:r>
        <w:rPr>
          <w:iCs/>
          <w:i/>
        </w:rPr>
        <w:t xml:space="preserve">Global</w:t>
      </w:r>
      <w:r>
        <w:rPr>
          <w:iCs/>
          <w:i/>
        </w:rPr>
        <w:t xml:space="preserve"> </w:t>
      </w:r>
      <w:r>
        <w:rPr>
          <w:iCs/>
          <w:i/>
        </w:rPr>
        <w:t xml:space="preserve">Ecological Zones</w:t>
      </w:r>
      <w:r>
        <w:rPr>
          <w:iCs/>
          <w:i/>
        </w:rPr>
        <w:t xml:space="preserve"> </w:t>
      </w:r>
      <w:r>
        <w:rPr>
          <w:iCs/>
          <w:i/>
        </w:rPr>
        <w:t xml:space="preserve">for</w:t>
      </w:r>
      <w:r>
        <w:rPr>
          <w:iCs/>
          <w:i/>
        </w:rPr>
        <w:t xml:space="preserve"> </w:t>
      </w:r>
      <w:r>
        <w:rPr>
          <w:iCs/>
          <w:i/>
        </w:rPr>
        <w:t xml:space="preserve">FAO Forest Reporting</w:t>
      </w:r>
      <w:r>
        <w:rPr>
          <w:iCs/>
          <w:i/>
        </w:rPr>
        <w:t xml:space="preserve">: 2010 update</w:t>
      </w:r>
      <w:r>
        <w:t xml:space="preserve">.</w:t>
      </w:r>
      <w:r>
        <w:t xml:space="preserve"> </w:t>
      </w:r>
      <w:r>
        <w:t xml:space="preserve">Rome</w:t>
      </w:r>
      <w:r>
        <w:t xml:space="preserve">:</w:t>
      </w:r>
      <w:r>
        <w:t xml:space="preserve"> </w:t>
      </w:r>
      <w:r>
        <w:t xml:space="preserve">FOOD AND AGRICULTURE ORGANIZATION OF THE UNITED NATIONS</w:t>
      </w:r>
      <w:r>
        <w:t xml:space="preserve">.</w:t>
      </w:r>
    </w:p>
    <w:bookmarkEnd w:id="94"/>
    <w:bookmarkStart w:id="96"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5">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96"/>
    <w:bookmarkStart w:id="98" w:name="ref-fer_ecosystem_2021"/>
    <w:p>
      <w:pPr>
        <w:pStyle w:val="Bibliography"/>
      </w:pPr>
      <w:r>
        <w:rPr>
          <w:bCs/>
          <w:b/>
          <w:bCs/>
          <w:b/>
        </w:rPr>
        <w:t xml:space="preserve">Fer I</w:t>
      </w:r>
      <w:r>
        <w:rPr>
          <w:bCs/>
          <w:b/>
        </w:rPr>
        <w:t xml:space="preserve">,</w:t>
      </w:r>
      <w:r>
        <w:rPr>
          <w:bCs/>
          <w:b/>
        </w:rPr>
        <w:t xml:space="preserve"> </w:t>
      </w:r>
      <w:r>
        <w:rPr>
          <w:bCs/>
          <w:b/>
          <w:bCs/>
          <w:b/>
        </w:rPr>
        <w:t xml:space="preserve">Gardella AK</w:t>
      </w:r>
      <w:r>
        <w:rPr>
          <w:bCs/>
          <w:b/>
        </w:rPr>
        <w:t xml:space="preserve">,</w:t>
      </w:r>
      <w:r>
        <w:rPr>
          <w:bCs/>
          <w:b/>
        </w:rPr>
        <w:t xml:space="preserve"> </w:t>
      </w:r>
      <w:r>
        <w:rPr>
          <w:bCs/>
          <w:b/>
          <w:bCs/>
          <w:b/>
        </w:rPr>
        <w:t xml:space="preserve">Shiklomanov AN</w:t>
      </w:r>
      <w:r>
        <w:rPr>
          <w:bCs/>
          <w:b/>
        </w:rPr>
        <w:t xml:space="preserve">,</w:t>
      </w:r>
      <w:r>
        <w:rPr>
          <w:bCs/>
          <w:b/>
        </w:rPr>
        <w:t xml:space="preserve"> </w:t>
      </w:r>
      <w:r>
        <w:rPr>
          <w:bCs/>
          <w:b/>
          <w:bCs/>
          <w:b/>
        </w:rPr>
        <w:t xml:space="preserve">Campbell EE</w:t>
      </w:r>
      <w:r>
        <w:rPr>
          <w:bCs/>
          <w:b/>
        </w:rPr>
        <w:t xml:space="preserve">,</w:t>
      </w:r>
      <w:r>
        <w:rPr>
          <w:bCs/>
          <w:b/>
        </w:rPr>
        <w:t xml:space="preserve"> </w:t>
      </w:r>
      <w:r>
        <w:rPr>
          <w:bCs/>
          <w:b/>
          <w:bCs/>
          <w:b/>
        </w:rPr>
        <w:t xml:space="preserve">Cowdery EM</w:t>
      </w:r>
      <w:r>
        <w:rPr>
          <w:bCs/>
          <w:b/>
        </w:rPr>
        <w:t xml:space="preserve">,</w:t>
      </w:r>
      <w:r>
        <w:rPr>
          <w:bCs/>
          <w:b/>
        </w:rPr>
        <w:t xml:space="preserve"> </w:t>
      </w:r>
      <w:r>
        <w:rPr>
          <w:bCs/>
          <w:b/>
          <w:bCs/>
          <w:b/>
        </w:rPr>
        <w:t xml:space="preserve">Kauwe MGD</w:t>
      </w:r>
      <w:r>
        <w:rPr>
          <w:bCs/>
          <w:b/>
        </w:rPr>
        <w:t xml:space="preserve">,</w:t>
      </w:r>
      <w:r>
        <w:rPr>
          <w:bCs/>
          <w:b/>
        </w:rPr>
        <w:t xml:space="preserve"> </w:t>
      </w:r>
      <w:r>
        <w:rPr>
          <w:bCs/>
          <w:b/>
          <w:bCs/>
          <w:b/>
        </w:rPr>
        <w:t xml:space="preserve">Desai A</w:t>
      </w:r>
      <w:r>
        <w:rPr>
          <w:bCs/>
          <w:b/>
        </w:rPr>
        <w:t xml:space="preserve">,</w:t>
      </w:r>
      <w:r>
        <w:rPr>
          <w:bCs/>
          <w:b/>
        </w:rPr>
        <w:t xml:space="preserve"> </w:t>
      </w:r>
      <w:r>
        <w:rPr>
          <w:bCs/>
          <w:b/>
          <w:bCs/>
          <w:b/>
        </w:rPr>
        <w:t xml:space="preserve">Duveneck MJ</w:t>
      </w:r>
      <w:r>
        <w:rPr>
          <w:bCs/>
          <w:b/>
        </w:rPr>
        <w:t xml:space="preserve">,</w:t>
      </w:r>
      <w:r>
        <w:rPr>
          <w:bCs/>
          <w:b/>
        </w:rPr>
        <w:t xml:space="preserve"> </w:t>
      </w:r>
      <w:r>
        <w:rPr>
          <w:bCs/>
          <w:b/>
          <w:bCs/>
          <w:b/>
        </w:rPr>
        <w:t xml:space="preserve">Fisher JB</w:t>
      </w:r>
      <w:r>
        <w:rPr>
          <w:bCs/>
          <w:b/>
        </w:rPr>
        <w:t xml:space="preserve">,</w:t>
      </w:r>
      <w:r>
        <w:rPr>
          <w:bCs/>
          <w:b/>
        </w:rPr>
        <w:t xml:space="preserve"> </w:t>
      </w:r>
      <w:r>
        <w:rPr>
          <w:bCs/>
          <w:b/>
          <w:bCs/>
          <w:b/>
        </w:rPr>
        <w:t xml:space="preserve">Haynes KD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7">
        <w:r>
          <w:rPr>
            <w:rStyle w:val="Hyperlink"/>
          </w:rPr>
          <w:t xml:space="preserve">Beyond ecosystem modeling:</w:t>
        </w:r>
        <w:r>
          <w:rPr>
            <w:rStyle w:val="Hyperlink"/>
          </w:rPr>
          <w:t xml:space="preserve"> </w:t>
        </w:r>
        <w:r>
          <w:rPr>
            <w:rStyle w:val="Hyperlink"/>
          </w:rPr>
          <w:t xml:space="preserve">A</w:t>
        </w:r>
        <w:r>
          <w:rPr>
            <w:rStyle w:val="Hyperlink"/>
          </w:rPr>
          <w:t xml:space="preserve"> </w:t>
        </w:r>
        <w:r>
          <w:rPr>
            <w:rStyle w:val="Hyperlink"/>
          </w:rPr>
          <w:t xml:space="preserve">roadmap to community cyberinfrastructure for ecological data-model integration</w:t>
        </w:r>
      </w:hyperlink>
      <w:r>
        <w:t xml:space="preserve">.</w:t>
      </w:r>
      <w:r>
        <w:t xml:space="preserve"> </w:t>
      </w:r>
      <w:r>
        <w:rPr>
          <w:iCs/>
          <w:i/>
        </w:rPr>
        <w:t xml:space="preserve">Global Change Biology</w:t>
      </w:r>
      <w:r>
        <w:t xml:space="preserve"> </w:t>
      </w:r>
      <w:r>
        <w:rPr>
          <w:bCs/>
          <w:b/>
        </w:rPr>
        <w:t xml:space="preserve">27</w:t>
      </w:r>
      <w:r>
        <w:t xml:space="preserve">: 13–26.</w:t>
      </w:r>
    </w:p>
    <w:bookmarkEnd w:id="98"/>
    <w:bookmarkStart w:id="100" w:name="ref-goldstein_protecting_2020"/>
    <w:p>
      <w:pPr>
        <w:pStyle w:val="Bibliography"/>
      </w:pPr>
      <w:r>
        <w:rPr>
          <w:bCs/>
          <w:b/>
          <w:bCs/>
          <w:b/>
        </w:rPr>
        <w:t xml:space="preserve">Goldstein A</w:t>
      </w:r>
      <w:r>
        <w:rPr>
          <w:bCs/>
          <w:b/>
        </w:rPr>
        <w:t xml:space="preserve">,</w:t>
      </w:r>
      <w:r>
        <w:rPr>
          <w:bCs/>
          <w:b/>
        </w:rPr>
        <w:t xml:space="preserve"> </w:t>
      </w:r>
      <w:r>
        <w:rPr>
          <w:bCs/>
          <w:b/>
          <w:bCs/>
          <w:b/>
        </w:rPr>
        <w:t xml:space="preserve">Turner WR</w:t>
      </w:r>
      <w:r>
        <w:rPr>
          <w:bCs/>
          <w:b/>
        </w:rPr>
        <w:t xml:space="preserve">,</w:t>
      </w:r>
      <w:r>
        <w:rPr>
          <w:bCs/>
          <w:b/>
        </w:rPr>
        <w:t xml:space="preserve"> </w:t>
      </w:r>
      <w:r>
        <w:rPr>
          <w:bCs/>
          <w:b/>
          <w:bCs/>
          <w:b/>
        </w:rPr>
        <w:t xml:space="preserve">Spawn SA</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Cook-Patton S</w:t>
      </w:r>
      <w:r>
        <w:rPr>
          <w:bCs/>
          <w:b/>
        </w:rPr>
        <w:t xml:space="preserve">,</w:t>
      </w:r>
      <w:r>
        <w:rPr>
          <w:bCs/>
          <w:b/>
        </w:rPr>
        <w:t xml:space="preserve"> </w:t>
      </w:r>
      <w:r>
        <w:rPr>
          <w:bCs/>
          <w:b/>
          <w:bCs/>
          <w:b/>
        </w:rPr>
        <w:t xml:space="preserve">Fargione J</w:t>
      </w:r>
      <w:r>
        <w:rPr>
          <w:bCs/>
          <w:b/>
        </w:rPr>
        <w:t xml:space="preserve">,</w:t>
      </w:r>
      <w:r>
        <w:rPr>
          <w:bCs/>
          <w:b/>
        </w:rPr>
        <w:t xml:space="preserve"> </w:t>
      </w:r>
      <w:r>
        <w:rPr>
          <w:bCs/>
          <w:b/>
          <w:bCs/>
          <w:b/>
        </w:rPr>
        <w:t xml:space="preserve">Gibbs HK</w:t>
      </w:r>
      <w:r>
        <w:rPr>
          <w:bCs/>
          <w:b/>
        </w:rPr>
        <w:t xml:space="preserve">,</w:t>
      </w:r>
      <w:r>
        <w:rPr>
          <w:bCs/>
          <w:b/>
        </w:rPr>
        <w:t xml:space="preserve"> </w:t>
      </w:r>
      <w:r>
        <w:rPr>
          <w:bCs/>
          <w:b/>
          <w:bCs/>
          <w:b/>
        </w:rPr>
        <w:t xml:space="preserve">Griscom B</w:t>
      </w:r>
      <w:r>
        <w:rPr>
          <w:bCs/>
          <w:b/>
        </w:rPr>
        <w:t xml:space="preserve">,</w:t>
      </w:r>
      <w:r>
        <w:rPr>
          <w:bCs/>
          <w:b/>
        </w:rPr>
        <w:t xml:space="preserve"> </w:t>
      </w:r>
      <w:r>
        <w:rPr>
          <w:bCs/>
          <w:b/>
          <w:bCs/>
          <w:b/>
        </w:rPr>
        <w:t xml:space="preserve">Hewson JH</w:t>
      </w:r>
      <w:r>
        <w:rPr>
          <w:bCs/>
          <w:b/>
        </w:rPr>
        <w:t xml:space="preserve">,</w:t>
      </w:r>
      <w:r>
        <w:rPr>
          <w:bCs/>
          <w:b/>
        </w:rPr>
        <w:t xml:space="preserve"> </w:t>
      </w:r>
      <w:r>
        <w:rPr>
          <w:bCs/>
          <w:b/>
          <w:bCs/>
          <w:b/>
        </w:rPr>
        <w:t xml:space="preserve">Howard JF</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9">
        <w:r>
          <w:rPr>
            <w:rStyle w:val="Hyperlink"/>
          </w:rPr>
          <w:t xml:space="preserve">Protecting irrecoverable carbon in</w:t>
        </w:r>
        <w:r>
          <w:rPr>
            <w:rStyle w:val="Hyperlink"/>
          </w:rPr>
          <w:t xml:space="preserve"> </w:t>
        </w:r>
        <w:r>
          <w:rPr>
            <w:rStyle w:val="Hyperlink"/>
          </w:rPr>
          <w:t xml:space="preserve">Earth</w:t>
        </w:r>
        <w:r>
          <w:rPr>
            <w:rStyle w:val="Hyperlink"/>
          </w:rPr>
          <w:t xml:space="preserve">’s ecosystems</w:t>
        </w:r>
      </w:hyperlink>
      <w:r>
        <w:t xml:space="preserve">.</w:t>
      </w:r>
      <w:r>
        <w:t xml:space="preserve"> </w:t>
      </w:r>
      <w:r>
        <w:rPr>
          <w:iCs/>
          <w:i/>
        </w:rPr>
        <w:t xml:space="preserve">Nature Climate Change</w:t>
      </w:r>
      <w:r>
        <w:t xml:space="preserve"> </w:t>
      </w:r>
      <w:r>
        <w:rPr>
          <w:bCs/>
          <w:b/>
        </w:rPr>
        <w:t xml:space="preserve">10</w:t>
      </w:r>
      <w:r>
        <w:t xml:space="preserve">: 287–295.</w:t>
      </w:r>
    </w:p>
    <w:bookmarkEnd w:id="100"/>
    <w:bookmarkStart w:id="102"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02"/>
    <w:bookmarkStart w:id="104"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3">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4"/>
    <w:bookmarkStart w:id="106" w:name="ref-hammond_global_2022"/>
    <w:p>
      <w:pPr>
        <w:pStyle w:val="Bibliography"/>
      </w:pPr>
      <w:r>
        <w:rPr>
          <w:bCs/>
          <w:b/>
          <w:bCs/>
          <w:b/>
        </w:rPr>
        <w:t xml:space="preserve">Hammond WM</w:t>
      </w:r>
      <w:r>
        <w:rPr>
          <w:bCs/>
          <w:b/>
        </w:rPr>
        <w:t xml:space="preserve">,</w:t>
      </w:r>
      <w:r>
        <w:rPr>
          <w:bCs/>
          <w:b/>
        </w:rPr>
        <w:t xml:space="preserve"> </w:t>
      </w:r>
      <w:r>
        <w:rPr>
          <w:bCs/>
          <w:b/>
          <w:bCs/>
          <w:b/>
        </w:rPr>
        <w:t xml:space="preserve">Williams AP</w:t>
      </w:r>
      <w:r>
        <w:rPr>
          <w:bCs/>
          <w:b/>
        </w:rPr>
        <w:t xml:space="preserve">,</w:t>
      </w:r>
      <w:r>
        <w:rPr>
          <w:bCs/>
          <w:b/>
        </w:rPr>
        <w:t xml:space="preserve"> </w:t>
      </w:r>
      <w:r>
        <w:rPr>
          <w:bCs/>
          <w:b/>
          <w:bCs/>
          <w:b/>
        </w:rPr>
        <w:t xml:space="preserve">Abatzoglou JT</w:t>
      </w:r>
      <w:r>
        <w:rPr>
          <w:bCs/>
          <w:b/>
        </w:rPr>
        <w:t xml:space="preserve">,</w:t>
      </w:r>
      <w:r>
        <w:rPr>
          <w:bCs/>
          <w:b/>
        </w:rPr>
        <w:t xml:space="preserve"> </w:t>
      </w:r>
      <w:r>
        <w:rPr>
          <w:bCs/>
          <w:b/>
          <w:bCs/>
          <w:b/>
        </w:rPr>
        <w:t xml:space="preserve">Adams HD</w:t>
      </w:r>
      <w:r>
        <w:rPr>
          <w:bCs/>
          <w:b/>
        </w:rPr>
        <w:t xml:space="preserve">,</w:t>
      </w:r>
      <w:r>
        <w:rPr>
          <w:bCs/>
          <w:b/>
        </w:rPr>
        <w:t xml:space="preserve"> </w:t>
      </w:r>
      <w:r>
        <w:rPr>
          <w:bCs/>
          <w:b/>
          <w:bCs/>
          <w:b/>
        </w:rPr>
        <w:t xml:space="preserve">Klein T</w:t>
      </w:r>
      <w:r>
        <w:rPr>
          <w:bCs/>
          <w:b/>
        </w:rPr>
        <w:t xml:space="preserve">,</w:t>
      </w:r>
      <w:r>
        <w:rPr>
          <w:bCs/>
          <w:b/>
        </w:rPr>
        <w:t xml:space="preserve"> </w:t>
      </w:r>
      <w:r>
        <w:rPr>
          <w:bCs/>
          <w:b/>
          <w:bCs/>
          <w:b/>
        </w:rPr>
        <w:t xml:space="preserve">López R</w:t>
      </w:r>
      <w:r>
        <w:rPr>
          <w:bCs/>
          <w:b/>
        </w:rPr>
        <w:t xml:space="preserve">,</w:t>
      </w:r>
      <w:r>
        <w:rPr>
          <w:bCs/>
          <w:b/>
        </w:rPr>
        <w:t xml:space="preserve"> </w:t>
      </w:r>
      <w:r>
        <w:rPr>
          <w:bCs/>
          <w:b/>
          <w:bCs/>
          <w:b/>
        </w:rPr>
        <w:t xml:space="preserve">Sáenz-Romero C</w:t>
      </w:r>
      <w:r>
        <w:rPr>
          <w:bCs/>
          <w:b/>
        </w:rPr>
        <w:t xml:space="preserve">,</w:t>
      </w:r>
      <w:r>
        <w:rPr>
          <w:bCs/>
          <w:b/>
        </w:rPr>
        <w:t xml:space="preserve"> </w:t>
      </w:r>
      <w:r>
        <w:rPr>
          <w:bCs/>
          <w:b/>
          <w:bCs/>
          <w:b/>
        </w:rPr>
        <w:t xml:space="preserve">Hartmann H</w:t>
      </w:r>
      <w:r>
        <w:rPr>
          <w:bCs/>
          <w:b/>
        </w:rPr>
        <w:t xml:space="preserve">,</w:t>
      </w:r>
      <w:r>
        <w:rPr>
          <w:bCs/>
          <w:b/>
        </w:rPr>
        <w:t xml:space="preserve"> </w:t>
      </w:r>
      <w:r>
        <w:rPr>
          <w:bCs/>
          <w:b/>
          <w:bCs/>
          <w:b/>
        </w:rPr>
        <w:t xml:space="preserve">Breshears DD</w:t>
      </w:r>
      <w:r>
        <w:rPr>
          <w:bCs/>
          <w:b/>
        </w:rPr>
        <w:t xml:space="preserve">,</w:t>
      </w:r>
      <w:r>
        <w:rPr>
          <w:bCs/>
          <w:b/>
        </w:rPr>
        <w:t xml:space="preserve"> </w:t>
      </w:r>
      <w:r>
        <w:rPr>
          <w:bCs/>
          <w:b/>
          <w:bCs/>
          <w:b/>
        </w:rPr>
        <w:t xml:space="preserve">Allen CD</w:t>
      </w:r>
      <w:r>
        <w:t xml:space="preserve">.</w:t>
      </w:r>
      <w:r>
        <w:t xml:space="preserve"> </w:t>
      </w:r>
      <w:r>
        <w:rPr>
          <w:bCs/>
          <w:b/>
        </w:rPr>
        <w:t xml:space="preserve">2022</w:t>
      </w:r>
      <w:r>
        <w:t xml:space="preserve">.</w:t>
      </w:r>
      <w:r>
        <w:t xml:space="preserve"> </w:t>
      </w:r>
      <w:hyperlink r:id="rId105">
        <w:r>
          <w:rPr>
            <w:rStyle w:val="Hyperlink"/>
          </w:rPr>
          <w:t xml:space="preserve">Global field observations of tree die-off reveal hotter-drought fingerprint for</w:t>
        </w:r>
        <w:r>
          <w:rPr>
            <w:rStyle w:val="Hyperlink"/>
          </w:rPr>
          <w:t xml:space="preserve"> </w:t>
        </w:r>
        <w:r>
          <w:rPr>
            <w:rStyle w:val="Hyperlink"/>
          </w:rPr>
          <w:t xml:space="preserve">Earth</w:t>
        </w:r>
        <w:r>
          <w:rPr>
            <w:rStyle w:val="Hyperlink"/>
          </w:rPr>
          <w:t xml:space="preserve">’s forests</w:t>
        </w:r>
      </w:hyperlink>
      <w:r>
        <w:t xml:space="preserve">.</w:t>
      </w:r>
      <w:r>
        <w:t xml:space="preserve"> </w:t>
      </w:r>
      <w:r>
        <w:rPr>
          <w:iCs/>
          <w:i/>
        </w:rPr>
        <w:t xml:space="preserve">Nature Communications</w:t>
      </w:r>
      <w:r>
        <w:t xml:space="preserve"> </w:t>
      </w:r>
      <w:r>
        <w:rPr>
          <w:bCs/>
          <w:b/>
        </w:rPr>
        <w:t xml:space="preserve">13</w:t>
      </w:r>
      <w:r>
        <w:t xml:space="preserve">: 1761.</w:t>
      </w:r>
    </w:p>
    <w:bookmarkEnd w:id="106"/>
    <w:bookmarkStart w:id="108"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7">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8"/>
    <w:bookmarkStart w:id="109"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109"/>
    <w:bookmarkStart w:id="110"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w:t>
      </w:r>
      <w:r>
        <w:t xml:space="preserve"> </w:t>
      </w:r>
      <w:r>
        <w:t xml:space="preserve">Hayama, Japan</w:t>
      </w:r>
      <w:r>
        <w:t xml:space="preserve">:</w:t>
      </w:r>
      <w:r>
        <w:t xml:space="preserve"> </w:t>
      </w:r>
      <w:r>
        <w:t xml:space="preserve">Institute for Global Environmental Strategies</w:t>
      </w:r>
      <w:r>
        <w:t xml:space="preserve">.</w:t>
      </w:r>
    </w:p>
    <w:bookmarkEnd w:id="110"/>
    <w:bookmarkStart w:id="111"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111"/>
    <w:bookmarkStart w:id="112"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Pörtner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2"/>
    <w:bookmarkStart w:id="114"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13">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14"/>
    <w:bookmarkStart w:id="115"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5"/>
    <w:bookmarkStart w:id="117"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6">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17"/>
    <w:bookmarkStart w:id="119"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18">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19"/>
    <w:bookmarkStart w:id="121"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0">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1"/>
    <w:bookmarkStart w:id="123"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2">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23"/>
    <w:bookmarkStart w:id="124"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w:t>
      </w:r>
      <w:r>
        <w:t xml:space="preserve"> </w:t>
      </w:r>
      <w:r>
        <w:t xml:space="preserve">NASA Jet Propulsion Laboratory</w:t>
      </w:r>
      <w:r>
        <w:t xml:space="preserve">.</w:t>
      </w:r>
    </w:p>
    <w:bookmarkEnd w:id="124"/>
    <w:bookmarkStart w:id="126"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25">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26"/>
    <w:bookmarkStart w:id="127"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27"/>
    <w:bookmarkStart w:id="129" w:name="ref-piponiot_distribution_2022"/>
    <w:p>
      <w:pPr>
        <w:pStyle w:val="Bibliography"/>
      </w:pPr>
      <w:r>
        <w:rPr>
          <w:bCs/>
          <w:b/>
          <w:bCs/>
          <w:b/>
        </w:rPr>
        <w:t xml:space="preserve">Piponiot C</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Burslem DFRP</w:t>
      </w:r>
      <w:r>
        <w:rPr>
          <w:bCs/>
          <w:b/>
        </w:rPr>
        <w:t xml:space="preserve">,</w:t>
      </w:r>
      <w:r>
        <w:rPr>
          <w:bCs/>
          <w:b/>
        </w:rPr>
        <w:t xml:space="preserve"> </w:t>
      </w:r>
      <w:r>
        <w:rPr>
          <w:bCs/>
          <w:b/>
          <w:bCs/>
          <w:b/>
        </w:rPr>
        <w:t xml:space="preserve">Cárdenas D</w:t>
      </w:r>
      <w:r>
        <w:rPr>
          <w:bCs/>
          <w:b/>
        </w:rPr>
        <w:t xml:space="preserve">,</w:t>
      </w:r>
      <w:r>
        <w:rPr>
          <w:bCs/>
          <w:b/>
        </w:rPr>
        <w:t xml:space="preserve"> </w:t>
      </w:r>
      <w:r>
        <w:rPr>
          <w:bCs/>
          <w:b/>
          <w:bCs/>
          <w:b/>
        </w:rPr>
        <w:t xml:space="preserve">Chang-Yang C-H</w:t>
      </w:r>
      <w:r>
        <w:rPr>
          <w:bCs/>
          <w:b/>
        </w:rPr>
        <w:t xml:space="preserve">,</w:t>
      </w:r>
      <w:r>
        <w:rPr>
          <w:bCs/>
          <w:b/>
        </w:rPr>
        <w:t xml:space="preserve"> </w:t>
      </w:r>
      <w:r>
        <w:rPr>
          <w:bCs/>
          <w:b/>
          <w:bCs/>
          <w:b/>
        </w:rPr>
        <w:t xml:space="preserve">Chuyong G</w:t>
      </w:r>
      <w:r>
        <w:rPr>
          <w:bCs/>
          <w:b/>
        </w:rPr>
        <w:t xml:space="preserve">,</w:t>
      </w:r>
      <w:r>
        <w:rPr>
          <w:bCs/>
          <w:b/>
        </w:rPr>
        <w:t xml:space="preserve"> </w:t>
      </w:r>
      <w:r>
        <w:rPr>
          <w:bCs/>
          <w:b/>
          <w:bCs/>
          <w:b/>
        </w:rPr>
        <w:t xml:space="preserve">Cordell S</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28">
        <w:r>
          <w:rPr>
            <w:rStyle w:val="Hyperlink"/>
          </w:rPr>
          <w:t xml:space="preserve">Distribution of biomass dynamics in relation to tree size in forests across the world</w:t>
        </w:r>
      </w:hyperlink>
      <w:r>
        <w:t xml:space="preserve">.</w:t>
      </w:r>
      <w:r>
        <w:t xml:space="preserve"> </w:t>
      </w:r>
      <w:r>
        <w:rPr>
          <w:iCs/>
          <w:i/>
        </w:rPr>
        <w:t xml:space="preserve">New Phytologist</w:t>
      </w:r>
      <w:r>
        <w:t xml:space="preserve"> </w:t>
      </w:r>
      <w:r>
        <w:rPr>
          <w:bCs/>
          <w:b/>
        </w:rPr>
        <w:t xml:space="preserve">n/a</w:t>
      </w:r>
      <w:r>
        <w:t xml:space="preserve">.</w:t>
      </w:r>
    </w:p>
    <w:bookmarkEnd w:id="129"/>
    <w:bookmarkStart w:id="131"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0">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1"/>
    <w:bookmarkStart w:id="133"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2">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3"/>
    <w:bookmarkStart w:id="135"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4">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35"/>
    <w:bookmarkStart w:id="137"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36">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37"/>
    <w:bookmarkStart w:id="139"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8">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39"/>
    <w:bookmarkStart w:id="141"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40">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41"/>
    <w:bookmarkStart w:id="142"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42"/>
    <w:bookmarkStart w:id="144"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43">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44"/>
    <w:bookmarkStart w:id="146"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5">
        <w:r>
          <w:rPr>
            <w:rStyle w:val="Hyperlink"/>
          </w:rPr>
          <w:t xml:space="preserve">Higher aboveground carbon stocks in mixed-species planted forests than monocultures</w:t>
        </w:r>
        <w:r>
          <w:rPr>
            <w:rStyle w:val="Hyperlink"/>
          </w:rPr>
          <w:t xml:space="preserve"> </w:t>
        </w:r>
        <w:r>
          <w:rPr>
            <w:rStyle w:val="Hyperlink"/>
          </w:rPr>
          <w:t xml:space="preserve"> </w:t>
        </w:r>
        <w:r>
          <w:rPr>
            <w:rStyle w:val="Hyperlink"/>
          </w:rPr>
          <w:t xml:space="preserve">a meta-analysis</w:t>
        </w:r>
      </w:hyperlink>
      <w:r>
        <w:t xml:space="preserve">. : 2022.01.17.476441.</w:t>
      </w:r>
    </w:p>
    <w:bookmarkEnd w:id="146"/>
    <w:bookmarkStart w:id="148"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7">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48"/>
    <w:bookmarkEnd w:id="149"/>
    <w:bookmarkEnd w:id="150"/>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140" Target="https://doi.org/10.1002/2017GB005678" TargetMode="External" /><Relationship Type="http://schemas.openxmlformats.org/officeDocument/2006/relationships/hyperlink" Id="rId76"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2" Target="https://doi.org/10.1007/s10712-019-09538-8" TargetMode="External" /><Relationship Type="http://schemas.openxmlformats.org/officeDocument/2006/relationships/hyperlink" Id="rId72" Target="https://doi.org/10.1016/j.biombioe.2011.06.045" TargetMode="External" /><Relationship Type="http://schemas.openxmlformats.org/officeDocument/2006/relationships/hyperlink" Id="rId143"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30" Target="https://doi.org/10.1016/j.rse.2019.03.032" TargetMode="External" /><Relationship Type="http://schemas.openxmlformats.org/officeDocument/2006/relationships/hyperlink" Id="rId90" Target="https://doi.org/10.1016/j.srs.2020.100002" TargetMode="External" /><Relationship Type="http://schemas.openxmlformats.org/officeDocument/2006/relationships/hyperlink" Id="rId113" Target="https://doi.org/10.1017/9781009157926.001" TargetMode="External" /><Relationship Type="http://schemas.openxmlformats.org/officeDocument/2006/relationships/hyperlink" Id="rId103" Target="https://doi.org/10.1038/nclimate3227" TargetMode="External" /><Relationship Type="http://schemas.openxmlformats.org/officeDocument/2006/relationships/hyperlink" Id="rId105" Target="https://doi.org/10.1038/s41467-022-29289-2" TargetMode="External" /><Relationship Type="http://schemas.openxmlformats.org/officeDocument/2006/relationships/hyperlink" Id="rId74"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9" Target="https://doi.org/10.1038/s41558-020-0738-8" TargetMode="External" /><Relationship Type="http://schemas.openxmlformats.org/officeDocument/2006/relationships/hyperlink" Id="rId86" Target="https://doi.org/10.1038/s41559-022-01738-7" TargetMode="External" /><Relationship Type="http://schemas.openxmlformats.org/officeDocument/2006/relationships/hyperlink" Id="rId82" Target="https://doi.org/10.1038/s41586-020-2686-x" TargetMode="External" /><Relationship Type="http://schemas.openxmlformats.org/officeDocument/2006/relationships/hyperlink" Id="rId84" Target="https://doi.org/10.1038/s41586-021-03728-4" TargetMode="External" /><Relationship Type="http://schemas.openxmlformats.org/officeDocument/2006/relationships/hyperlink" Id="rId58" Target="https://doi.org/10.1088/1748-9326/abed01" TargetMode="External" /><Relationship Type="http://schemas.openxmlformats.org/officeDocument/2006/relationships/hyperlink" Id="rId138" Target="https://doi.org/10.1088/1748-9326/ac45b3" TargetMode="External" /><Relationship Type="http://schemas.openxmlformats.org/officeDocument/2006/relationships/hyperlink" Id="rId80" Target="https://doi.org/10.1093/forestry/cpt053" TargetMode="External" /><Relationship Type="http://schemas.openxmlformats.org/officeDocument/2006/relationships/hyperlink" Id="rId145" Target="https://doi.org/10.1101/2022.01.17.476441" TargetMode="External" /><Relationship Type="http://schemas.openxmlformats.org/officeDocument/2006/relationships/hyperlink" Id="rId132" Target="https://doi.org/10.1111/2041-210X.12753" TargetMode="External" /><Relationship Type="http://schemas.openxmlformats.org/officeDocument/2006/relationships/hyperlink" Id="rId101" Target="https://doi.org/10.1111/2041-210X.13756" TargetMode="External" /><Relationship Type="http://schemas.openxmlformats.org/officeDocument/2006/relationships/hyperlink" Id="rId78"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34" Target="https://doi.org/10.1111/gcb.14767" TargetMode="External" /><Relationship Type="http://schemas.openxmlformats.org/officeDocument/2006/relationships/hyperlink" Id="rId97"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36"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18" Target="https://doi.org/10.1111/gcb.16497" TargetMode="External" /><Relationship Type="http://schemas.openxmlformats.org/officeDocument/2006/relationships/hyperlink" Id="rId122" Target="https://doi.org/10.1111/j.1365-2486.2005.001043.x" TargetMode="External" /><Relationship Type="http://schemas.openxmlformats.org/officeDocument/2006/relationships/hyperlink" Id="rId128" Target="https://doi.org/10.1111/nph.17995" TargetMode="External" /><Relationship Type="http://schemas.openxmlformats.org/officeDocument/2006/relationships/hyperlink" Id="rId147" Target="https://doi.org/10.1126/sciadv.abe9829" TargetMode="External" /><Relationship Type="http://schemas.openxmlformats.org/officeDocument/2006/relationships/hyperlink" Id="rId120" Target="https://doi.org/10.1126/science.aaz9463" TargetMode="External" /><Relationship Type="http://schemas.openxmlformats.org/officeDocument/2006/relationships/hyperlink" Id="rId95" Target="https://doi.org/10.1126/science.abm6363" TargetMode="External" /><Relationship Type="http://schemas.openxmlformats.org/officeDocument/2006/relationships/hyperlink" Id="rId125" Target="https://doi.org/10.1186/s13021-018-0095-3" TargetMode="External" /><Relationship Type="http://schemas.openxmlformats.org/officeDocument/2006/relationships/hyperlink" Id="rId70" Target="https://doi.org/10.5194/bg-7-1915-2010" TargetMode="External" /><Relationship Type="http://schemas.openxmlformats.org/officeDocument/2006/relationships/hyperlink" Id="rId116" Target="https://doi.org/10.5194/essd-13-255-2021" TargetMode="External" /><Relationship Type="http://schemas.openxmlformats.org/officeDocument/2006/relationships/hyperlink" Id="rId88"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140" Target="https://doi.org/10.1002/2017GB005678" TargetMode="External" /><Relationship Type="http://schemas.openxmlformats.org/officeDocument/2006/relationships/hyperlink" Id="rId76"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2" Target="https://doi.org/10.1007/s10712-019-09538-8" TargetMode="External" /><Relationship Type="http://schemas.openxmlformats.org/officeDocument/2006/relationships/hyperlink" Id="rId72" Target="https://doi.org/10.1016/j.biombioe.2011.06.045" TargetMode="External" /><Relationship Type="http://schemas.openxmlformats.org/officeDocument/2006/relationships/hyperlink" Id="rId143"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30" Target="https://doi.org/10.1016/j.rse.2019.03.032" TargetMode="External" /><Relationship Type="http://schemas.openxmlformats.org/officeDocument/2006/relationships/hyperlink" Id="rId90" Target="https://doi.org/10.1016/j.srs.2020.100002" TargetMode="External" /><Relationship Type="http://schemas.openxmlformats.org/officeDocument/2006/relationships/hyperlink" Id="rId113" Target="https://doi.org/10.1017/9781009157926.001" TargetMode="External" /><Relationship Type="http://schemas.openxmlformats.org/officeDocument/2006/relationships/hyperlink" Id="rId103" Target="https://doi.org/10.1038/nclimate3227" TargetMode="External" /><Relationship Type="http://schemas.openxmlformats.org/officeDocument/2006/relationships/hyperlink" Id="rId105" Target="https://doi.org/10.1038/s41467-022-29289-2" TargetMode="External" /><Relationship Type="http://schemas.openxmlformats.org/officeDocument/2006/relationships/hyperlink" Id="rId74"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9" Target="https://doi.org/10.1038/s41558-020-0738-8" TargetMode="External" /><Relationship Type="http://schemas.openxmlformats.org/officeDocument/2006/relationships/hyperlink" Id="rId86" Target="https://doi.org/10.1038/s41559-022-01738-7" TargetMode="External" /><Relationship Type="http://schemas.openxmlformats.org/officeDocument/2006/relationships/hyperlink" Id="rId82" Target="https://doi.org/10.1038/s41586-020-2686-x" TargetMode="External" /><Relationship Type="http://schemas.openxmlformats.org/officeDocument/2006/relationships/hyperlink" Id="rId84" Target="https://doi.org/10.1038/s41586-021-03728-4" TargetMode="External" /><Relationship Type="http://schemas.openxmlformats.org/officeDocument/2006/relationships/hyperlink" Id="rId58" Target="https://doi.org/10.1088/1748-9326/abed01" TargetMode="External" /><Relationship Type="http://schemas.openxmlformats.org/officeDocument/2006/relationships/hyperlink" Id="rId138" Target="https://doi.org/10.1088/1748-9326/ac45b3" TargetMode="External" /><Relationship Type="http://schemas.openxmlformats.org/officeDocument/2006/relationships/hyperlink" Id="rId80" Target="https://doi.org/10.1093/forestry/cpt053" TargetMode="External" /><Relationship Type="http://schemas.openxmlformats.org/officeDocument/2006/relationships/hyperlink" Id="rId145" Target="https://doi.org/10.1101/2022.01.17.476441" TargetMode="External" /><Relationship Type="http://schemas.openxmlformats.org/officeDocument/2006/relationships/hyperlink" Id="rId132" Target="https://doi.org/10.1111/2041-210X.12753" TargetMode="External" /><Relationship Type="http://schemas.openxmlformats.org/officeDocument/2006/relationships/hyperlink" Id="rId101" Target="https://doi.org/10.1111/2041-210X.13756" TargetMode="External" /><Relationship Type="http://schemas.openxmlformats.org/officeDocument/2006/relationships/hyperlink" Id="rId78"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34" Target="https://doi.org/10.1111/gcb.14767" TargetMode="External" /><Relationship Type="http://schemas.openxmlformats.org/officeDocument/2006/relationships/hyperlink" Id="rId97"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36"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18" Target="https://doi.org/10.1111/gcb.16497" TargetMode="External" /><Relationship Type="http://schemas.openxmlformats.org/officeDocument/2006/relationships/hyperlink" Id="rId122" Target="https://doi.org/10.1111/j.1365-2486.2005.001043.x" TargetMode="External" /><Relationship Type="http://schemas.openxmlformats.org/officeDocument/2006/relationships/hyperlink" Id="rId128" Target="https://doi.org/10.1111/nph.17995" TargetMode="External" /><Relationship Type="http://schemas.openxmlformats.org/officeDocument/2006/relationships/hyperlink" Id="rId147" Target="https://doi.org/10.1126/sciadv.abe9829" TargetMode="External" /><Relationship Type="http://schemas.openxmlformats.org/officeDocument/2006/relationships/hyperlink" Id="rId120" Target="https://doi.org/10.1126/science.aaz9463" TargetMode="External" /><Relationship Type="http://schemas.openxmlformats.org/officeDocument/2006/relationships/hyperlink" Id="rId95" Target="https://doi.org/10.1126/science.abm6363" TargetMode="External" /><Relationship Type="http://schemas.openxmlformats.org/officeDocument/2006/relationships/hyperlink" Id="rId125" Target="https://doi.org/10.1186/s13021-018-0095-3" TargetMode="External" /><Relationship Type="http://schemas.openxmlformats.org/officeDocument/2006/relationships/hyperlink" Id="rId70" Target="https://doi.org/10.5194/bg-7-1915-2010" TargetMode="External" /><Relationship Type="http://schemas.openxmlformats.org/officeDocument/2006/relationships/hyperlink" Id="rId116" Target="https://doi.org/10.5194/essd-13-255-2021" TargetMode="External" /><Relationship Type="http://schemas.openxmlformats.org/officeDocument/2006/relationships/hyperlink" Id="rId88"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2023-10-26T17:35:40Z</dcterms:created>
  <dcterms:modified xsi:type="dcterms:W3CDTF">2023-10-26T17:35:40Z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