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DBF93" w14:textId="085528DF" w:rsidR="002A090C" w:rsidRPr="00A5038F" w:rsidRDefault="00897C17" w:rsidP="002A090C">
      <w:pPr>
        <w:ind w:left="-709"/>
        <w:rPr>
          <w:b/>
          <w:sz w:val="72"/>
          <w:szCs w:val="96"/>
        </w:rPr>
      </w:pPr>
      <w:r w:rsidRPr="00A5038F">
        <w:rPr>
          <w:b/>
          <w:sz w:val="72"/>
          <w:szCs w:val="96"/>
        </w:rPr>
        <w:t xml:space="preserve"> </w:t>
      </w:r>
      <w:r w:rsidR="00604215" w:rsidRPr="00A5038F">
        <w:rPr>
          <w:b/>
          <w:sz w:val="72"/>
          <w:szCs w:val="96"/>
        </w:rPr>
        <w:t>Delivery</w:t>
      </w:r>
      <w:r w:rsidR="002A090C" w:rsidRPr="00A5038F">
        <w:rPr>
          <w:b/>
          <w:sz w:val="72"/>
          <w:szCs w:val="96"/>
        </w:rPr>
        <w:t>.tab</w:t>
      </w:r>
    </w:p>
    <w:p w14:paraId="460DB553" w14:textId="16F2017A" w:rsidR="00E647D0" w:rsidRPr="00A5038F" w:rsidRDefault="00E647D0" w:rsidP="002A090C">
      <w:pPr>
        <w:ind w:left="-709"/>
        <w:rPr>
          <w:b/>
          <w:sz w:val="72"/>
          <w:szCs w:val="96"/>
        </w:rPr>
      </w:pPr>
    </w:p>
    <w:tbl>
      <w:tblPr>
        <w:tblW w:w="10619" w:type="dxa"/>
        <w:tblInd w:w="-7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18"/>
        <w:gridCol w:w="544"/>
        <w:gridCol w:w="1787"/>
        <w:gridCol w:w="5510"/>
      </w:tblGrid>
      <w:tr w:rsidR="00E647D0" w:rsidRPr="00A5038F" w14:paraId="22C6F3A6" w14:textId="77777777" w:rsidTr="00C000AE">
        <w:trPr>
          <w:cantSplit/>
          <w:trHeight w:val="402"/>
        </w:trPr>
        <w:tc>
          <w:tcPr>
            <w:tcW w:w="277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0902C32" w14:textId="77777777" w:rsidR="00E647D0" w:rsidRPr="00A5038F" w:rsidRDefault="00E647D0" w:rsidP="00FF5009">
            <w:pPr>
              <w:ind w:right="-23"/>
              <w:jc w:val="center"/>
              <w:rPr>
                <w:b/>
                <w:bCs/>
              </w:rPr>
            </w:pPr>
            <w:r w:rsidRPr="00A5038F">
              <w:rPr>
                <w:b/>
                <w:bCs/>
              </w:rPr>
              <w:t>Version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5FC18D0" w14:textId="77777777" w:rsidR="00E647D0" w:rsidRPr="00A5038F" w:rsidRDefault="00E647D0" w:rsidP="00FF5009">
            <w:pPr>
              <w:ind w:right="-23"/>
              <w:jc w:val="center"/>
              <w:rPr>
                <w:b/>
                <w:bCs/>
              </w:rPr>
            </w:pPr>
            <w:r w:rsidRPr="00A5038F">
              <w:rPr>
                <w:b/>
                <w:bCs/>
              </w:rPr>
              <w:t>Date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350A235" w14:textId="77777777" w:rsidR="00E647D0" w:rsidRPr="00A5038F" w:rsidRDefault="00E647D0" w:rsidP="00FF5009">
            <w:pPr>
              <w:ind w:right="-23"/>
              <w:jc w:val="center"/>
              <w:rPr>
                <w:b/>
                <w:bCs/>
              </w:rPr>
            </w:pPr>
            <w:r w:rsidRPr="00A5038F">
              <w:rPr>
                <w:b/>
                <w:bCs/>
              </w:rPr>
              <w:t>Author</w:t>
            </w:r>
          </w:p>
        </w:tc>
        <w:tc>
          <w:tcPr>
            <w:tcW w:w="55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76B847F" w14:textId="77777777" w:rsidR="00E647D0" w:rsidRPr="00A5038F" w:rsidRDefault="00E647D0" w:rsidP="00FF5009">
            <w:pPr>
              <w:ind w:right="-23"/>
              <w:jc w:val="center"/>
              <w:rPr>
                <w:b/>
                <w:bCs/>
              </w:rPr>
            </w:pPr>
            <w:r w:rsidRPr="00A5038F">
              <w:rPr>
                <w:b/>
                <w:bCs/>
              </w:rPr>
              <w:t>Comments</w:t>
            </w:r>
          </w:p>
        </w:tc>
      </w:tr>
      <w:tr w:rsidR="00C000AE" w:rsidRPr="00A5038F" w14:paraId="7CAF2466" w14:textId="77777777" w:rsidTr="00C000AE">
        <w:trPr>
          <w:cantSplit/>
          <w:trHeight w:val="31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F647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 w:rsidRPr="00A5038F">
              <w:rPr>
                <w:iCs/>
              </w:rPr>
              <w:t>Refer to PROTON history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E992" w14:textId="77777777" w:rsidR="00C000AE" w:rsidRPr="00A5038F" w:rsidRDefault="00C000AE" w:rsidP="00C000AE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2B55" w14:textId="19A91596" w:rsidR="00C000AE" w:rsidRDefault="00C000AE" w:rsidP="009A34CB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Rob Reeves</w:t>
            </w:r>
          </w:p>
          <w:p w14:paraId="0A54C9C8" w14:textId="592123F5" w:rsidR="00C000AE" w:rsidRPr="00A5038F" w:rsidRDefault="00C000AE" w:rsidP="009A34CB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Andrey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Kornienko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BBEB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 w:rsidRPr="00A5038F">
              <w:rPr>
                <w:iCs/>
              </w:rPr>
              <w:t>Initial Version including main mapping rules. The BI mapping inputs provided by the BI team and MD04 extraction.</w:t>
            </w:r>
          </w:p>
        </w:tc>
      </w:tr>
      <w:tr w:rsidR="00C000AE" w:rsidRPr="00A5038F" w14:paraId="0A2FE37C" w14:textId="77777777" w:rsidTr="00C000AE">
        <w:trPr>
          <w:cantSplit/>
          <w:trHeight w:val="214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4AF9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354C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1E48" w14:textId="3AA17863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 w:rsidRPr="00A5038F">
              <w:rPr>
                <w:iCs/>
              </w:rPr>
              <w:t>Kshitij Jathar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723E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 w:rsidRPr="00A5038F">
              <w:rPr>
                <w:iCs/>
              </w:rPr>
              <w:t>PROTON Administration and finalize the document with the following changes:-</w:t>
            </w:r>
          </w:p>
          <w:p w14:paraId="7C5E964D" w14:textId="77777777" w:rsidR="00C000AE" w:rsidRPr="00A5038F" w:rsidRDefault="00C000AE" w:rsidP="00E647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  <w:r w:rsidRPr="00A5038F">
              <w:t>Document History removed as Proton will have its own version tracking</w:t>
            </w:r>
          </w:p>
          <w:p w14:paraId="53B909BF" w14:textId="77777777" w:rsidR="00C000AE" w:rsidRPr="00A5038F" w:rsidRDefault="00C000AE" w:rsidP="00E647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  <w:r w:rsidRPr="00A5038F">
              <w:t>Reference columns to one-drive folders deleted.</w:t>
            </w:r>
          </w:p>
          <w:p w14:paraId="7CB7D54D" w14:textId="77777777" w:rsidR="00C000AE" w:rsidRPr="00A5038F" w:rsidRDefault="00C000AE" w:rsidP="00E647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  <w:r w:rsidRPr="00A5038F">
              <w:t>Different colours, text highlights etc. have been removed.</w:t>
            </w:r>
          </w:p>
          <w:p w14:paraId="258720E4" w14:textId="77777777" w:rsidR="00C000AE" w:rsidRPr="00A5038F" w:rsidRDefault="00C000AE" w:rsidP="00E647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  <w:r w:rsidRPr="00A5038F">
              <w:t>Format. is changed and standardized</w:t>
            </w:r>
          </w:p>
          <w:p w14:paraId="4C0580ED" w14:textId="7777777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</w:tr>
      <w:tr w:rsidR="00C000AE" w:rsidRPr="00A5038F" w14:paraId="4FA0F72D" w14:textId="77777777" w:rsidTr="00C000AE">
        <w:trPr>
          <w:cantSplit/>
          <w:trHeight w:val="204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BCEC" w14:textId="2E0E2147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Version 0.1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0537" w14:textId="7482D82E" w:rsidR="00C000AE" w:rsidRPr="00A5038F" w:rsidRDefault="00C000AE" w:rsidP="00C000AE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14-Apr-2021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9628" w14:textId="7FB728D2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Uma Sa</w:t>
            </w:r>
            <w:bookmarkStart w:id="0" w:name="_GoBack"/>
            <w:bookmarkEnd w:id="0"/>
            <w:r>
              <w:rPr>
                <w:iCs/>
              </w:rPr>
              <w:t>nkar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EC04" w14:textId="77777777" w:rsidR="00C000AE" w:rsidRDefault="00C000AE" w:rsidP="00C000AE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 xml:space="preserve">As per SPEED Project Wave 1 (R3.0) - Item 7 ((21011) requirement </w:t>
            </w:r>
            <w:r w:rsidRPr="00AA368E">
              <w:rPr>
                <w:iCs/>
              </w:rPr>
              <w:t xml:space="preserve">added new column </w:t>
            </w:r>
            <w:r>
              <w:rPr>
                <w:iCs/>
              </w:rPr>
              <w:t>“</w:t>
            </w:r>
            <w:r w:rsidRPr="00AA368E">
              <w:rPr>
                <w:iCs/>
              </w:rPr>
              <w:t>CustomerPONumber</w:t>
            </w:r>
            <w:r>
              <w:rPr>
                <w:iCs/>
              </w:rPr>
              <w:t>”</w:t>
            </w:r>
            <w:r w:rsidRPr="00AA368E">
              <w:rPr>
                <w:iCs/>
              </w:rPr>
              <w:t xml:space="preserve"> </w:t>
            </w:r>
            <w:r>
              <w:rPr>
                <w:iCs/>
              </w:rPr>
              <w:t>in talend job (TR_indDmd_SalesOrder )</w:t>
            </w:r>
            <w:r w:rsidRPr="00AA368E">
              <w:rPr>
                <w:iCs/>
              </w:rPr>
              <w:t xml:space="preserve"> </w:t>
            </w:r>
            <w:r>
              <w:rPr>
                <w:iCs/>
              </w:rPr>
              <w:t>for the output file which will be consumed by Rapid Response. Changes was incorporated for IM &amp; SZ.</w:t>
            </w:r>
          </w:p>
          <w:p w14:paraId="0B493750" w14:textId="77777777" w:rsidR="00C000AE" w:rsidRDefault="00C000AE" w:rsidP="00C000AE">
            <w:pPr>
              <w:widowControl w:val="0"/>
              <w:spacing w:before="60" w:after="60"/>
              <w:ind w:right="-23"/>
              <w:rPr>
                <w:iCs/>
              </w:rPr>
            </w:pPr>
          </w:p>
          <w:p w14:paraId="12DBB415" w14:textId="1D47FEDE" w:rsidR="00C000AE" w:rsidRDefault="00C000AE" w:rsidP="00C000AE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 xml:space="preserve">Check page </w:t>
            </w:r>
            <w:r>
              <w:rPr>
                <w:iCs/>
              </w:rPr>
              <w:t>4</w:t>
            </w:r>
            <w:r>
              <w:rPr>
                <w:iCs/>
              </w:rPr>
              <w:t>.</w:t>
            </w:r>
          </w:p>
          <w:p w14:paraId="33835001" w14:textId="0A2487B5" w:rsidR="00C000AE" w:rsidRPr="00A5038F" w:rsidRDefault="00C000AE" w:rsidP="00FF5009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</w:tr>
    </w:tbl>
    <w:p w14:paraId="6A36C849" w14:textId="77777777" w:rsidR="00E647D0" w:rsidRPr="00A5038F" w:rsidRDefault="00E647D0" w:rsidP="00E647D0">
      <w:pPr>
        <w:ind w:left="-709"/>
        <w:rPr>
          <w:b/>
          <w:bCs/>
          <w:sz w:val="72"/>
          <w:szCs w:val="72"/>
        </w:rPr>
      </w:pPr>
    </w:p>
    <w:p w14:paraId="7C7136D1" w14:textId="77777777" w:rsidR="00015830" w:rsidRPr="00A5038F" w:rsidRDefault="00015830" w:rsidP="00015830">
      <w:pPr>
        <w:ind w:left="-851"/>
        <w:rPr>
          <w:b/>
        </w:rPr>
      </w:pPr>
      <w:r w:rsidRPr="00A5038F">
        <w:rPr>
          <w:b/>
        </w:rPr>
        <w:t>IBI – Extracts and Filtering</w:t>
      </w:r>
    </w:p>
    <w:tbl>
      <w:tblPr>
        <w:tblStyle w:val="GridTable1Light-Accent1"/>
        <w:tblW w:w="10879" w:type="dxa"/>
        <w:tblInd w:w="-714" w:type="dxa"/>
        <w:tblLook w:val="04A0" w:firstRow="1" w:lastRow="0" w:firstColumn="1" w:lastColumn="0" w:noHBand="0" w:noVBand="1"/>
      </w:tblPr>
      <w:tblGrid>
        <w:gridCol w:w="567"/>
        <w:gridCol w:w="2127"/>
        <w:gridCol w:w="1559"/>
        <w:gridCol w:w="1843"/>
        <w:gridCol w:w="4783"/>
      </w:tblGrid>
      <w:tr w:rsidR="00015830" w:rsidRPr="00A5038F" w14:paraId="44DC2629" w14:textId="77777777" w:rsidTr="00015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noWrap/>
          </w:tcPr>
          <w:p w14:paraId="1E50FBAB" w14:textId="77777777" w:rsidR="00015830" w:rsidRPr="00A5038F" w:rsidRDefault="00015830" w:rsidP="00FF5009">
            <w:pPr>
              <w:jc w:val="center"/>
              <w:rPr>
                <w:rFonts w:eastAsia="Times New Roman"/>
                <w:sz w:val="18"/>
                <w:szCs w:val="18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noWrap/>
            <w:hideMark/>
          </w:tcPr>
          <w:p w14:paraId="23D39FD2" w14:textId="77777777" w:rsidR="00015830" w:rsidRPr="00A5038F" w:rsidRDefault="00015830" w:rsidP="00FF5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38F">
              <w:rPr>
                <w:sz w:val="18"/>
                <w:szCs w:val="18"/>
              </w:rPr>
              <w:t>PHARMA</w:t>
            </w:r>
          </w:p>
        </w:tc>
        <w:tc>
          <w:tcPr>
            <w:tcW w:w="1559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noWrap/>
            <w:hideMark/>
          </w:tcPr>
          <w:p w14:paraId="08A706D2" w14:textId="77777777" w:rsidR="00015830" w:rsidRPr="00A5038F" w:rsidRDefault="00015830" w:rsidP="00FF5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38F">
              <w:rPr>
                <w:sz w:val="18"/>
                <w:szCs w:val="18"/>
              </w:rPr>
              <w:t>SANDOZ</w:t>
            </w:r>
          </w:p>
        </w:tc>
        <w:tc>
          <w:tcPr>
            <w:tcW w:w="1843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</w:tcPr>
          <w:p w14:paraId="0ABD5D5D" w14:textId="680586EA" w:rsidR="00015830" w:rsidRPr="00A5038F" w:rsidRDefault="00015830" w:rsidP="00FF5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18"/>
                <w:szCs w:val="18"/>
                <w:lang w:eastAsia="en-GB"/>
              </w:rPr>
            </w:pPr>
            <w:r w:rsidRPr="00A5038F">
              <w:rPr>
                <w:rFonts w:eastAsia="Times New Roman"/>
                <w:bCs w:val="0"/>
                <w:sz w:val="18"/>
                <w:szCs w:val="18"/>
                <w:lang w:eastAsia="en-GB"/>
              </w:rPr>
              <w:t>File Description</w:t>
            </w:r>
          </w:p>
        </w:tc>
        <w:tc>
          <w:tcPr>
            <w:tcW w:w="4783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E7E6E6" w:themeFill="background2"/>
            <w:noWrap/>
            <w:hideMark/>
          </w:tcPr>
          <w:p w14:paraId="1DB37FAB" w14:textId="77777777" w:rsidR="00015830" w:rsidRPr="00A5038F" w:rsidRDefault="00015830" w:rsidP="00FF5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18"/>
                <w:szCs w:val="18"/>
                <w:lang w:eastAsia="en-GB"/>
              </w:rPr>
            </w:pPr>
            <w:r w:rsidRPr="00A5038F">
              <w:rPr>
                <w:rFonts w:eastAsia="Times New Roman"/>
                <w:bCs w:val="0"/>
                <w:sz w:val="18"/>
                <w:szCs w:val="18"/>
                <w:lang w:eastAsia="en-GB"/>
              </w:rPr>
              <w:t>Filtering</w:t>
            </w:r>
          </w:p>
        </w:tc>
      </w:tr>
      <w:tr w:rsidR="00015830" w:rsidRPr="00A5038F" w14:paraId="4282EF9A" w14:textId="77777777" w:rsidTr="000158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noWrap/>
            <w:hideMark/>
          </w:tcPr>
          <w:p w14:paraId="4CB0D56D" w14:textId="77777777" w:rsidR="00015830" w:rsidRPr="00A5038F" w:rsidRDefault="00015830" w:rsidP="00FF5009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12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noWrap/>
          </w:tcPr>
          <w:p w14:paraId="36F88AF8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5038F">
              <w:rPr>
                <w:b/>
                <w:sz w:val="16"/>
                <w:szCs w:val="16"/>
              </w:rPr>
              <w:t>MD04</w:t>
            </w:r>
          </w:p>
        </w:tc>
        <w:tc>
          <w:tcPr>
            <w:tcW w:w="1559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noWrap/>
          </w:tcPr>
          <w:p w14:paraId="77F813CC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5038F">
              <w:rPr>
                <w:b/>
                <w:sz w:val="16"/>
                <w:szCs w:val="16"/>
              </w:rPr>
              <w:t>MD04</w:t>
            </w:r>
          </w:p>
        </w:tc>
        <w:tc>
          <w:tcPr>
            <w:tcW w:w="1843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31C72CC" w14:textId="6212304D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4783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noWrap/>
          </w:tcPr>
          <w:p w14:paraId="756CAEFC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eastAsia="en-GB"/>
              </w:rPr>
              <w:t>TALEND: MRP Elements « VJ » and « VI »</w:t>
            </w:r>
          </w:p>
        </w:tc>
      </w:tr>
      <w:tr w:rsidR="00015830" w:rsidRPr="00A5038F" w14:paraId="457F311D" w14:textId="77777777" w:rsidTr="000158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</w:tcPr>
          <w:p w14:paraId="342EB014" w14:textId="77777777" w:rsidR="00015830" w:rsidRPr="00A5038F" w:rsidRDefault="00015830" w:rsidP="00FF5009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127" w:type="dxa"/>
            <w:noWrap/>
          </w:tcPr>
          <w:p w14:paraId="7E25AD87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LIPS</w:t>
            </w:r>
          </w:p>
        </w:tc>
        <w:tc>
          <w:tcPr>
            <w:tcW w:w="1559" w:type="dxa"/>
            <w:noWrap/>
          </w:tcPr>
          <w:p w14:paraId="067F1214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LIPS</w:t>
            </w:r>
          </w:p>
        </w:tc>
        <w:tc>
          <w:tcPr>
            <w:tcW w:w="1843" w:type="dxa"/>
          </w:tcPr>
          <w:p w14:paraId="53E52A75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sz w:val="16"/>
                <w:szCs w:val="16"/>
                <w:lang w:eastAsia="en-GB"/>
              </w:rPr>
              <w:t>Deliveries (historical)</w:t>
            </w:r>
          </w:p>
        </w:tc>
        <w:tc>
          <w:tcPr>
            <w:tcW w:w="4783" w:type="dxa"/>
            <w:noWrap/>
          </w:tcPr>
          <w:p w14:paraId="199AB641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eastAsia="en-GB"/>
              </w:rPr>
              <w:t>BI:</w:t>
            </w: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 xml:space="preserve"> for History Filtering : see below</w:t>
            </w:r>
          </w:p>
          <w:p w14:paraId="5F4E96BB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LIKP-WADAT_IST &gt; 13w in past.</w:t>
            </w:r>
          </w:p>
          <w:p w14:paraId="64F969D6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LIPS-LFIMG &gt; “0”</w:t>
            </w:r>
          </w:p>
          <w:p w14:paraId="4F5E11C8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LIPS-VGTYP = « C »</w:t>
            </w:r>
          </w:p>
        </w:tc>
      </w:tr>
      <w:tr w:rsidR="00015830" w:rsidRPr="00A5038F" w14:paraId="02A3170D" w14:textId="77777777" w:rsidTr="000158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</w:tcPr>
          <w:p w14:paraId="3B8BF9C1" w14:textId="77777777" w:rsidR="00015830" w:rsidRPr="00A5038F" w:rsidRDefault="00015830" w:rsidP="00FF5009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127" w:type="dxa"/>
            <w:noWrap/>
          </w:tcPr>
          <w:p w14:paraId="03F94140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LIKP</w:t>
            </w:r>
          </w:p>
        </w:tc>
        <w:tc>
          <w:tcPr>
            <w:tcW w:w="1559" w:type="dxa"/>
            <w:noWrap/>
          </w:tcPr>
          <w:p w14:paraId="0C48E974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LIKP</w:t>
            </w:r>
          </w:p>
        </w:tc>
        <w:tc>
          <w:tcPr>
            <w:tcW w:w="1843" w:type="dxa"/>
          </w:tcPr>
          <w:p w14:paraId="6430B944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sz w:val="16"/>
                <w:szCs w:val="16"/>
                <w:lang w:eastAsia="en-GB"/>
              </w:rPr>
              <w:t>Deliveries (historical)</w:t>
            </w:r>
          </w:p>
        </w:tc>
        <w:tc>
          <w:tcPr>
            <w:tcW w:w="4783" w:type="dxa"/>
            <w:noWrap/>
          </w:tcPr>
          <w:p w14:paraId="3C405366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eastAsia="en-GB"/>
              </w:rPr>
              <w:t>BI </w:t>
            </w: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: for History : same as above</w:t>
            </w:r>
          </w:p>
          <w:p w14:paraId="0ACC46E6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015830" w:rsidRPr="00A5038F" w14:paraId="504F9917" w14:textId="77777777" w:rsidTr="0001583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noWrap/>
          </w:tcPr>
          <w:p w14:paraId="45B80CF6" w14:textId="77777777" w:rsidR="00015830" w:rsidRPr="00A5038F" w:rsidRDefault="00015830" w:rsidP="00FF5009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127" w:type="dxa"/>
            <w:noWrap/>
          </w:tcPr>
          <w:p w14:paraId="40D61EE6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MSEG</w:t>
            </w:r>
          </w:p>
        </w:tc>
        <w:tc>
          <w:tcPr>
            <w:tcW w:w="1559" w:type="dxa"/>
            <w:noWrap/>
          </w:tcPr>
          <w:p w14:paraId="716C2CC0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038F">
              <w:rPr>
                <w:sz w:val="16"/>
                <w:szCs w:val="16"/>
              </w:rPr>
              <w:t>MSEG</w:t>
            </w:r>
          </w:p>
        </w:tc>
        <w:tc>
          <w:tcPr>
            <w:tcW w:w="1843" w:type="dxa"/>
          </w:tcPr>
          <w:p w14:paraId="5DFDC1BA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sz w:val="16"/>
                <w:szCs w:val="16"/>
                <w:lang w:eastAsia="en-GB"/>
              </w:rPr>
              <w:t>Material Movements (historical consumption)</w:t>
            </w:r>
          </w:p>
        </w:tc>
        <w:tc>
          <w:tcPr>
            <w:tcW w:w="4783" w:type="dxa"/>
            <w:noWrap/>
          </w:tcPr>
          <w:p w14:paraId="6AFDDFB3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eastAsia="en-GB"/>
              </w:rPr>
              <w:t xml:space="preserve">BI: </w:t>
            </w: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MJAHR – current year and previous year</w:t>
            </w:r>
          </w:p>
          <w:p w14:paraId="287BBBC8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BUDAT_MKPF &gt; 13 weeks in the past</w:t>
            </w:r>
          </w:p>
          <w:p w14:paraId="2DDFB4E9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A5038F">
              <w:rPr>
                <w:rFonts w:eastAsia="Times New Roman"/>
                <w:bCs/>
                <w:color w:val="000000" w:themeColor="text1"/>
                <w:sz w:val="16"/>
                <w:szCs w:val="16"/>
                <w:lang w:eastAsia="en-GB"/>
              </w:rPr>
              <w:t>BWART – 201,202, 221,222, 261,262.</w:t>
            </w:r>
          </w:p>
          <w:p w14:paraId="7A2C0C88" w14:textId="77777777" w:rsidR="00015830" w:rsidRPr="00A5038F" w:rsidRDefault="00015830" w:rsidP="00FF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 w:val="16"/>
                <w:szCs w:val="16"/>
                <w:lang w:val="fr-FR" w:eastAsia="en-GB"/>
              </w:rPr>
            </w:pPr>
          </w:p>
        </w:tc>
      </w:tr>
    </w:tbl>
    <w:p w14:paraId="5D2F745E" w14:textId="77777777" w:rsidR="00E647D0" w:rsidRPr="00A5038F" w:rsidRDefault="00E647D0" w:rsidP="002A090C">
      <w:pPr>
        <w:ind w:left="-709"/>
        <w:rPr>
          <w:b/>
          <w:sz w:val="72"/>
          <w:szCs w:val="96"/>
        </w:rPr>
      </w:pPr>
    </w:p>
    <w:p w14:paraId="562B90AF" w14:textId="5E3F2AAA" w:rsidR="002A090C" w:rsidRPr="00A5038F" w:rsidRDefault="002A090C"/>
    <w:p w14:paraId="3854A0D6" w14:textId="6C85AE00" w:rsidR="00845C3C" w:rsidRPr="00A5038F" w:rsidRDefault="00845C3C"/>
    <w:p w14:paraId="0C61E787" w14:textId="59D6A21B" w:rsidR="00845C3C" w:rsidRPr="00A5038F" w:rsidRDefault="00845C3C" w:rsidP="004B2CA3">
      <w:pPr>
        <w:ind w:left="-709"/>
        <w:rPr>
          <w:color w:val="000000" w:themeColor="text1"/>
        </w:rPr>
      </w:pPr>
      <w:r w:rsidRPr="00A5038F">
        <w:rPr>
          <w:b/>
          <w:color w:val="000000" w:themeColor="text1"/>
        </w:rPr>
        <w:t>Note</w:t>
      </w:r>
      <w:r w:rsidR="00964805" w:rsidRPr="00A5038F">
        <w:rPr>
          <w:b/>
          <w:color w:val="000000" w:themeColor="text1"/>
        </w:rPr>
        <w:t xml:space="preserve"> 1</w:t>
      </w:r>
      <w:r w:rsidRPr="00A5038F">
        <w:rPr>
          <w:b/>
          <w:color w:val="000000" w:themeColor="text1"/>
        </w:rPr>
        <w:t>:</w:t>
      </w:r>
      <w:r w:rsidRPr="00A5038F">
        <w:rPr>
          <w:color w:val="000000" w:themeColor="text1"/>
        </w:rPr>
        <w:t xml:space="preserve"> Call on Delivery closed quantity in sequence (see below). Full refresh all of the time (no delta)</w:t>
      </w:r>
    </w:p>
    <w:p w14:paraId="22FBDF11" w14:textId="1FDC5C61" w:rsidR="00845C3C" w:rsidRPr="00A5038F" w:rsidRDefault="001A4247" w:rsidP="004B2CA3">
      <w:pPr>
        <w:ind w:left="-709"/>
        <w:rPr>
          <w:color w:val="000000" w:themeColor="text1"/>
        </w:rPr>
      </w:pPr>
      <w:r w:rsidRPr="00A5038F">
        <w:rPr>
          <w:b/>
          <w:color w:val="000000" w:themeColor="text1"/>
        </w:rPr>
        <w:t>BI</w:t>
      </w:r>
      <w:r w:rsidR="00391C22" w:rsidRPr="00A5038F">
        <w:rPr>
          <w:b/>
          <w:color w:val="000000" w:themeColor="text1"/>
        </w:rPr>
        <w:t>:</w:t>
      </w:r>
      <w:r w:rsidRPr="00A5038F">
        <w:rPr>
          <w:color w:val="000000" w:themeColor="text1"/>
        </w:rPr>
        <w:t xml:space="preserve"> Process Flow to ensure consistency check:</w:t>
      </w:r>
    </w:p>
    <w:p w14:paraId="33A94B6B" w14:textId="022AE661" w:rsidR="00845C3C" w:rsidRPr="00A5038F" w:rsidRDefault="00845C3C" w:rsidP="004B2CA3">
      <w:pPr>
        <w:spacing w:line="240" w:lineRule="auto"/>
        <w:ind w:left="720"/>
        <w:rPr>
          <w:color w:val="000000" w:themeColor="text1"/>
        </w:rPr>
      </w:pPr>
      <w:r w:rsidRPr="00A5038F">
        <w:rPr>
          <w:color w:val="000000" w:themeColor="text1"/>
        </w:rPr>
        <w:t xml:space="preserve">1. </w:t>
      </w:r>
      <w:r w:rsidR="001A4247" w:rsidRPr="00A5038F">
        <w:rPr>
          <w:color w:val="000000" w:themeColor="text1"/>
        </w:rPr>
        <w:t xml:space="preserve">First </w:t>
      </w:r>
      <w:r w:rsidRPr="00A5038F">
        <w:rPr>
          <w:color w:val="000000" w:themeColor="text1"/>
        </w:rPr>
        <w:t>MD04</w:t>
      </w:r>
      <w:r w:rsidR="001A4247" w:rsidRPr="00A5038F">
        <w:rPr>
          <w:color w:val="000000" w:themeColor="text1"/>
        </w:rPr>
        <w:t xml:space="preserve"> is extracted for open deliveries</w:t>
      </w:r>
    </w:p>
    <w:p w14:paraId="545A34E4" w14:textId="77777777" w:rsidR="00391C22" w:rsidRPr="00A5038F" w:rsidRDefault="00845C3C" w:rsidP="004B2CA3">
      <w:pPr>
        <w:spacing w:line="240" w:lineRule="auto"/>
        <w:ind w:left="720"/>
        <w:rPr>
          <w:color w:val="000000" w:themeColor="text1"/>
        </w:rPr>
      </w:pPr>
      <w:r w:rsidRPr="00A5038F">
        <w:rPr>
          <w:color w:val="000000" w:themeColor="text1"/>
        </w:rPr>
        <w:t xml:space="preserve">2. </w:t>
      </w:r>
      <w:r w:rsidR="001A4247" w:rsidRPr="00A5038F">
        <w:rPr>
          <w:color w:val="000000" w:themeColor="text1"/>
        </w:rPr>
        <w:t xml:space="preserve">Then </w:t>
      </w:r>
      <w:r w:rsidRPr="00A5038F">
        <w:rPr>
          <w:color w:val="000000" w:themeColor="text1"/>
        </w:rPr>
        <w:t xml:space="preserve">Historical Sales </w:t>
      </w:r>
      <w:r w:rsidR="001A4247" w:rsidRPr="00A5038F">
        <w:rPr>
          <w:color w:val="000000" w:themeColor="text1"/>
        </w:rPr>
        <w:t>(from historical deliveries) are extracted</w:t>
      </w:r>
    </w:p>
    <w:p w14:paraId="0A391B4A" w14:textId="05C7DF30" w:rsidR="00964805" w:rsidRPr="00A5038F" w:rsidRDefault="00391C22" w:rsidP="004B2CA3">
      <w:pPr>
        <w:spacing w:line="240" w:lineRule="auto"/>
        <w:rPr>
          <w:color w:val="000000" w:themeColor="text1"/>
        </w:rPr>
      </w:pPr>
      <w:r w:rsidRPr="00A5038F">
        <w:rPr>
          <w:b/>
          <w:color w:val="000000" w:themeColor="text1"/>
        </w:rPr>
        <w:t>TALEND</w:t>
      </w:r>
      <w:r w:rsidRPr="00A5038F">
        <w:rPr>
          <w:color w:val="000000" w:themeColor="text1"/>
        </w:rPr>
        <w:t xml:space="preserve">: </w:t>
      </w:r>
      <w:r w:rsidR="00845C3C" w:rsidRPr="00A5038F">
        <w:rPr>
          <w:color w:val="000000" w:themeColor="text1"/>
        </w:rPr>
        <w:t>If Historical Sal</w:t>
      </w:r>
      <w:r w:rsidR="001A4247" w:rsidRPr="00A5038F">
        <w:rPr>
          <w:color w:val="000000" w:themeColor="text1"/>
        </w:rPr>
        <w:t xml:space="preserve">es extract record found in MD04, then </w:t>
      </w:r>
      <w:r w:rsidR="00845C3C" w:rsidRPr="00A5038F">
        <w:rPr>
          <w:color w:val="000000" w:themeColor="text1"/>
        </w:rPr>
        <w:t>delete the record (in MD04)</w:t>
      </w:r>
      <w:r w:rsidR="001A4247" w:rsidRPr="00A5038F">
        <w:rPr>
          <w:color w:val="000000" w:themeColor="text1"/>
        </w:rPr>
        <w:t>, as it is already closed.</w:t>
      </w:r>
      <w:r w:rsidRPr="00A5038F">
        <w:rPr>
          <w:color w:val="000000" w:themeColor="text1"/>
        </w:rPr>
        <w:t xml:space="preserve"> To match the records between two extracts (DELIV and MD04), use Delivery Number (DELIV_NUMB and CRM_FMREID respectively) and Source System.</w:t>
      </w:r>
    </w:p>
    <w:p w14:paraId="42F45FC2" w14:textId="77777777" w:rsidR="00964805" w:rsidRPr="00A5038F" w:rsidRDefault="00964805" w:rsidP="004B2CA3">
      <w:pPr>
        <w:rPr>
          <w:b/>
          <w:color w:val="000000" w:themeColor="text1"/>
        </w:rPr>
      </w:pPr>
    </w:p>
    <w:p w14:paraId="30220D33" w14:textId="43C95510" w:rsidR="00964805" w:rsidRPr="00A5038F" w:rsidRDefault="00964805" w:rsidP="004B2CA3">
      <w:pPr>
        <w:ind w:left="-709"/>
        <w:rPr>
          <w:b/>
          <w:color w:val="000000" w:themeColor="text1"/>
        </w:rPr>
      </w:pPr>
      <w:r w:rsidRPr="00A5038F">
        <w:rPr>
          <w:b/>
          <w:color w:val="000000" w:themeColor="text1"/>
        </w:rPr>
        <w:t>Note 2: MSEG data can be taken from BI (no need to synchronize with MD04)</w:t>
      </w:r>
      <w:r w:rsidR="00BA7757" w:rsidRPr="00A5038F">
        <w:rPr>
          <w:b/>
          <w:color w:val="000000" w:themeColor="text1"/>
        </w:rPr>
        <w:t>. Also, see MSEG data in Material Movements file (there the same movements are used, but for longer horizon).</w:t>
      </w:r>
    </w:p>
    <w:p w14:paraId="73E3885D" w14:textId="77777777" w:rsidR="00915655" w:rsidRPr="00A5038F" w:rsidRDefault="00915655" w:rsidP="004B2CA3">
      <w:pPr>
        <w:rPr>
          <w:b/>
          <w:color w:val="000000" w:themeColor="text1"/>
        </w:rPr>
      </w:pPr>
      <w:r w:rsidRPr="00A5038F">
        <w:rPr>
          <w:b/>
          <w:color w:val="000000" w:themeColor="text1"/>
        </w:rPr>
        <w:br w:type="page"/>
      </w:r>
    </w:p>
    <w:p w14:paraId="1A66E073" w14:textId="77777777" w:rsidR="00845C3C" w:rsidRPr="00A5038F" w:rsidRDefault="00845C3C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lastRenderedPageBreak/>
        <w:t>ERP Mapping:</w:t>
      </w:r>
    </w:p>
    <w:p w14:paraId="77BD553F" w14:textId="27F2EFC1" w:rsidR="00845C3C" w:rsidRPr="00A5038F" w:rsidRDefault="00845C3C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>HISTORICAL SALES (13wks of closed orders for Forecast Consumption)</w:t>
      </w:r>
      <w:r w:rsidR="00E9603D" w:rsidRPr="00A5038F">
        <w:rPr>
          <w:b/>
          <w:color w:val="000000" w:themeColor="text1"/>
        </w:rPr>
        <w:t xml:space="preserve"> – to be taken from BI (not MD04)</w:t>
      </w:r>
    </w:p>
    <w:p w14:paraId="2DE47BBC" w14:textId="4873828E" w:rsidR="00943D3F" w:rsidRPr="00A5038F" w:rsidRDefault="00943D3F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>RR Table: Independent Demand (LIPS+LIKS+MSEG)</w:t>
      </w:r>
    </w:p>
    <w:p w14:paraId="1386F0FE" w14:textId="77777777" w:rsidR="00C93843" w:rsidRPr="00A5038F" w:rsidRDefault="00C93843" w:rsidP="004B2CA3">
      <w:pPr>
        <w:ind w:left="-851"/>
        <w:rPr>
          <w:b/>
          <w:color w:val="000000" w:themeColor="text1"/>
        </w:rPr>
      </w:pP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2141"/>
        <w:gridCol w:w="1230"/>
        <w:gridCol w:w="1337"/>
        <w:gridCol w:w="1337"/>
        <w:gridCol w:w="2297"/>
        <w:gridCol w:w="1345"/>
      </w:tblGrid>
      <w:tr w:rsidR="004B2CA3" w:rsidRPr="00A5038F" w14:paraId="1BFE56B3" w14:textId="7625B99D" w:rsidTr="00175164">
        <w:trPr>
          <w:trHeight w:val="255"/>
          <w:tblHeader/>
        </w:trPr>
        <w:tc>
          <w:tcPr>
            <w:tcW w:w="777" w:type="dxa"/>
            <w:shd w:val="clear" w:color="auto" w:fill="BFBFBF" w:themeFill="background1" w:themeFillShade="BF"/>
            <w:noWrap/>
            <w:vAlign w:val="center"/>
            <w:hideMark/>
          </w:tcPr>
          <w:p w14:paraId="357C37F1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Ordinal</w:t>
            </w:r>
          </w:p>
        </w:tc>
        <w:tc>
          <w:tcPr>
            <w:tcW w:w="2141" w:type="dxa"/>
            <w:shd w:val="clear" w:color="auto" w:fill="BFBFBF" w:themeFill="background1" w:themeFillShade="BF"/>
            <w:noWrap/>
            <w:vAlign w:val="center"/>
            <w:hideMark/>
          </w:tcPr>
          <w:p w14:paraId="797ADB4F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RR Field</w:t>
            </w:r>
          </w:p>
        </w:tc>
        <w:tc>
          <w:tcPr>
            <w:tcW w:w="1230" w:type="dxa"/>
            <w:shd w:val="clear" w:color="auto" w:fill="BFBFBF" w:themeFill="background1" w:themeFillShade="BF"/>
            <w:noWrap/>
            <w:vAlign w:val="center"/>
            <w:hideMark/>
          </w:tcPr>
          <w:p w14:paraId="793C5FD4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ERP Field</w:t>
            </w:r>
          </w:p>
        </w:tc>
        <w:tc>
          <w:tcPr>
            <w:tcW w:w="1337" w:type="dxa"/>
            <w:shd w:val="clear" w:color="auto" w:fill="BFBFBF" w:themeFill="background1" w:themeFillShade="BF"/>
            <w:vAlign w:val="center"/>
          </w:tcPr>
          <w:p w14:paraId="1C354B38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IBI Field</w:t>
            </w:r>
          </w:p>
        </w:tc>
        <w:tc>
          <w:tcPr>
            <w:tcW w:w="1337" w:type="dxa"/>
            <w:shd w:val="clear" w:color="auto" w:fill="BFBFBF" w:themeFill="background1" w:themeFillShade="BF"/>
            <w:vAlign w:val="center"/>
          </w:tcPr>
          <w:p w14:paraId="439358EB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SZ Field</w:t>
            </w:r>
          </w:p>
        </w:tc>
        <w:tc>
          <w:tcPr>
            <w:tcW w:w="2297" w:type="dxa"/>
            <w:shd w:val="clear" w:color="auto" w:fill="BFBFBF" w:themeFill="background1" w:themeFillShade="BF"/>
            <w:vAlign w:val="center"/>
          </w:tcPr>
          <w:p w14:paraId="06C70458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204EA4A3" w14:textId="44844540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</w:t>
            </w:r>
          </w:p>
        </w:tc>
      </w:tr>
      <w:tr w:rsidR="004B2CA3" w:rsidRPr="00A5038F" w14:paraId="2F2CC687" w14:textId="6E26E0EB" w:rsidTr="00175164">
        <w:trPr>
          <w:trHeight w:val="510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750C362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40643C7A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6070DECC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LIPS-VBELN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5202714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DELIV_NUMB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D88047B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DELIV_NUMB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0620B0D6" w14:textId="30AB7CC1" w:rsidR="00E9603D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648F8643" w14:textId="14FF5234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53AC5C3C" w14:textId="53B2AAC8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63C8F92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300ABA96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SAPOrderType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26A4E489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LIKP-LFART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EE01FA8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DEL_TYPE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72B393D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DEL_TYPE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703F9E64" w14:textId="222FC6F2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84E9C37" w14:textId="6676AFA8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4F6F1D0C" w14:textId="101A9EF8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165B5805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494C72B6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Order.Type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14D9811E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“Delivery”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73B1CEF" w14:textId="0F799C55" w:rsidR="004B2CA3" w:rsidRPr="00A5038F" w:rsidRDefault="00F30F5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1D1F024" w14:textId="0F12448A" w:rsidR="004B2CA3" w:rsidRPr="00A5038F" w:rsidRDefault="00F30F5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5DF65D88" w14:textId="42ED86D5" w:rsidR="004B2CA3" w:rsidRPr="00A5038F" w:rsidRDefault="00FF5009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If the value of PRVDOC_CTG field is “H”, then “Return”. Else if “I”, then “DeliveryFoC”. Else, “Delivery”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68514A63" w14:textId="3179FEB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641F8D1E" w14:textId="50751C56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74BA2BC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252D4F26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Order.Customer.ID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56423BF2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LIKP-KUNAG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6029645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C4BA95C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2DAD1586" w14:textId="7BED4E33" w:rsidR="004B2CA3" w:rsidRPr="00A5038F" w:rsidRDefault="00FF5009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Concatenate SOLD_TO with Long Source System value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37CCF3B9" w14:textId="48945E12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B5B60C6" w14:textId="6FE9ADCD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2975B721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23FF30CD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0FFFEAB6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LIPS-WERKS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7DC1178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0972222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5E1AEA2C" w14:textId="77777777" w:rsidR="00E9603D" w:rsidRDefault="006231FB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: If NVS.StockType = “W” and </w:t>
            </w:r>
            <w:r w:rsidRPr="006231FB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LIPS-SONUM</w:t>
            </w: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 xml:space="preserve"> </w:t>
            </w: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and Plant are specified in the RR table for separate customer consignments, then assign it to concatenation of </w:t>
            </w: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Plant_</w:t>
            </w:r>
            <w:r>
              <w:t xml:space="preserve"> </w:t>
            </w:r>
            <w:r w:rsidRPr="006231FB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LIPS-SONUM instead</w:t>
            </w: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 xml:space="preserve"> of Plant</w:t>
            </w:r>
          </w:p>
          <w:p w14:paraId="4105174B" w14:textId="4826147F" w:rsidR="000E1588" w:rsidRPr="00A5038F" w:rsidRDefault="000E1588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 xml:space="preserve">SZ: Concatenate Customer from customerconsignmentMap, instead of SONUM,  with Plant 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5677D67" w14:textId="57052B1F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 +</w:t>
            </w:r>
          </w:p>
          <w:p w14:paraId="72BD823D" w14:textId="71B20F63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 transformation</w:t>
            </w:r>
          </w:p>
        </w:tc>
      </w:tr>
      <w:tr w:rsidR="004B2CA3" w:rsidRPr="00A5038F" w14:paraId="1C8AD8D9" w14:textId="2227FC0C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7B9C9100" w14:textId="6B57258B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40739D9E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2E72908A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LIPS-WERKS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C1FC55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9E17D5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0A91F5AE" w14:textId="6769F10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2FD23E2" w14:textId="2EE5741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31FA6E1B" w14:textId="327317D1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15ADBEFF" w14:textId="208B0F3C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4584FF06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1A386079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LIPS-MATNR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FD9CCE2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195EC8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4F9F6BE1" w14:textId="66517E0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465699F" w14:textId="33A25CF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0D33CB16" w14:textId="7E081E8C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6F5ED3B4" w14:textId="0EDFE1F3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23EC8EB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452AB7CD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de-CH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de-CH" w:eastAsia="en-GB"/>
              </w:rPr>
              <w:t>LIPS-POSNR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2DA005A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DELIV_ITEM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04C3E1B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DELIV_ITEM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7F7819B" w14:textId="5F5D9C0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1888EE2D" w14:textId="76D5FAD9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2C884A54" w14:textId="1E95C82E" w:rsidTr="00175164">
        <w:trPr>
          <w:trHeight w:val="359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1702D22D" w14:textId="75EF6AD4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6245D14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Batch.Number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2B797A57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LIPS-CHARG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E571945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E7158B7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7D6526A4" w14:textId="25369FB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32D56BD" w14:textId="0A0545BB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334BFE31" w14:textId="78822970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3984FF6" w14:textId="7A18BCD8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054042DF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OrderPriority.Value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0D5228D3" w14:textId="59DDE7C6" w:rsidR="004B2CA3" w:rsidRPr="00A5038F" w:rsidRDefault="00D52F34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“Low”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3F4E8E4" w14:textId="7E37096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5973C30" w14:textId="2070A45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5ECAA3F" w14:textId="31116A7A" w:rsidR="004B2CA3" w:rsidRPr="00A5038F" w:rsidRDefault="00D52F34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“Low”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347CA9D8" w14:textId="1A23BDCA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3A82DD58" w14:textId="03904000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5636656" w14:textId="611654E1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51599E2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UnitSellingPrice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761403E5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“0”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8E652F6" w14:textId="17826F2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709A16D" w14:textId="01EDF53F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0782A865" w14:textId="79C111F5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4FF3E41D" w14:textId="0938A334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480F3DEE" w14:textId="3D9A136B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49724AB7" w14:textId="0D760C86" w:rsidR="00E9603D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40A92ED7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3576B836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LIKP-WADAT_IST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685BBBF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38056D7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D9068C0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Consumption at Actual GI date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AE7B4BB" w14:textId="33BF911B" w:rsidR="00E9603D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89FB48B" w14:textId="5FD4A361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BC7A570" w14:textId="15F0076C" w:rsidR="00E9603D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0522623A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RequestDate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131F08D0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LIKP-WADAT_IST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8A1E0D1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53A6FD1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0DE0801E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Actual GI date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B8CA6F6" w14:textId="55897258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E20AC7" w:rsidRPr="00A5038F" w14:paraId="604248F5" w14:textId="3E13809C" w:rsidTr="00175164">
        <w:trPr>
          <w:trHeight w:val="313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21DE3ACC" w14:textId="30236C0A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65827927" w14:textId="77777777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E1588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596EAD3A" w14:textId="10FABE47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MSEG-MENGE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5F85EAB" w14:textId="33593A2A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4547C5F" w14:textId="6914619C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58340F78" w14:textId="09A7C9BD" w:rsidR="00E20AC7" w:rsidRPr="00A5038F" w:rsidRDefault="004B6923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Set “0”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D39AC47" w14:textId="718F4085" w:rsidR="00E20AC7" w:rsidRPr="00A5038F" w:rsidRDefault="00E20AC7" w:rsidP="00E20AC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1C34EDC2" w14:textId="1D59B1B6" w:rsidTr="00175164">
        <w:trPr>
          <w:trHeight w:val="313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69F5BB17" w14:textId="04F3066B" w:rsidR="004B2CA3" w:rsidRPr="00A5038F" w:rsidRDefault="00030F9E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1317444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UnitOfMeasure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7EA28F2F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LIPS-VRKME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D5BFDE7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SALES_UNIT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D285C4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SALES_UNIT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60684BE8" w14:textId="40C57009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15035069" w14:textId="6E4B40C3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AB7E62" w:rsidRPr="00A5038F" w14:paraId="189AD6E1" w14:textId="4DB96721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3591E339" w14:textId="3AB6017F" w:rsidR="00AB7E62" w:rsidRPr="00A5038F" w:rsidRDefault="00470C15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38C6E0F1" w14:textId="77777777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Status.Value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40B05238" w14:textId="77777777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"Shipped"</w:t>
            </w:r>
          </w:p>
        </w:tc>
        <w:tc>
          <w:tcPr>
            <w:tcW w:w="1337" w:type="dxa"/>
            <w:shd w:val="clear" w:color="auto" w:fill="FFFFFF" w:themeFill="background1"/>
          </w:tcPr>
          <w:p w14:paraId="474F11EC" w14:textId="0E1371AD" w:rsidR="00AB7E62" w:rsidRPr="00A5038F" w:rsidRDefault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3F6F73EF" w14:textId="1AFCB365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31BF7290" w14:textId="7A49F788" w:rsidR="00AB7E62" w:rsidRPr="00A5038F" w:rsidRDefault="00D52F34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If </w:t>
            </w:r>
            <w:r w:rsidR="007B2A6A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PRVDOC_CTG is “H”, then “Shipped_noMRP”. Else if Stocktype is “W” and Plant and Customer are specified in Customer Consignments </w:t>
            </w:r>
            <w:r w:rsidR="007B2A6A" w:rsidRPr="004B692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 if location is Planning relevant</w:t>
            </w:r>
            <w:r w:rsidR="007B2A6A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, then “Shipped”. Otherwise, “Shipped_noMRP”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CB64E21" w14:textId="580079B7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DCD75E9" w14:textId="23035CCE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732440B" w14:textId="64CA9CDE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2E69065B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ShippedQty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0E2598EB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LIPS-LFIMG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3682A4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DLV_QTY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E2A43B3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DLV_QTY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674116E" w14:textId="398EDA33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30C0188" w14:textId="254A4B82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4ED8242" w14:textId="3DD92BE2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4E315A63" w14:textId="137E0F96" w:rsidR="00E9603D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566573C9" w14:textId="4F712256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NVS.DeliveryRoute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0D17CE79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LIKP-ROUTE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558B360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ROUTE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6E6454A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ROUTE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1AFCF270" w14:textId="7777777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transportation information from source/dest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4F754AE0" w14:textId="2E3F6E87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3F4D15EC" w14:textId="7108C5A9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56AB1A6E" w14:textId="26E6FE48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7D21E2EC" w14:textId="0039078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NVS.ShippingPoint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180B6655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LIKP-VSTEL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8618241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SHP_REC_PT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FCEB402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SHIP_POINT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57DC73A3" w14:textId="27B02D4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893CE0A" w14:textId="528002A4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6106937A" w14:textId="4D98A135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  <w:hideMark/>
          </w:tcPr>
          <w:p w14:paraId="0B4ED32F" w14:textId="3A7DC38D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  <w:hideMark/>
          </w:tcPr>
          <w:p w14:paraId="6A085A62" w14:textId="62B7C01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NVS.ItemCategory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  <w:hideMark/>
          </w:tcPr>
          <w:p w14:paraId="5D80572A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LIPS-PSTYV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F9CBFE0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ITEM_CATEG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B79B12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ITEM_CATEG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668D97D4" w14:textId="2CC4CDB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36D4ED5" w14:textId="13F2200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4FE7F8BC" w14:textId="77777777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7E76FA11" w14:textId="00D16D3B" w:rsidR="0059665B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3564644C" w14:textId="1F6CF7C1" w:rsidR="0059665B" w:rsidRPr="00A5038F" w:rsidRDefault="0059665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NVS.StLoc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676896D7" w14:textId="21DDBF2F" w:rsidR="0059665B" w:rsidRPr="00A5038F" w:rsidRDefault="0059665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LIPS-LGORT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26FB124" w14:textId="7389F724" w:rsidR="0059665B" w:rsidRPr="00A5038F" w:rsidRDefault="00244D00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1EB6F4C" w14:textId="04F1967B" w:rsidR="0059665B" w:rsidRPr="00A5038F" w:rsidRDefault="00CC361A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40197972" w14:textId="1F238E98" w:rsidR="0059665B" w:rsidRPr="00A5038F" w:rsidRDefault="0059665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Might be used to identify nettable location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2C54E528" w14:textId="2DC82E16" w:rsidR="0059665B" w:rsidRPr="00A5038F" w:rsidRDefault="0059665B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40D9FF8D" w14:textId="2C3E9652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5DB3FD04" w14:textId="287BEB4B" w:rsidR="00E9603D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lastRenderedPageBreak/>
              <w:t>21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5CFE7039" w14:textId="75A89D5B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NVS.StockType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28241885" w14:textId="0AAC1A6A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LIPS-SOBKZ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BCD69AE" w14:textId="089919B5" w:rsidR="00E9603D" w:rsidRPr="00A5038F" w:rsidRDefault="008A0868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DF_SOBKZ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25BF700" w14:textId="53A452E0" w:rsidR="00E9603D" w:rsidRPr="00A5038F" w:rsidRDefault="008A0868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SHIP_STCK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7D1F9D14" w14:textId="4CB39D60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When “W”, it means issue from customer consignment!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8198980" w14:textId="4AC27259" w:rsidR="00E9603D" w:rsidRPr="00A5038F" w:rsidRDefault="00E9603D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70C15" w:rsidRPr="00A5038F" w14:paraId="301CF0E3" w14:textId="77777777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7BDBA395" w14:textId="560811CE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67E86BD2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341F8AF5" w14:textId="0EA0024D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67E86BD2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NVS_DebitCreditIndicator</w:t>
            </w:r>
          </w:p>
        </w:tc>
        <w:tc>
          <w:tcPr>
            <w:tcW w:w="1230" w:type="dxa"/>
            <w:shd w:val="clear" w:color="auto" w:fill="FFFFFF" w:themeFill="background1"/>
            <w:noWrap/>
          </w:tcPr>
          <w:p w14:paraId="3922AE59" w14:textId="294B389E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028761E7" w14:textId="3E90AE5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1EC39F08" w14:textId="459D2A8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</w:tcPr>
          <w:p w14:paraId="51B8ADA8" w14:textId="4F71D0E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</w:tcPr>
          <w:p w14:paraId="34EAD5E8" w14:textId="7CA80F1D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70C15" w:rsidRPr="00A5038F" w14:paraId="6574CB38" w14:textId="77777777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08D049A2" w14:textId="60328D6F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67E86BD2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39A588EB" w14:textId="0E68CAE5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67E86BD2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NVS_AllocationIndicator</w:t>
            </w:r>
          </w:p>
        </w:tc>
        <w:tc>
          <w:tcPr>
            <w:tcW w:w="1230" w:type="dxa"/>
            <w:shd w:val="clear" w:color="auto" w:fill="FFFFFF" w:themeFill="background1"/>
            <w:noWrap/>
          </w:tcPr>
          <w:p w14:paraId="1E827AA3" w14:textId="45C7C2C4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0EA77BD6" w14:textId="6AB36A47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4A467232" w14:textId="4A69947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297" w:type="dxa"/>
            <w:shd w:val="clear" w:color="auto" w:fill="FFFFFF" w:themeFill="background1"/>
          </w:tcPr>
          <w:p w14:paraId="0B97BD83" w14:textId="5C67294B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</w:tcPr>
          <w:p w14:paraId="574DF9CB" w14:textId="5658C8D0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0C300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7B2A6A" w:rsidRPr="00A5038F" w14:paraId="5F83E816" w14:textId="77777777" w:rsidTr="00175164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438C010E" w14:textId="4F446BD5" w:rsidR="007B2A6A" w:rsidRPr="67E86BD2" w:rsidRDefault="007B2A6A" w:rsidP="00470C1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6D115ACA" w14:textId="16139E80" w:rsidR="007B2A6A" w:rsidRPr="67E86BD2" w:rsidRDefault="007B2A6A" w:rsidP="00470C15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SourceSystem.Value</w:t>
            </w:r>
          </w:p>
        </w:tc>
        <w:tc>
          <w:tcPr>
            <w:tcW w:w="1230" w:type="dxa"/>
            <w:shd w:val="clear" w:color="auto" w:fill="FFFFFF" w:themeFill="background1"/>
            <w:noWrap/>
          </w:tcPr>
          <w:p w14:paraId="4DD4D604" w14:textId="1C61CCC7" w:rsidR="007B2A6A" w:rsidRPr="000C3003" w:rsidRDefault="00175164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</w:tcPr>
          <w:p w14:paraId="7923412C" w14:textId="68B237EC" w:rsidR="007B2A6A" w:rsidRPr="000C3003" w:rsidRDefault="003B36D1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SOURSYSTEM</w:t>
            </w:r>
          </w:p>
        </w:tc>
        <w:tc>
          <w:tcPr>
            <w:tcW w:w="1337" w:type="dxa"/>
            <w:shd w:val="clear" w:color="auto" w:fill="FFFFFF" w:themeFill="background1"/>
          </w:tcPr>
          <w:p w14:paraId="58884080" w14:textId="6FA5AAE1" w:rsidR="007B2A6A" w:rsidRPr="000C3003" w:rsidRDefault="003B36D1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SOURSYSTEM</w:t>
            </w:r>
          </w:p>
        </w:tc>
        <w:tc>
          <w:tcPr>
            <w:tcW w:w="2297" w:type="dxa"/>
            <w:shd w:val="clear" w:color="auto" w:fill="FFFFFF" w:themeFill="background1"/>
          </w:tcPr>
          <w:p w14:paraId="7E1F50BA" w14:textId="745EE7E5" w:rsidR="007B2A6A" w:rsidRPr="000C3003" w:rsidRDefault="003B36D1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Long form Source System </w:t>
            </w:r>
          </w:p>
        </w:tc>
        <w:tc>
          <w:tcPr>
            <w:tcW w:w="1345" w:type="dxa"/>
            <w:shd w:val="clear" w:color="auto" w:fill="FFFFFF" w:themeFill="background1"/>
          </w:tcPr>
          <w:p w14:paraId="1268F4CC" w14:textId="23FD2FC1" w:rsidR="007B2A6A" w:rsidRPr="000C3003" w:rsidRDefault="00D72EF2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175164" w:rsidRPr="00A5038F" w14:paraId="2E1BB8A1" w14:textId="77777777" w:rsidTr="00F26CB3">
        <w:trPr>
          <w:trHeight w:val="440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431F2C5A" w14:textId="46BE2C75" w:rsidR="00175164" w:rsidRDefault="00175164" w:rsidP="00175164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1DF55130" w14:textId="4EF8C9DB" w:rsidR="00175164" w:rsidRDefault="00175164" w:rsidP="00175164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</w:pPr>
            <w:r w:rsidRPr="00175164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lang w:val="en-GB" w:eastAsia="en-GB"/>
              </w:rPr>
              <w:t>NVS_GoodIssuedDate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673865C4" w14:textId="664D7752" w:rsidR="00175164" w:rsidRDefault="00175164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LIKP-WADAT_IST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9A50D68" w14:textId="44E77A5A" w:rsidR="00175164" w:rsidRDefault="00175164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C003CA0" w14:textId="7F4DA84E" w:rsidR="00175164" w:rsidRDefault="00175164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ACT_GI_DTE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4022AB0E" w14:textId="60FA3947" w:rsidR="00175164" w:rsidRDefault="00175164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Actual GI date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D090544" w14:textId="6A2C762B" w:rsidR="00175164" w:rsidRDefault="00175164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F26CB3" w:rsidRPr="00A5038F" w14:paraId="59FB415C" w14:textId="77777777" w:rsidTr="008621C3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64EF8F9C" w14:textId="0F697749" w:rsidR="00F26CB3" w:rsidRPr="00F26CB3" w:rsidRDefault="00F26CB3" w:rsidP="00175164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26</w:t>
            </w:r>
          </w:p>
        </w:tc>
        <w:tc>
          <w:tcPr>
            <w:tcW w:w="2141" w:type="dxa"/>
            <w:shd w:val="clear" w:color="auto" w:fill="FFFFFF" w:themeFill="background1"/>
            <w:noWrap/>
            <w:vAlign w:val="center"/>
          </w:tcPr>
          <w:p w14:paraId="556538D3" w14:textId="09FA1662" w:rsidR="00F26CB3" w:rsidRPr="00F26CB3" w:rsidRDefault="00F26CB3" w:rsidP="00175164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ascii="Arial Narrow" w:eastAsia="Times New Roman" w:hAnsi="Arial Narrow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CustomerPONumber</w:t>
            </w:r>
          </w:p>
        </w:tc>
        <w:tc>
          <w:tcPr>
            <w:tcW w:w="1230" w:type="dxa"/>
            <w:shd w:val="clear" w:color="auto" w:fill="FFFFFF" w:themeFill="background1"/>
            <w:noWrap/>
            <w:vAlign w:val="center"/>
          </w:tcPr>
          <w:p w14:paraId="2741D8BC" w14:textId="693F2C0D" w:rsidR="00F26CB3" w:rsidRPr="00F26CB3" w:rsidRDefault="00F26CB3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4247539" w14:textId="40B9D61E" w:rsidR="00F26CB3" w:rsidRPr="00F26CB3" w:rsidRDefault="00F26CB3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5B1C5C7" w14:textId="70EE6BAA" w:rsidR="00F26CB3" w:rsidRPr="00F26CB3" w:rsidRDefault="00F26CB3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C9_IPOIND</w:t>
            </w:r>
          </w:p>
        </w:tc>
        <w:tc>
          <w:tcPr>
            <w:tcW w:w="2297" w:type="dxa"/>
            <w:shd w:val="clear" w:color="auto" w:fill="FFFFFF" w:themeFill="background1"/>
            <w:vAlign w:val="center"/>
          </w:tcPr>
          <w:p w14:paraId="2FFD345E" w14:textId="3110E12F" w:rsidR="00F26CB3" w:rsidRPr="00F26CB3" w:rsidRDefault="00F26CB3" w:rsidP="00175164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1FCEC228" w14:textId="404C036E" w:rsidR="00F26CB3" w:rsidRPr="00F26CB3" w:rsidRDefault="00F26CB3" w:rsidP="00175164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F26CB3">
              <w:rPr>
                <w:rFonts w:eastAsia="Times New Roman"/>
                <w:b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BI</w:t>
            </w:r>
          </w:p>
        </w:tc>
      </w:tr>
    </w:tbl>
    <w:p w14:paraId="5454AC00" w14:textId="77777777" w:rsidR="00BF128B" w:rsidRPr="00A5038F" w:rsidRDefault="00BF128B" w:rsidP="004B2CA3">
      <w:pPr>
        <w:ind w:left="-851"/>
        <w:rPr>
          <w:color w:val="000000" w:themeColor="text1"/>
        </w:rPr>
      </w:pPr>
    </w:p>
    <w:p w14:paraId="5530BA41" w14:textId="155C7C62" w:rsidR="00DD1193" w:rsidRPr="00A5038F" w:rsidRDefault="00E9603D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>+ UNION</w:t>
      </w:r>
      <w:r w:rsidR="006343AB" w:rsidRPr="00A5038F">
        <w:rPr>
          <w:b/>
          <w:color w:val="000000" w:themeColor="text1"/>
        </w:rPr>
        <w:t xml:space="preserve"> WITH</w:t>
      </w:r>
    </w:p>
    <w:p w14:paraId="181C6976" w14:textId="77777777" w:rsidR="00C93843" w:rsidRPr="00A5038F" w:rsidRDefault="00C93843" w:rsidP="004B2CA3">
      <w:pPr>
        <w:ind w:left="-851"/>
        <w:rPr>
          <w:b/>
          <w:color w:val="000000" w:themeColor="text1"/>
        </w:rPr>
      </w:pPr>
    </w:p>
    <w:p w14:paraId="65B5BCD5" w14:textId="5BAF9E8D" w:rsidR="00DD1193" w:rsidRPr="00A5038F" w:rsidRDefault="00DD1193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 xml:space="preserve">HISTORICAL </w:t>
      </w:r>
      <w:r w:rsidR="006343AB" w:rsidRPr="00A5038F">
        <w:rPr>
          <w:b/>
          <w:color w:val="000000" w:themeColor="text1"/>
        </w:rPr>
        <w:t>CONSUMPTION</w:t>
      </w:r>
      <w:r w:rsidRPr="00A5038F">
        <w:rPr>
          <w:b/>
          <w:color w:val="000000" w:themeColor="text1"/>
        </w:rPr>
        <w:t xml:space="preserve"> (13wks of Direct Consumption w/o Delivery for Forecast Consumption)</w:t>
      </w:r>
    </w:p>
    <w:p w14:paraId="7B626840" w14:textId="2D590BAD" w:rsidR="006019F9" w:rsidRPr="00A5038F" w:rsidRDefault="006019F9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 xml:space="preserve">TALEND: to filter only for those site which have type </w:t>
      </w:r>
      <w:r w:rsidR="001C58EB">
        <w:rPr>
          <w:b/>
          <w:color w:val="000000" w:themeColor="text1"/>
        </w:rPr>
        <w:t>“</w:t>
      </w:r>
      <w:r w:rsidRPr="00A5038F">
        <w:rPr>
          <w:b/>
          <w:color w:val="000000" w:themeColor="text1"/>
        </w:rPr>
        <w:t>Hybrid</w:t>
      </w:r>
      <w:r w:rsidR="001C58EB">
        <w:rPr>
          <w:b/>
          <w:color w:val="000000" w:themeColor="text1"/>
        </w:rPr>
        <w:t>CT”</w:t>
      </w:r>
      <w:r w:rsidRPr="00A5038F">
        <w:rPr>
          <w:b/>
          <w:color w:val="000000" w:themeColor="text1"/>
        </w:rPr>
        <w:t xml:space="preserve"> in Site: ForecastConsumption, ForecastConsumptionType value.</w:t>
      </w:r>
    </w:p>
    <w:tbl>
      <w:tblPr>
        <w:tblW w:w="10206" w:type="dxa"/>
        <w:tblInd w:w="-856" w:type="dxa"/>
        <w:tblLook w:val="04A0" w:firstRow="1" w:lastRow="0" w:firstColumn="1" w:lastColumn="0" w:noHBand="0" w:noVBand="1"/>
      </w:tblPr>
      <w:tblGrid>
        <w:gridCol w:w="567"/>
        <w:gridCol w:w="1835"/>
        <w:gridCol w:w="1719"/>
        <w:gridCol w:w="1391"/>
        <w:gridCol w:w="1392"/>
        <w:gridCol w:w="2319"/>
        <w:gridCol w:w="983"/>
      </w:tblGrid>
      <w:tr w:rsidR="004B2CA3" w:rsidRPr="00A5038F" w14:paraId="690F5C81" w14:textId="155146EC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02844C" w14:textId="45E3345B" w:rsidR="00B3142B" w:rsidRPr="00A5038F" w:rsidRDefault="00B3142B" w:rsidP="00DD3173">
            <w:pPr>
              <w:spacing w:after="0" w:line="240" w:lineRule="auto"/>
              <w:ind w:left="-964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Or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9A4FB7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RR Field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F12635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ERP Field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90BA46F" w14:textId="1FB7C6A0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IBI field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F3C44B3" w14:textId="3A950C9D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Sandoz field</w:t>
            </w: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36326" w14:textId="18931FEB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1A7F82" w14:textId="48D80C7D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</w:t>
            </w:r>
          </w:p>
        </w:tc>
      </w:tr>
      <w:tr w:rsidR="004B2CA3" w:rsidRPr="00A5038F" w14:paraId="5CBE6D80" w14:textId="0AC72878" w:rsidTr="002E3A79">
        <w:trPr>
          <w:trHeight w:val="3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CBE72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2DF60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5E52AA" w14:textId="5AE0CA3D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MSEG-MBLNR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424B0" w14:textId="66507869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MAT_DOC</w:t>
            </w:r>
          </w:p>
          <w:p w14:paraId="2D047660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77E5C" w14:textId="7B5741B2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DOC_NUM</w:t>
            </w:r>
          </w:p>
          <w:p w14:paraId="7C28A366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960804" w14:textId="7A5E587B" w:rsidR="00B3142B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84143" w14:textId="1E882E25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62F19E4F" w14:textId="289CFA88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7B9EA5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1DCEE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SAPOrderType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05911F" w14:textId="71A76CBE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MSEG-BWART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B4CE40" w14:textId="2159472B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MOVETYPE</w:t>
            </w:r>
          </w:p>
          <w:p w14:paraId="4A34ED02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2710D6" w14:textId="3EBDBE32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MOVETYPE</w:t>
            </w:r>
          </w:p>
          <w:p w14:paraId="45F7E420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9D1313" w14:textId="3CDDCB74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Type of consumption (movement type)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3EC94" w14:textId="695EF8BC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6170C332" w14:textId="0FCF1D6D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5337CE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90C463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Order.Type.Value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DCAC8AD" w14:textId="42929A15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“Consumption”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00FC6" w14:textId="57C5073B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AC0D" w14:textId="46F04F0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819654" w14:textId="3AF96363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A8AB41" w14:textId="1E449689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5C1AE62A" w14:textId="1C69321A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D3539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FA04D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Order.Customer.ID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68EF73" w14:textId="36709C4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“CT”</w:t>
            </w:r>
            <w:r w:rsidR="003B36D1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_WERKS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14B95" w14:textId="02AA133F" w:rsidR="004B2CA3" w:rsidRPr="00A5038F" w:rsidRDefault="003B36D1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A42DB" w14:textId="51B10EA9" w:rsidR="004B2CA3" w:rsidRPr="00A5038F" w:rsidRDefault="003B36D1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101879" w14:textId="77777777" w:rsidR="004B2CA3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Clinical Trials</w:t>
            </w:r>
          </w:p>
          <w:p w14:paraId="38B6E924" w14:textId="188A97B4" w:rsidR="003B36D1" w:rsidRPr="00A5038F" w:rsidRDefault="003B36D1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Concatenate “CT” with “PLANT”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3E132" w14:textId="484FB772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725760C1" w14:textId="68EAFC20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CBC2B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B681C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65AD45" w14:textId="6F1E8A6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MSEG-WERKS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62E1A" w14:textId="1B5F1ED2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AD458" w14:textId="5F859266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B52B9F" w14:textId="04E6C1F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74672" w14:textId="69E84BB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15DB959D" w14:textId="6A92E3C6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7BED5" w14:textId="2D3BA663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D0A874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DB3107" w14:textId="01B14F0B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MSEG-WERKS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E75BB" w14:textId="214F9F2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9DC72" w14:textId="2F47BA65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48693" w14:textId="3116009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9010B" w14:textId="0FAC9A7F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AE95072" w14:textId="4B20EF01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76434" w14:textId="751037AD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BF342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D0190B" w14:textId="0A320B94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MSEG-MATNR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7483B" w14:textId="54F93A9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08405" w14:textId="53F06013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5DB4AE" w14:textId="5D08EA8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DE290" w14:textId="6BAFC1C4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261E1332" w14:textId="3A9B3555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0326D" w14:textId="1A649513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B7A1B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6836F9" w14:textId="3CF2D12F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MSEG-ZEILE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1B3705" w14:textId="54B4BC3E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MAT_ITEM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D3B742" w14:textId="45FAC21E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DOC_ITEM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11CE24" w14:textId="6F328BD1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9DE89" w14:textId="50A96EEB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CA8B77E" w14:textId="4C419484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33004" w14:textId="4747CFA3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5F4E7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Batch.Number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F107AE" w14:textId="4A4FCD2F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MSEG-CHARG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548EE" w14:textId="4886C836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9D48EB" w14:textId="3887F459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C055CE" w14:textId="5FB1B2AC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B6C64" w14:textId="0F110ACF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425B4D1" w14:textId="00D9626A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4600C" w14:textId="445F67C6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58F31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OrderPriority.Value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C314C1" w14:textId="108C3AC6" w:rsidR="004B2CA3" w:rsidRPr="00A5038F" w:rsidRDefault="003B36D1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“Low”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7C108" w14:textId="044996E0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109763" w14:textId="730688F8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0014AB" w14:textId="6EB76C15" w:rsidR="004B2CA3" w:rsidRPr="00A5038F" w:rsidRDefault="003B36D1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Set “Low”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A11EE7" w14:textId="353D7AAA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2E45972A" w14:textId="5C3FF9BA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6A7D1" w14:textId="486782C7" w:rsidR="004B2CA3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0DA5C" w14:textId="7777777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UnitSellingPrice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B5E8AB" w14:textId="1AF22F4E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“0”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9F05" w14:textId="162DB85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51AEC" w14:textId="5CC19358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ABBB84" w14:textId="2BD16A1D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C4BDC" w14:textId="129794F7" w:rsidR="004B2CA3" w:rsidRPr="00A5038F" w:rsidRDefault="004B2CA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B2CA3" w:rsidRPr="00A5038F" w14:paraId="49064BFC" w14:textId="29EE4B7D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4E26D" w14:textId="10F72DB2" w:rsidR="00B3142B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F43F8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4F48CE" w14:textId="7D0AB3CB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MSEG-BUDAT_MKPF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000F7" w14:textId="54DD5AF9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9389C" w14:textId="0C5FD81C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8B3CC" w14:textId="46E94502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Actual Posting Date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D2D12E" w14:textId="1BD86E15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7930EC9E" w14:textId="02A4888A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DE934" w14:textId="5ABF57CB" w:rsidR="00B3142B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81D85" w14:textId="580D76CF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RequestDate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6168E9" w14:textId="38F18EE6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MSEG-BUDAT_MKPF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12C64" w14:textId="2382ED7F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1CA64" w14:textId="176393EC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027436" w14:textId="4673FC45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Actual Posting Date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6D8D1" w14:textId="5903EF06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268643D3" w14:textId="31AB1D2F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F261A8" w14:textId="0FA43B69" w:rsidR="00B3142B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996630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B692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4F21874" w14:textId="2C04D473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MSEG-MENGE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5E99C" w14:textId="22366E89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784E86" w14:textId="69E40AA2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0EBE3" w14:textId="0DBA5DA3" w:rsidR="00B3142B" w:rsidRPr="00A5038F" w:rsidRDefault="004B6923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Set “0”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B4F45" w14:textId="6897B9AA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B2CA3" w:rsidRPr="00A5038F" w14:paraId="306F9AF3" w14:textId="4DB70E3D" w:rsidTr="002E3A79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E4BFC3" w14:textId="7FE154C7" w:rsidR="00B3142B" w:rsidRPr="00A5038F" w:rsidRDefault="00470C15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9D419A" w14:textId="77777777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UnitOfMeasure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4EA9FC4" w14:textId="42688078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MSEG-MEINS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9133A2" w14:textId="77FC383B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BASE_UOM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FE5F0" w14:textId="69CDC48A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BASE_UOM</w:t>
            </w:r>
          </w:p>
        </w:tc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FEE8D" w14:textId="6585DA98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Not needed</w:t>
            </w: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A1AD2" w14:textId="56F00B11" w:rsidR="00B3142B" w:rsidRPr="00A5038F" w:rsidRDefault="00B3142B" w:rsidP="00DD317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70C15" w:rsidRPr="00A5038F" w14:paraId="18FD2842" w14:textId="6B40390D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981C57" w14:textId="3E3C1F77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41B10" w14:textId="6260A41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Status.Value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0EE60A" w14:textId="639C9DB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 "Consumed"</w:t>
            </w:r>
            <w:r w:rsidR="00565F8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 “Consumed_noMRP”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FC527" w14:textId="78D59C68" w:rsidR="00565F8C" w:rsidRDefault="00565F8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35DE3E50" w14:textId="5526D3FC" w:rsidR="00470C15" w:rsidRPr="00572068" w:rsidRDefault="00565F8C" w:rsidP="00572068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187CE" w14:textId="4D9F5791" w:rsidR="00565F8C" w:rsidRDefault="00565F8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74EF3A87" w14:textId="15A01D85" w:rsidR="00470C15" w:rsidRPr="00572068" w:rsidRDefault="00565F8C" w:rsidP="00572068">
            <w:pPr>
              <w:jc w:val="center"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9BF470" w14:textId="41A7015E" w:rsidR="00470C15" w:rsidRPr="00A5038F" w:rsidRDefault="003B36D1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B692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When location is planning relevant “Consumed”. Otherwise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 “Consumed_noMRP”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9A993" w14:textId="4D511AFE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470C15" w:rsidRPr="00A5038F" w14:paraId="14496592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DD48C8" w14:textId="04AA730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3DD123" w14:textId="25C8FE45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ShippedQty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F8CF331" w14:textId="70C739D8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MSEG-MENGE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AD560" w14:textId="5C0002B8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2A0D2" w14:textId="3764D633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5AA9F1" w14:textId="15B59BF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When DbtCrdInd is S, multiply the quantity by -1 (negative)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6683A" w14:textId="2B6C1CAA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BI/Talend</w:t>
            </w:r>
          </w:p>
        </w:tc>
      </w:tr>
      <w:tr w:rsidR="00470C15" w:rsidRPr="00A5038F" w14:paraId="59062647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910633" w14:textId="719748CA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A796DE" w14:textId="7E08E53C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Route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15368EF" w14:textId="7926858C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BD931" w14:textId="5B9D20CA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9E9E5" w14:textId="2E254A4C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D920F" w14:textId="24C3F36E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1F64" w14:textId="3EBD35C4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70C15" w:rsidRPr="00A5038F" w14:paraId="5AACD6B4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864C42" w14:textId="12645726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285672" w14:textId="190144C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ShippingPoint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51891E6B" w14:textId="55DE532E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C1E5" w14:textId="35FFCEF5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FB2B8E" w14:textId="012EBB2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2DDB8" w14:textId="21FA957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0D4B5" w14:textId="7BC46B6E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70C15" w:rsidRPr="00A5038F" w14:paraId="78B261C9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727CBF" w14:textId="7F14C9C3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287C9D" w14:textId="5B8D48C1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ItemCategory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1414E14" w14:textId="4D29E75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D3434" w14:textId="31B3643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A867AF" w14:textId="04494DF0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98A4" w14:textId="3959A28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29888" w14:textId="395A42E3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70C15" w:rsidRPr="00A5038F" w14:paraId="30574337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5E47B0" w14:textId="53A6AA97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F12BE4" w14:textId="3BEB50DA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NVS.StLoc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C2D9489" w14:textId="4D89878C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MSEG-LGORT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A802EB" w14:textId="3021E33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84BF3A" w14:textId="1F16C1A0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AA8BCFC" w14:textId="470EC847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Might be used to identify nettable location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6C9C5" w14:textId="1D262BA1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70C15" w:rsidRPr="00A5038F" w14:paraId="730C28F6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BA54BF" w14:textId="5C647F2D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1ECF7" w14:textId="166FCA53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StockType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7AFCA7CD" w14:textId="397CFEE9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E6F37" w14:textId="0B4C034B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D61AE" w14:textId="3C629EBB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591BBD" w14:textId="22D2DE6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9FF19" w14:textId="0EAA0CAD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70C15" w:rsidRPr="00A5038F" w14:paraId="482CECE0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8C5F20" w14:textId="3360AC7F" w:rsid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2A2EE9" w14:textId="1EC6616D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NVS.DbtCrdInd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55663C8" w14:textId="3B944B8B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MSEG-SHKZG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EBFE7" w14:textId="4322EF22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DCINDIC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4EF5C" w14:textId="2E3CCAD0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DCINDIC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D6F92BB" w14:textId="6D3D50C5" w:rsidR="00470C15" w:rsidRPr="00A5038F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 means movement is negative, S - positive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D08F1" w14:textId="64509325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  <w:tr w:rsidR="00470C15" w:rsidRPr="00A5038F" w14:paraId="5828FAC5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0F58E2" w14:textId="37294A95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lastRenderedPageBreak/>
              <w:t>23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D18CE1" w14:textId="461F0900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470C1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NVT_AllocIndicator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61655C0" w14:textId="22359808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48190" w14:textId="7D1640FF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B50D9" w14:textId="78D1DB4D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95F02" w14:textId="49213755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C92F" w14:textId="1A548C40" w:rsidR="00470C15" w:rsidRPr="00470C15" w:rsidRDefault="00470C15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68306B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BB361C" w:rsidRPr="00A5038F" w14:paraId="24372415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2C34817" w14:textId="4C01A9CE" w:rsidR="00BB361C" w:rsidRPr="00470C15" w:rsidRDefault="00BB361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B1A160" w14:textId="1F036D97" w:rsidR="00BB361C" w:rsidRPr="00470C15" w:rsidRDefault="00BB361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SourceSyste.value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6188C600" w14:textId="672448CB" w:rsidR="00BB361C" w:rsidRPr="0068306B" w:rsidRDefault="00175164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20DDF1" w14:textId="682110A6" w:rsidR="00BB361C" w:rsidRPr="0068306B" w:rsidRDefault="00BB361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SOURSYSTEM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F4EA1" w14:textId="57888CC4" w:rsidR="00BB361C" w:rsidRPr="0068306B" w:rsidRDefault="00BB361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SOURSYSTEM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356D" w14:textId="04E9F0B2" w:rsidR="00BB361C" w:rsidRPr="0068306B" w:rsidRDefault="00BB361C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Long form Source System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869E" w14:textId="19FF3943" w:rsidR="00BB361C" w:rsidRPr="0068306B" w:rsidRDefault="00D72EF2" w:rsidP="00470C15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</w:tr>
      <w:tr w:rsidR="002E3A79" w:rsidRPr="00A5038F" w14:paraId="2B6663B0" w14:textId="77777777" w:rsidTr="002E3A7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912F29" w14:textId="417C9304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CAE334" w14:textId="730B0402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2E3A79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NVS_GoodIssuedDate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A7B1B47" w14:textId="547B0729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MSEG-BUDAT_MKPF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D26762" w14:textId="0ECE9979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D4E65C" w14:textId="26E267D0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5FD09" w14:textId="56B55A85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Actual Posting Date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92327" w14:textId="63835C66" w:rsidR="002E3A79" w:rsidRDefault="002E3A79" w:rsidP="002E3A79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</w:tr>
    </w:tbl>
    <w:p w14:paraId="6C43E7F5" w14:textId="77777777" w:rsidR="00E9603D" w:rsidRPr="00A5038F" w:rsidRDefault="00E9603D" w:rsidP="004B2CA3">
      <w:pPr>
        <w:ind w:left="-851"/>
        <w:rPr>
          <w:b/>
          <w:color w:val="000000" w:themeColor="text1"/>
        </w:rPr>
      </w:pPr>
    </w:p>
    <w:p w14:paraId="73D60BBD" w14:textId="6C1E28FD" w:rsidR="00845C3C" w:rsidRPr="00A5038F" w:rsidRDefault="00845C3C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>Open Deliveries from MD04 (MRP elements “VI” and “VJ”)</w:t>
      </w:r>
    </w:p>
    <w:p w14:paraId="436DF42A" w14:textId="77777777" w:rsidR="00EF796E" w:rsidRPr="00A5038F" w:rsidRDefault="00EF796E" w:rsidP="004B2CA3">
      <w:pPr>
        <w:ind w:left="-851"/>
        <w:rPr>
          <w:b/>
          <w:color w:val="000000" w:themeColor="text1"/>
        </w:rPr>
      </w:pPr>
      <w:r w:rsidRPr="00A5038F">
        <w:rPr>
          <w:b/>
          <w:color w:val="000000" w:themeColor="text1"/>
        </w:rPr>
        <w:t xml:space="preserve">BI File Format: </w:t>
      </w:r>
    </w:p>
    <w:p w14:paraId="500C2388" w14:textId="40270289" w:rsidR="00EF796E" w:rsidRPr="00A5038F" w:rsidRDefault="00EF796E" w:rsidP="004B2CA3">
      <w:pPr>
        <w:ind w:left="-851"/>
        <w:rPr>
          <w:b/>
          <w:color w:val="000000" w:themeColor="text1"/>
        </w:rPr>
      </w:pPr>
    </w:p>
    <w:p w14:paraId="09DAC632" w14:textId="6A8AFE9E" w:rsidR="002A090C" w:rsidRPr="00A5038F" w:rsidRDefault="00AB355D" w:rsidP="004B2CA3">
      <w:pPr>
        <w:ind w:left="-851"/>
        <w:rPr>
          <w:color w:val="000000" w:themeColor="text1"/>
        </w:rPr>
      </w:pPr>
      <w:r w:rsidRPr="00A5038F">
        <w:rPr>
          <w:b/>
          <w:color w:val="000000" w:themeColor="text1"/>
        </w:rPr>
        <w:t>ERP Mapping:</w:t>
      </w:r>
    </w:p>
    <w:tbl>
      <w:tblPr>
        <w:tblW w:w="1075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91"/>
        <w:gridCol w:w="1203"/>
        <w:gridCol w:w="5138"/>
        <w:gridCol w:w="949"/>
        <w:gridCol w:w="606"/>
        <w:gridCol w:w="834"/>
        <w:gridCol w:w="630"/>
        <w:gridCol w:w="900"/>
      </w:tblGrid>
      <w:tr w:rsidR="00572068" w:rsidRPr="00A5038F" w14:paraId="47B84319" w14:textId="3CEA0B27" w:rsidTr="00572068">
        <w:trPr>
          <w:trHeight w:val="248"/>
          <w:tblHeader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7B6637" w14:textId="2FA33D6F" w:rsidR="00F56A27" w:rsidRPr="00A5038F" w:rsidRDefault="00F56A27" w:rsidP="00AB7E62">
            <w:pPr>
              <w:spacing w:after="0" w:line="240" w:lineRule="auto"/>
              <w:ind w:left="-964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OrdinalOr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0D23B9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RR Field</w:t>
            </w:r>
          </w:p>
        </w:tc>
        <w:tc>
          <w:tcPr>
            <w:tcW w:w="5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203E94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ERP Field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0DB3D2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76419" w14:textId="1B7263D6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ED27" w14:textId="51CD9E4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IB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0406FDD" w14:textId="02AC80B4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SZ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A9D13" w14:textId="09313810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 Fields</w:t>
            </w:r>
          </w:p>
        </w:tc>
      </w:tr>
      <w:tr w:rsidR="004B2CA3" w:rsidRPr="00A5038F" w14:paraId="77EA565B" w14:textId="2076EAB5" w:rsidTr="00572068">
        <w:trPr>
          <w:trHeight w:val="497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2FEB0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148EE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0726B" w14:textId="514EFAA6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 number from MD04 (see in red)</w:t>
            </w:r>
          </w:p>
          <w:p w14:paraId="7AF7A5A1" w14:textId="594E28F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noProof/>
                <w:color w:val="000000" w:themeColor="text1"/>
              </w:rPr>
              <w:drawing>
                <wp:inline distT="0" distB="0" distL="0" distR="0" wp14:anchorId="78675189" wp14:editId="24AD6495">
                  <wp:extent cx="2638425" cy="843280"/>
                  <wp:effectExtent l="19050" t="19050" r="28575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987" cy="854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9A1A29" w14:textId="48DDE242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8CFB6" w14:textId="26697D16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0F585E" w14:textId="0FACA3E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6D18348C" w14:textId="60AF0C54" w:rsidR="004B2CA3" w:rsidRPr="00A5038F" w:rsidRDefault="004B2CA3" w:rsidP="00AB7E62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7138E1CF" w14:textId="77777777" w:rsidR="004B2CA3" w:rsidRPr="00A5038F" w:rsidRDefault="004B2CA3" w:rsidP="00AB7E62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/BIC/CN_DELNR</w:t>
            </w:r>
          </w:p>
          <w:p w14:paraId="3678CB02" w14:textId="77777777" w:rsidR="004B2CA3" w:rsidRPr="00A5038F" w:rsidRDefault="004B2CA3" w:rsidP="00AB7E62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59F17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691113F7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0A931CDF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15BD5976" w14:textId="77777777" w:rsidR="004B2CA3" w:rsidRPr="00A5038F" w:rsidRDefault="004B2CA3" w:rsidP="00AB7E62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CRM_FMREID</w:t>
            </w:r>
          </w:p>
          <w:p w14:paraId="42D5AD1B" w14:textId="4E9D7B6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16D72E" w14:textId="09454E33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DELNR</w:t>
            </w:r>
          </w:p>
        </w:tc>
      </w:tr>
      <w:tr w:rsidR="004B2CA3" w:rsidRPr="00A5038F" w14:paraId="503B6E48" w14:textId="4796A306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FDB7D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4431F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SAPOrderType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FC7B8" w14:textId="5DF2834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empty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FD8DF3" w14:textId="03384DD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E1034F" w14:textId="0E1B94A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6CD3F7" w14:textId="4D8DA6F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FAC16" w14:textId="549E739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90075" w14:textId="4AB97088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B2CA3" w:rsidRPr="00A5038F" w14:paraId="5BB02952" w14:textId="28B47040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D80822" w14:textId="0186786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BCC390" w14:textId="7D8DEFF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Order.Type.Value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A74287" w14:textId="31B0D289" w:rsidR="004B2CA3" w:rsidRPr="00A5038F" w:rsidRDefault="004B37B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“DeliveryFoC”/ </w:t>
            </w:r>
            <w:r w:rsidR="004B2CA3"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“Delivery”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01F5F" w14:textId="3EEC541B" w:rsidR="004B2CA3" w:rsidRPr="00A5038F" w:rsidRDefault="004B37B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If MRP element is “VI”, then “DeliveryFoC”. Else, “Delivery”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98BB49" w14:textId="4A0D9A8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FDD64F" w14:textId="4E4BFFB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C457B" w14:textId="5DC431D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42FD46" w14:textId="471EE04E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B2CA3" w:rsidRPr="00A5038F" w14:paraId="7D9D124D" w14:textId="5BCE1833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2932E" w14:textId="400A1A39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D50913" w14:textId="77777777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Order.Customer.ID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E1CE8" w14:textId="1EE217D4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Get Sold-to customer</w:t>
            </w:r>
          </w:p>
          <w:p w14:paraId="5BCA1509" w14:textId="3F4CFAEA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noProof/>
                <w:color w:val="000000" w:themeColor="text1"/>
              </w:rPr>
              <w:drawing>
                <wp:inline distT="0" distB="0" distL="0" distR="0" wp14:anchorId="3BCB2D77" wp14:editId="7D0BB812">
                  <wp:extent cx="2886075" cy="519430"/>
                  <wp:effectExtent l="19050" t="19050" r="28575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157" cy="5252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5F320" w14:textId="62B8E865" w:rsidR="00B2544B" w:rsidRPr="00A5038F" w:rsidRDefault="00F01F7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When blank, take Ship To location (standard MD04)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237C2" w14:textId="76D565D9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5DFF3" w14:textId="34A08091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98AC7" w14:textId="69A87810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350F8" w14:textId="1FFC9695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LIKP-KUNAG</w:t>
            </w:r>
          </w:p>
        </w:tc>
      </w:tr>
      <w:tr w:rsidR="004B2CA3" w:rsidRPr="00A5038F" w14:paraId="2A328F21" w14:textId="6183F36B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40199" w14:textId="63048CF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DF42C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CE831" w14:textId="6AB8565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 from MD04 - WERKS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848015" w14:textId="4BDE24EE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215EE0" w14:textId="2E371B2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BD4CA" w14:textId="083FEAE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35CBB5" w14:textId="43A6B0B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E2B70" w14:textId="25B08D9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WERKS</w:t>
            </w:r>
          </w:p>
        </w:tc>
      </w:tr>
      <w:tr w:rsidR="004B2CA3" w:rsidRPr="00A5038F" w14:paraId="17518A7A" w14:textId="323770D2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A9B53C" w14:textId="4D1A01C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AAD3E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4F378" w14:textId="3CD6084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 from MD04 - WERKS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2D3B87" w14:textId="2022F30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9117B8" w14:textId="13185778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1E1EAE" w14:textId="2E71741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8BF38" w14:textId="10764E5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FEFC6" w14:textId="214C9F52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WERKS</w:t>
            </w:r>
          </w:p>
        </w:tc>
      </w:tr>
      <w:tr w:rsidR="004B2CA3" w:rsidRPr="00A5038F" w14:paraId="39700500" w14:textId="60B14C91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A3B65" w14:textId="1D85C43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559B3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EF0DB" w14:textId="7A0935A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 from MD04 - WERKS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AF0AD" w14:textId="0B636B4D" w:rsidR="004B2CA3" w:rsidRPr="00A5038F" w:rsidRDefault="004B37BC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Map Material field from Part file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C0A88E" w14:textId="27E05CF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317EDC" w14:textId="687D5B7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8E96F" w14:textId="5A5ACDD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D3353D" w14:textId="07EDBA18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MATNR</w:t>
            </w:r>
          </w:p>
        </w:tc>
      </w:tr>
      <w:tr w:rsidR="004B2CA3" w:rsidRPr="00A5038F" w14:paraId="23188139" w14:textId="10C80AF5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C96E9" w14:textId="2D09D203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62E2D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663C3" w14:textId="4E5B628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From MD04 – </w:t>
            </w: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 xml:space="preserve">concatenation </w:t>
            </w: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of item number and schedule line number (see in yellow p.1)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FE33DD" w14:textId="02605CC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B6897" w14:textId="7B61B10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3FA08" w14:textId="2170316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/BIC/CN_DELPS</w:t>
            </w:r>
          </w:p>
          <w:p w14:paraId="4AA40C79" w14:textId="0050FDC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SCHED_LINE</w:t>
            </w:r>
          </w:p>
          <w:p w14:paraId="5C573133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6735FE" w14:textId="758F1B6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REFER_ITM</w:t>
            </w:r>
          </w:p>
          <w:p w14:paraId="4DA0CFEF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SCHED_LINE</w:t>
            </w:r>
          </w:p>
          <w:p w14:paraId="507604DE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906B5" w14:textId="0BDDA0F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DELPS _ DELET</w:t>
            </w:r>
          </w:p>
        </w:tc>
      </w:tr>
      <w:tr w:rsidR="004B2CA3" w:rsidRPr="00A5038F" w14:paraId="399AF7E8" w14:textId="72177263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23CAC" w14:textId="4A532E76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E91F1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Batch.Number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17CFA" w14:textId="22DF33B4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empty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146607" w14:textId="67CF3A62" w:rsidR="00F56A27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36E88" w14:textId="6241173E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847E6" w14:textId="345B1115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  <w:p w14:paraId="7C3152AF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B06DED" w14:textId="0375FB36" w:rsidR="00B2544B" w:rsidRPr="00A5038F" w:rsidRDefault="00B2544B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/BIC/C9_IPMBCH</w:t>
            </w:r>
          </w:p>
          <w:p w14:paraId="08E9578C" w14:textId="77777777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C34B5" w14:textId="6B6B27F8" w:rsidR="00F56A27" w:rsidRPr="00A5038F" w:rsidRDefault="00F56A27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CHARG</w:t>
            </w:r>
          </w:p>
        </w:tc>
      </w:tr>
      <w:tr w:rsidR="004B2CA3" w:rsidRPr="00A5038F" w14:paraId="44AD5434" w14:textId="5E6DF932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53F33" w14:textId="263952B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638AD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OrderPriority.Value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94B0C" w14:textId="76CD3076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Set in Talend</w:t>
            </w:r>
            <w:r w:rsidR="002D5D5D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 to “Med”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F0CB20" w14:textId="76725505" w:rsidR="004B2CA3" w:rsidRPr="00A5038F" w:rsidRDefault="002D5D5D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“Med”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EE1DF" w14:textId="6401C9E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4914B" w14:textId="2DA254A5" w:rsidR="004B2CA3" w:rsidRPr="00A5038F" w:rsidRDefault="002D5D5D" w:rsidP="002D5D5D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A1305" w14:textId="72C18D63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DE7C1" w14:textId="0659F3A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AB7E62" w:rsidRPr="00A5038F" w14:paraId="68DCA479" w14:textId="6789DD01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436F7" w14:textId="17DB1B3B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D8709" w14:textId="77777777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UnitSellingPrice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2DED" w14:textId="13FFB212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“0”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58A5C7" w14:textId="01D29D2F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B1EEB9" w14:textId="2B02B4BE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A596CC" w14:textId="166C6E1A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B3CC7" w14:textId="58C8AB9E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F06A3F" w14:textId="256CB3E0" w:rsidR="00AB7E62" w:rsidRPr="00A5038F" w:rsidRDefault="00AB7E62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B2CA3" w:rsidRPr="00A5038F" w14:paraId="09866C35" w14:textId="6E617309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9EA659" w14:textId="6D50946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08FDB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B9136" w14:textId="535F28A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Requirement Date from MD04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E977C" w14:textId="6D0AB1F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19006" w14:textId="3DDDCCF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4E92B6" w14:textId="54C3713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/BIC/CH_DAT00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231964" w14:textId="0F202F0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color w:val="000000" w:themeColor="text1"/>
                <w:sz w:val="18"/>
                <w:szCs w:val="18"/>
              </w:rPr>
              <w:t>/BIC/C9_I</w:t>
            </w:r>
            <w:r w:rsidRPr="00A5038F">
              <w:rPr>
                <w:color w:val="000000" w:themeColor="text1"/>
                <w:sz w:val="18"/>
                <w:szCs w:val="18"/>
              </w:rPr>
              <w:lastRenderedPageBreak/>
              <w:t>DAT00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6FFE1" w14:textId="6CE376C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lastRenderedPageBreak/>
              <w:t>DAT00</w:t>
            </w:r>
          </w:p>
        </w:tc>
      </w:tr>
      <w:tr w:rsidR="004B2CA3" w:rsidRPr="00A5038F" w14:paraId="35CF9AAD" w14:textId="163E1DEA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1DFFC" w14:textId="211CE75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A78E6" w14:textId="04A7F09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RequestDate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CEBCA" w14:textId="39C52A0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The same as above - Requirement Date from MD04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9E953A" w14:textId="52FFD64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9C325" w14:textId="010CF8D3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379357" w14:textId="4C90499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/BIC/CH_DAT00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39E86" w14:textId="7DD17A68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color w:val="000000" w:themeColor="text1"/>
                <w:sz w:val="18"/>
                <w:szCs w:val="18"/>
              </w:rPr>
              <w:t>/BIC/C9_IDAT00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0E4AC9" w14:textId="49B0DD0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DAT00</w:t>
            </w:r>
          </w:p>
        </w:tc>
      </w:tr>
      <w:tr w:rsidR="004B2CA3" w:rsidRPr="00A5038F" w14:paraId="255D8EFC" w14:textId="417657B9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DCB422" w14:textId="270021F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F754D7" w14:textId="5856BC9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7EA9CC" w14:textId="128DC63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From MD04 - Reqmts qty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4F451" w14:textId="3BCC88BC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97C7D" w14:textId="69B2690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E1B5A" w14:textId="20F1776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298A1" w14:textId="24511E1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02BA5" w14:textId="6982CA2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MNG01</w:t>
            </w:r>
          </w:p>
        </w:tc>
      </w:tr>
      <w:tr w:rsidR="004B2CA3" w:rsidRPr="00A5038F" w14:paraId="059125AF" w14:textId="58D73B16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F329E7" w14:textId="68FFF774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9B76C2" w14:textId="43C387BA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UnitOfMeasure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27C36B" w14:textId="361DE9C1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Base unit of measure - </w:t>
            </w: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MEINH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80E2FE" w14:textId="7A1B9A8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07895E" w14:textId="3D2A01A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C3D86" w14:textId="51E088B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8B63D2" w14:textId="47E3987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02A278" w14:textId="4B02CEA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B2CA3" w:rsidRPr="00A5038F" w14:paraId="49E58548" w14:textId="7E5090A9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CCEC1" w14:textId="48BEE81E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48972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Status.Value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65715E" w14:textId="7285B615" w:rsidR="004B2CA3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"Open"</w:t>
            </w:r>
            <w:r w:rsidR="00372C3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, when the stocktype is “E” and </w:t>
            </w:r>
            <w:r w:rsidR="00C23ACD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VRFKZ</w:t>
            </w:r>
            <w:r w:rsidR="00372C3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 field is not empty or when the storage location is planning relevant.</w:t>
            </w:r>
          </w:p>
          <w:p w14:paraId="787978BA" w14:textId="4EE6AB78" w:rsidR="0005187C" w:rsidRPr="005E016C" w:rsidRDefault="0005187C" w:rsidP="005E016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  <w:r w:rsidRPr="005E016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When Storage Location (LGORT) is not relevant for planning as per Location Tab, change to “</w:t>
            </w:r>
            <w:r w:rsidRPr="005E016C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val="en-GB" w:eastAsia="en-GB"/>
              </w:rPr>
              <w:t>Open_noMRP</w:t>
            </w:r>
            <w:r w:rsidRPr="005E016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”</w:t>
            </w:r>
            <w:r w:rsidR="005E016C" w:rsidRPr="005E016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.  Also change to “Open_noMRP” when the If the part/plant/customer matches a SubcoPart record on part/plant/vendor</w:t>
            </w:r>
            <w:r w:rsidR="00C23A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  <w:t>. “Open_noMRP” , also when PLANR and VRFKZ fields are empty</w:t>
            </w:r>
          </w:p>
          <w:p w14:paraId="5388618B" w14:textId="77777777" w:rsidR="008B21BE" w:rsidRPr="005E016C" w:rsidRDefault="008B21BE" w:rsidP="005E016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GB"/>
              </w:rPr>
            </w:pPr>
          </w:p>
          <w:p w14:paraId="3212EFC2" w14:textId="77777777" w:rsidR="008B21BE" w:rsidRPr="002A280E" w:rsidRDefault="008B21BE" w:rsidP="008B21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Use the Site Forecast Consumption table, lookup the forecast consumption type by site</w:t>
            </w:r>
          </w:p>
          <w:p w14:paraId="1B84AC49" w14:textId="77777777" w:rsidR="008B21BE" w:rsidRPr="002A280E" w:rsidRDefault="008B21BE" w:rsidP="008B21B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When ForecastConsumptionType is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not relevant for forecast consumption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then 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add _noMRP to status value</w:t>
            </w:r>
          </w:p>
          <w:p w14:paraId="4BD238F2" w14:textId="77777777" w:rsidR="008B21BE" w:rsidRPr="002A280E" w:rsidRDefault="008B21BE" w:rsidP="008B21B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This change only applies to records coming from MD04 records</w:t>
            </w:r>
          </w:p>
          <w:p w14:paraId="5ADF803E" w14:textId="77777777" w:rsidR="008B21BE" w:rsidRPr="002A280E" w:rsidRDefault="008B21BE" w:rsidP="008B21B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Otherwise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, check the allocation Indicator field</w:t>
            </w:r>
          </w:p>
          <w:p w14:paraId="4B47ACAE" w14:textId="77777777" w:rsidR="008B21BE" w:rsidRPr="002A280E" w:rsidRDefault="008B21BE" w:rsidP="008B21BE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If that is blank, status = open_noConsume </w:t>
            </w:r>
          </w:p>
          <w:p w14:paraId="17B8671B" w14:textId="77777777" w:rsidR="008B21BE" w:rsidRPr="002A280E" w:rsidRDefault="008B21BE" w:rsidP="008B21BE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Otherwise no change</w:t>
            </w:r>
          </w:p>
          <w:p w14:paraId="4CE9B141" w14:textId="67196018" w:rsidR="008B21BE" w:rsidRPr="00A5038F" w:rsidRDefault="008B21BE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41F875" w14:textId="1039C0FE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1FF11" w14:textId="5D6FA10F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6E6FD" w14:textId="2DEAAC6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40317" w14:textId="015E12C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CAA0BF" w14:textId="45BF058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4B2CA3" w:rsidRPr="00A5038F" w14:paraId="16C900D1" w14:textId="5D0257A5" w:rsidTr="00572068">
        <w:trPr>
          <w:trHeight w:val="4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3700C3" w14:textId="44D7F188" w:rsidR="004B2CA3" w:rsidRPr="00A5038F" w:rsidRDefault="0005187C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4F802" w14:textId="77777777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MinimumShelfLife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B1CEC" w14:textId="313DB692" w:rsidR="004B2CA3" w:rsidRPr="00A5038F" w:rsidRDefault="0005187C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A16C6A" w14:textId="12AD7870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C03D0" w14:textId="20086305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n/a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31516" w14:textId="1EE4BAEB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FCD6B" w14:textId="110369E9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92FAE" w14:textId="4C43927D" w:rsidR="004B2CA3" w:rsidRPr="00A5038F" w:rsidRDefault="004B2CA3" w:rsidP="00AB7E62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05187C" w:rsidRPr="00A5038F" w14:paraId="42E785B3" w14:textId="77777777" w:rsidTr="00572068">
        <w:trPr>
          <w:trHeight w:val="4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3474FE" w14:textId="7AA797C4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78F0F8" w14:textId="0A762AE6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ShippedQuantity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C11283" w14:textId="0010FCFD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0232E" w14:textId="1CBF1309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24B4B" w14:textId="4DDCE221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F3CD6" w14:textId="1AF30477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A740" w14:textId="04CCA73B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FCFE" w14:textId="439C4914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05187C" w:rsidRPr="00A5038F" w14:paraId="16D48992" w14:textId="77777777" w:rsidTr="00572068">
        <w:trPr>
          <w:trHeight w:val="4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5BCD" w14:textId="72587439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374E1" w14:textId="466F912A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Route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C7B86C" w14:textId="26C614B5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AFB87" w14:textId="694A03ED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019EC" w14:textId="2DDBDE56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F4F33" w14:textId="77FF1BE0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E108C" w14:textId="3A383EC0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DAD78" w14:textId="5DAC5676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05187C" w:rsidRPr="00A5038F" w14:paraId="30F9B7FE" w14:textId="77777777" w:rsidTr="00572068">
        <w:trPr>
          <w:trHeight w:val="4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362F21" w14:textId="4120C5CF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BAD143" w14:textId="21516FF7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ShippingPoint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FAF418" w14:textId="18153056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32732" w14:textId="57859C20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360FB" w14:textId="66ED549E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C89BF" w14:textId="10DD47A1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5D5B4C" w14:textId="1ACC2E0F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45691" w14:textId="377DD0AC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05187C" w:rsidRPr="00A5038F" w14:paraId="23655D2E" w14:textId="77777777" w:rsidTr="00572068">
        <w:trPr>
          <w:trHeight w:val="4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E87EFD" w14:textId="4C41216F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5C87BB" w14:textId="79AC7CD5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05187C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ItemCategory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CFBFEA" w14:textId="7FEC066A" w:rsidR="0005187C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24994" w14:textId="3BC34939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D76DF" w14:textId="39D42743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64D7B" w14:textId="1411AAA8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76D47" w14:textId="260FB4EA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837E7" w14:textId="70BB2E39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8B7225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05187C" w:rsidRPr="00A5038F" w14:paraId="4F54E6B1" w14:textId="4EB327F0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BB4425" w14:textId="30EFFD16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3219F4" w14:textId="1352D090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NVS.StLoc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E48260" w14:textId="47910405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Take from MD04</w:t>
            </w:r>
          </w:p>
          <w:p w14:paraId="21540258" w14:textId="59FFAE3F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noProof/>
                <w:color w:val="000000" w:themeColor="text1"/>
              </w:rPr>
              <w:drawing>
                <wp:inline distT="0" distB="0" distL="0" distR="0" wp14:anchorId="3A3D66E7" wp14:editId="36E4461D">
                  <wp:extent cx="2400300" cy="605788"/>
                  <wp:effectExtent l="19050" t="19050" r="19050" b="234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6" cy="622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A8FAA" w14:textId="26E128BC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064780" w14:textId="6CBB2A72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Might be used to identify nettable location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1ABB4" w14:textId="18B3055B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E6225" w14:textId="47EA88F2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C29368" w14:textId="5A58003E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101068" w14:textId="219F851E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LGORT</w:t>
            </w:r>
          </w:p>
        </w:tc>
      </w:tr>
      <w:tr w:rsidR="0005187C" w:rsidRPr="00A5038F" w14:paraId="3693AE90" w14:textId="77777777" w:rsidTr="00572068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B8DFD3" w14:textId="4E44B4ED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6FA288" w14:textId="0576FC48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NVS.AllocInd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BAFF10" w14:textId="6F8684FE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Might be used for forecast consumption definition in RR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09D6" w14:textId="67BB7FBB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FE4EDA" w14:textId="5C09A926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6F2D7" w14:textId="485EDF2C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/BIC/CH_ZUVKZ</w:t>
            </w:r>
          </w:p>
          <w:p w14:paraId="11013302" w14:textId="77777777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CC2DA" w14:textId="64FBF5AB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CONSU_FLAG</w:t>
            </w:r>
          </w:p>
          <w:p w14:paraId="48D6851C" w14:textId="77777777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3E1A0" w14:textId="74C1C604" w:rsidR="0005187C" w:rsidRPr="00A5038F" w:rsidRDefault="0005187C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VPZUO</w:t>
            </w:r>
          </w:p>
        </w:tc>
      </w:tr>
      <w:tr w:rsidR="00372C35" w:rsidRPr="00A5038F" w14:paraId="3D88BC37" w14:textId="77777777" w:rsidTr="004B37BC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76D434" w14:textId="47C18C6D" w:rsidR="00372C35" w:rsidRPr="00A5038F" w:rsidRDefault="00C23ACD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B7B9D0" w14:textId="4F8EE9F4" w:rsidR="00372C35" w:rsidRPr="00A5038F" w:rsidRDefault="00C23ACD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SourceSystem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60421F" w14:textId="5310924E" w:rsidR="00372C35" w:rsidRPr="00A5038F" w:rsidRDefault="00C23ACD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Long form Source system value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D565C6" w14:textId="38E8D128" w:rsidR="00372C35" w:rsidRPr="00A5038F" w:rsidRDefault="00C23ACD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Source system value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E0D7D" w14:textId="7323710A" w:rsidR="00372C35" w:rsidRPr="00A5038F" w:rsidRDefault="00D72EF2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81C80" w14:textId="1B1D9B34" w:rsidR="00372C35" w:rsidRPr="00A5038F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7A14CC" w14:textId="469544D4" w:rsidR="00372C35" w:rsidRPr="00A5038F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C95B9" w14:textId="771E177F" w:rsidR="00372C35" w:rsidRPr="00A5038F" w:rsidRDefault="00906262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906262" w:rsidRPr="00A5038F" w14:paraId="557310B9" w14:textId="77777777" w:rsidTr="004B37BC">
        <w:trPr>
          <w:trHeight w:val="24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9ACA8D" w14:textId="712F7384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593DD2" w14:textId="0632CA86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06262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NVS_GoodIssuedDate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A5566B" w14:textId="67BF25EA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10906" w14:textId="4B3711A5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F404AC" w14:textId="02972663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41719" w14:textId="0896ABD5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06262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GI_DATE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6E10A" w14:textId="57DA8F82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06262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GI_DATE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416FF" w14:textId="4A6D11D8" w:rsidR="00906262" w:rsidRDefault="00906262" w:rsidP="0005187C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906262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GI_DATE</w:t>
            </w:r>
          </w:p>
        </w:tc>
      </w:tr>
    </w:tbl>
    <w:p w14:paraId="7D534C82" w14:textId="7FAB0F68" w:rsidR="00D616C0" w:rsidRDefault="00D616C0" w:rsidP="004B2CA3">
      <w:pPr>
        <w:rPr>
          <w:b/>
          <w:color w:val="000000" w:themeColor="text1"/>
        </w:rPr>
      </w:pPr>
    </w:p>
    <w:p w14:paraId="6D19E603" w14:textId="77777777" w:rsidR="00D616C0" w:rsidRDefault="00D616C0" w:rsidP="00D616C0">
      <w:pPr>
        <w:ind w:left="-709"/>
        <w:rPr>
          <w:b/>
          <w:color w:val="000000" w:themeColor="text1"/>
        </w:rPr>
      </w:pPr>
      <w:r>
        <w:rPr>
          <w:b/>
          <w:color w:val="000000" w:themeColor="text1"/>
        </w:rPr>
        <w:t>Reverse Consumption for ForecastDetail:</w:t>
      </w:r>
    </w:p>
    <w:p w14:paraId="1599FAED" w14:textId="77777777" w:rsidR="00D616C0" w:rsidRDefault="00D616C0" w:rsidP="00D616C0">
      <w:pPr>
        <w:ind w:left="-709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ab/>
        <w:t>A data file with following target fields is created in Delivery job as an intermediate data file, which is further used in Forecast Details job.</w:t>
      </w:r>
    </w:p>
    <w:p w14:paraId="4F3C170F" w14:textId="77777777" w:rsidR="00D616C0" w:rsidRDefault="00D616C0" w:rsidP="00D616C0">
      <w:pPr>
        <w:ind w:left="-709"/>
        <w:rPr>
          <w:b/>
          <w:color w:val="000000" w:themeColor="text1"/>
        </w:rPr>
      </w:pPr>
      <w:r>
        <w:rPr>
          <w:b/>
          <w:color w:val="000000" w:themeColor="text1"/>
        </w:rPr>
        <w:tab/>
        <w:t>Only the data of forecast consumption type “HybridCT” are extracted with their Debit/Credit Indicator value as “S”.</w:t>
      </w:r>
    </w:p>
    <w:p w14:paraId="4F4D86CB" w14:textId="77777777" w:rsidR="00D616C0" w:rsidRPr="00A5038F" w:rsidRDefault="00D616C0" w:rsidP="00D616C0">
      <w:pPr>
        <w:ind w:left="-709"/>
        <w:rPr>
          <w:b/>
          <w:color w:val="000000" w:themeColor="text1"/>
        </w:rPr>
      </w:pPr>
    </w:p>
    <w:tbl>
      <w:tblPr>
        <w:tblW w:w="1006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2884"/>
        <w:gridCol w:w="1548"/>
        <w:gridCol w:w="1350"/>
        <w:gridCol w:w="1440"/>
        <w:gridCol w:w="2070"/>
      </w:tblGrid>
      <w:tr w:rsidR="00D616C0" w:rsidRPr="00A5038F" w14:paraId="2D4D657C" w14:textId="77777777" w:rsidTr="00572068">
        <w:trPr>
          <w:trHeight w:val="255"/>
          <w:tblHeader/>
        </w:trPr>
        <w:tc>
          <w:tcPr>
            <w:tcW w:w="777" w:type="dxa"/>
            <w:shd w:val="clear" w:color="auto" w:fill="BFBFBF" w:themeFill="background1" w:themeFillShade="BF"/>
            <w:noWrap/>
            <w:vAlign w:val="center"/>
            <w:hideMark/>
          </w:tcPr>
          <w:p w14:paraId="6C390C9C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Ordinal</w:t>
            </w:r>
          </w:p>
        </w:tc>
        <w:tc>
          <w:tcPr>
            <w:tcW w:w="2884" w:type="dxa"/>
            <w:shd w:val="clear" w:color="auto" w:fill="BFBFBF" w:themeFill="background1" w:themeFillShade="BF"/>
            <w:noWrap/>
            <w:vAlign w:val="center"/>
            <w:hideMark/>
          </w:tcPr>
          <w:p w14:paraId="63A5A7F8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Target</w:t>
            </w: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 xml:space="preserve"> Field</w:t>
            </w:r>
          </w:p>
        </w:tc>
        <w:tc>
          <w:tcPr>
            <w:tcW w:w="1548" w:type="dxa"/>
            <w:shd w:val="clear" w:color="auto" w:fill="BFBFBF" w:themeFill="background1" w:themeFillShade="BF"/>
            <w:noWrap/>
            <w:vAlign w:val="center"/>
            <w:hideMark/>
          </w:tcPr>
          <w:p w14:paraId="6529B320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ERP Field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0BC9D142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IBI Field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586D8367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SZ Field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7C56E99F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Comments</w:t>
            </w:r>
          </w:p>
        </w:tc>
      </w:tr>
      <w:tr w:rsidR="00D616C0" w:rsidRPr="001E4443" w14:paraId="434872D1" w14:textId="77777777" w:rsidTr="00572068">
        <w:trPr>
          <w:trHeight w:val="510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0D3B0F1B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2DBF361B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 xml:space="preserve">Id 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1B8B8599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“RevConsum”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291059D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091395F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070" w:type="dxa"/>
            <w:shd w:val="clear" w:color="auto" w:fill="FFFFFF" w:themeFill="background1"/>
          </w:tcPr>
          <w:p w14:paraId="7E52A31C" w14:textId="77777777" w:rsidR="00D616C0" w:rsidRPr="001E4443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D616C0" w:rsidRPr="00A5038F" w14:paraId="34314EBF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4D698954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64C62757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Header.Category.Value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20E02DEB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“CTFcst”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34E46C5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CFDC875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070" w:type="dxa"/>
            <w:shd w:val="clear" w:color="auto" w:fill="FFFFFF" w:themeFill="background1"/>
          </w:tcPr>
          <w:p w14:paraId="2F0028FD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D616C0" w:rsidRPr="00A5038F" w14:paraId="32D468E6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62A6D13F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34B65240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Header.PartCustomer.Part.Name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517E3E76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MSEG-MATNR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32F0D34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F1A8A02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682D7452" w14:textId="77777777" w:rsidR="00D616C0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D616C0" w:rsidRPr="00A5038F" w14:paraId="3E6B1083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19C903BE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4FA14EBD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Header.PartCustomer.Part.Site.Value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7A5683C5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MSEG-WERKS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40A17F9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2468B96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070" w:type="dxa"/>
            <w:shd w:val="clear" w:color="auto" w:fill="FFFFFF" w:themeFill="background1"/>
          </w:tcPr>
          <w:p w14:paraId="1765FB6C" w14:textId="77777777" w:rsidR="00D616C0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D616C0" w:rsidRPr="00A5038F" w14:paraId="5334FC91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2C6546DC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445C3486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Header.PartCustomer.CustomerID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2057C0EA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MSEG-WERKS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1908861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0CCD3FF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2070" w:type="dxa"/>
            <w:shd w:val="clear" w:color="auto" w:fill="FFFFFF" w:themeFill="background1"/>
          </w:tcPr>
          <w:p w14:paraId="4CEDA08C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Concatenate “CT” with WERKS</w:t>
            </w:r>
          </w:p>
        </w:tc>
      </w:tr>
      <w:tr w:rsidR="00D616C0" w:rsidRPr="00A5038F" w14:paraId="0A834B02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32CA2696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10370F27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Date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2B4D09A9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MSEG-BUDAT_MKPF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5785E9A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5D21B5A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PSTNG_DATE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58702AA1" w14:textId="77777777" w:rsidR="00D616C0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  <w:p w14:paraId="622041A5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D616C0" w:rsidRPr="00A5038F" w14:paraId="3E2F50E6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69E14D10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035647A4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2007167A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MSEG-MENGE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AF60D21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C62776A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A5038F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QUANT_B</w:t>
            </w:r>
          </w:p>
        </w:tc>
        <w:tc>
          <w:tcPr>
            <w:tcW w:w="2070" w:type="dxa"/>
            <w:shd w:val="clear" w:color="auto" w:fill="FFFFFF" w:themeFill="background1"/>
          </w:tcPr>
          <w:p w14:paraId="488C01D6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D616C0" w:rsidRPr="00A5038F" w14:paraId="41CF674C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383F5F72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723D74B9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Header.PartCustomer.DemandType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3AB3D505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de-CH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“FcstPEP”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FFFE561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0F756F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070" w:type="dxa"/>
            <w:shd w:val="clear" w:color="auto" w:fill="FFFFFF" w:themeFill="background1"/>
          </w:tcPr>
          <w:p w14:paraId="6718E9D4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“FcstPEP”</w:t>
            </w:r>
          </w:p>
        </w:tc>
      </w:tr>
      <w:tr w:rsidR="00D616C0" w:rsidRPr="00A5038F" w14:paraId="665AB3F1" w14:textId="77777777" w:rsidTr="00572068">
        <w:trPr>
          <w:trHeight w:val="255"/>
        </w:trPr>
        <w:tc>
          <w:tcPr>
            <w:tcW w:w="777" w:type="dxa"/>
            <w:shd w:val="clear" w:color="auto" w:fill="FFFFFF" w:themeFill="background1"/>
            <w:noWrap/>
            <w:vAlign w:val="center"/>
          </w:tcPr>
          <w:p w14:paraId="4CBA9D0F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84" w:type="dxa"/>
            <w:shd w:val="clear" w:color="auto" w:fill="FFFFFF" w:themeFill="background1"/>
            <w:noWrap/>
            <w:vAlign w:val="center"/>
          </w:tcPr>
          <w:p w14:paraId="2E28291C" w14:textId="77777777" w:rsidR="00D616C0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SourceSystem</w:t>
            </w:r>
          </w:p>
        </w:tc>
        <w:tc>
          <w:tcPr>
            <w:tcW w:w="1548" w:type="dxa"/>
            <w:shd w:val="clear" w:color="auto" w:fill="FFFFFF" w:themeFill="background1"/>
            <w:noWrap/>
            <w:vAlign w:val="center"/>
          </w:tcPr>
          <w:p w14:paraId="55BDD6C9" w14:textId="53A98905" w:rsidR="00D616C0" w:rsidRPr="00A5038F" w:rsidRDefault="00906262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de-CH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de-CH" w:eastAsia="en-GB"/>
              </w:rPr>
              <w:t>NA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EE5BF06" w14:textId="28EE08A5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refer comments section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EDE397E" w14:textId="32E2039E" w:rsidR="00D616C0" w:rsidRPr="00A5038F" w:rsidRDefault="00D616C0" w:rsidP="00572068">
            <w:pPr>
              <w:spacing w:after="0" w:line="240" w:lineRule="auto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refer comments section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2E50A1C4" w14:textId="77777777" w:rsidR="00D616C0" w:rsidRPr="00A5038F" w:rsidRDefault="00D616C0" w:rsidP="0057206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Long form Source system value</w:t>
            </w:r>
          </w:p>
        </w:tc>
      </w:tr>
    </w:tbl>
    <w:p w14:paraId="607B1678" w14:textId="77777777" w:rsidR="00D616C0" w:rsidRPr="00A5038F" w:rsidRDefault="00D616C0" w:rsidP="004B2CA3">
      <w:pPr>
        <w:rPr>
          <w:b/>
          <w:color w:val="000000" w:themeColor="text1"/>
        </w:rPr>
      </w:pPr>
    </w:p>
    <w:p w14:paraId="3FF9096D" w14:textId="77777777" w:rsidR="00C93843" w:rsidRPr="00A5038F" w:rsidRDefault="00C93843">
      <w:pPr>
        <w:rPr>
          <w:b/>
        </w:rPr>
      </w:pPr>
    </w:p>
    <w:sectPr w:rsidR="00C93843" w:rsidRPr="00A5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96DFD" w14:textId="77777777" w:rsidR="0040439F" w:rsidRDefault="0040439F" w:rsidP="00536751">
      <w:pPr>
        <w:spacing w:after="0" w:line="240" w:lineRule="auto"/>
      </w:pPr>
      <w:r>
        <w:separator/>
      </w:r>
    </w:p>
  </w:endnote>
  <w:endnote w:type="continuationSeparator" w:id="0">
    <w:p w14:paraId="6788417F" w14:textId="77777777" w:rsidR="0040439F" w:rsidRDefault="0040439F" w:rsidP="0053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F8B4A" w14:textId="77777777" w:rsidR="0040439F" w:rsidRDefault="0040439F" w:rsidP="00536751">
      <w:pPr>
        <w:spacing w:after="0" w:line="240" w:lineRule="auto"/>
      </w:pPr>
      <w:r>
        <w:separator/>
      </w:r>
    </w:p>
  </w:footnote>
  <w:footnote w:type="continuationSeparator" w:id="0">
    <w:p w14:paraId="0B30FE25" w14:textId="77777777" w:rsidR="0040439F" w:rsidRDefault="0040439F" w:rsidP="0053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1794"/>
    <w:multiLevelType w:val="hybridMultilevel"/>
    <w:tmpl w:val="DB2CE7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47D5"/>
    <w:multiLevelType w:val="hybridMultilevel"/>
    <w:tmpl w:val="A2528EF0"/>
    <w:lvl w:ilvl="0" w:tplc="282C7DDA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50DB"/>
    <w:multiLevelType w:val="hybridMultilevel"/>
    <w:tmpl w:val="52BE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CH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97"/>
    <w:rsid w:val="00015830"/>
    <w:rsid w:val="00030F9E"/>
    <w:rsid w:val="0005187C"/>
    <w:rsid w:val="00070042"/>
    <w:rsid w:val="0008544D"/>
    <w:rsid w:val="00090EE9"/>
    <w:rsid w:val="000E1588"/>
    <w:rsid w:val="00112672"/>
    <w:rsid w:val="00125D31"/>
    <w:rsid w:val="00126ADA"/>
    <w:rsid w:val="00175164"/>
    <w:rsid w:val="001760AB"/>
    <w:rsid w:val="001A4247"/>
    <w:rsid w:val="001C4D39"/>
    <w:rsid w:val="001C58EB"/>
    <w:rsid w:val="001D49BB"/>
    <w:rsid w:val="001E000F"/>
    <w:rsid w:val="00213A16"/>
    <w:rsid w:val="00244D00"/>
    <w:rsid w:val="00276280"/>
    <w:rsid w:val="002965C6"/>
    <w:rsid w:val="002A090C"/>
    <w:rsid w:val="002B0276"/>
    <w:rsid w:val="002C166E"/>
    <w:rsid w:val="002D5D5D"/>
    <w:rsid w:val="002E3A79"/>
    <w:rsid w:val="00325FE6"/>
    <w:rsid w:val="00372C35"/>
    <w:rsid w:val="00391C22"/>
    <w:rsid w:val="003B36D1"/>
    <w:rsid w:val="003B4009"/>
    <w:rsid w:val="003C1E14"/>
    <w:rsid w:val="003D5774"/>
    <w:rsid w:val="003D7475"/>
    <w:rsid w:val="0040439F"/>
    <w:rsid w:val="00451A97"/>
    <w:rsid w:val="00455F4C"/>
    <w:rsid w:val="00470C15"/>
    <w:rsid w:val="004B2CA3"/>
    <w:rsid w:val="004B37BC"/>
    <w:rsid w:val="004B6923"/>
    <w:rsid w:val="004B6B9A"/>
    <w:rsid w:val="005041BC"/>
    <w:rsid w:val="00514DA6"/>
    <w:rsid w:val="00536751"/>
    <w:rsid w:val="00565F8C"/>
    <w:rsid w:val="00572068"/>
    <w:rsid w:val="0059665B"/>
    <w:rsid w:val="005E016C"/>
    <w:rsid w:val="006019F9"/>
    <w:rsid w:val="00604215"/>
    <w:rsid w:val="006231FB"/>
    <w:rsid w:val="006343AB"/>
    <w:rsid w:val="00696DE1"/>
    <w:rsid w:val="006C2451"/>
    <w:rsid w:val="0070769E"/>
    <w:rsid w:val="0072335C"/>
    <w:rsid w:val="0079520A"/>
    <w:rsid w:val="00795D73"/>
    <w:rsid w:val="007B2A6A"/>
    <w:rsid w:val="007B5BEE"/>
    <w:rsid w:val="007B6D0C"/>
    <w:rsid w:val="007B7173"/>
    <w:rsid w:val="007D43F3"/>
    <w:rsid w:val="007F27FF"/>
    <w:rsid w:val="00845BDF"/>
    <w:rsid w:val="00845C3C"/>
    <w:rsid w:val="00873733"/>
    <w:rsid w:val="00897C17"/>
    <w:rsid w:val="008A0868"/>
    <w:rsid w:val="008B21BE"/>
    <w:rsid w:val="008E3027"/>
    <w:rsid w:val="008E72C1"/>
    <w:rsid w:val="00906262"/>
    <w:rsid w:val="00915655"/>
    <w:rsid w:val="00923122"/>
    <w:rsid w:val="009437A1"/>
    <w:rsid w:val="00943D3F"/>
    <w:rsid w:val="00956AF0"/>
    <w:rsid w:val="00964805"/>
    <w:rsid w:val="009812ED"/>
    <w:rsid w:val="009842D6"/>
    <w:rsid w:val="00990535"/>
    <w:rsid w:val="009A34CB"/>
    <w:rsid w:val="009F7FC9"/>
    <w:rsid w:val="00A5038F"/>
    <w:rsid w:val="00AB19ED"/>
    <w:rsid w:val="00AB355D"/>
    <w:rsid w:val="00AB7E62"/>
    <w:rsid w:val="00B2544B"/>
    <w:rsid w:val="00B3142B"/>
    <w:rsid w:val="00B47531"/>
    <w:rsid w:val="00BA3F6B"/>
    <w:rsid w:val="00BA7757"/>
    <w:rsid w:val="00BB15EC"/>
    <w:rsid w:val="00BB361C"/>
    <w:rsid w:val="00BC54A3"/>
    <w:rsid w:val="00BF128B"/>
    <w:rsid w:val="00BF33DA"/>
    <w:rsid w:val="00C000AE"/>
    <w:rsid w:val="00C146D8"/>
    <w:rsid w:val="00C21284"/>
    <w:rsid w:val="00C23ACD"/>
    <w:rsid w:val="00C7699B"/>
    <w:rsid w:val="00C93843"/>
    <w:rsid w:val="00CC361A"/>
    <w:rsid w:val="00D11039"/>
    <w:rsid w:val="00D52F34"/>
    <w:rsid w:val="00D616C0"/>
    <w:rsid w:val="00D72EF2"/>
    <w:rsid w:val="00D84D76"/>
    <w:rsid w:val="00DB21E2"/>
    <w:rsid w:val="00DD1193"/>
    <w:rsid w:val="00DD3173"/>
    <w:rsid w:val="00DE4825"/>
    <w:rsid w:val="00DE5C2C"/>
    <w:rsid w:val="00DF346F"/>
    <w:rsid w:val="00DF6219"/>
    <w:rsid w:val="00E00769"/>
    <w:rsid w:val="00E20AC7"/>
    <w:rsid w:val="00E211CC"/>
    <w:rsid w:val="00E647D0"/>
    <w:rsid w:val="00E75732"/>
    <w:rsid w:val="00E80AB2"/>
    <w:rsid w:val="00E80B01"/>
    <w:rsid w:val="00E85ED6"/>
    <w:rsid w:val="00E9603D"/>
    <w:rsid w:val="00EC25ED"/>
    <w:rsid w:val="00ED713D"/>
    <w:rsid w:val="00EF4D06"/>
    <w:rsid w:val="00EF796E"/>
    <w:rsid w:val="00F01F7B"/>
    <w:rsid w:val="00F07217"/>
    <w:rsid w:val="00F26CB3"/>
    <w:rsid w:val="00F30F5B"/>
    <w:rsid w:val="00F375A1"/>
    <w:rsid w:val="00F56A27"/>
    <w:rsid w:val="00F71B79"/>
    <w:rsid w:val="00FB75BA"/>
    <w:rsid w:val="00FB7732"/>
    <w:rsid w:val="00FF1CA7"/>
    <w:rsid w:val="00FF5009"/>
    <w:rsid w:val="334B8759"/>
    <w:rsid w:val="4961E026"/>
    <w:rsid w:val="54F6462B"/>
    <w:rsid w:val="7AB7D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880B"/>
  <w15:chartTrackingRefBased/>
  <w15:docId w15:val="{02866AB1-E381-440D-82E3-9315006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90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2A09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45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BC8C7742D684D97332663C8A8C575" ma:contentTypeVersion="11" ma:contentTypeDescription="Create a new document." ma:contentTypeScope="" ma:versionID="093d8b84f2eff3a7434c93b38fcebec5">
  <xsd:schema xmlns:xsd="http://www.w3.org/2001/XMLSchema" xmlns:xs="http://www.w3.org/2001/XMLSchema" xmlns:p="http://schemas.microsoft.com/office/2006/metadata/properties" xmlns:ns3="4d71ec69-8159-474e-bb30-4af0e26a2c3e" xmlns:ns4="1be67320-f3c0-4bd2-a61a-3e055a65ba7c" targetNamespace="http://schemas.microsoft.com/office/2006/metadata/properties" ma:root="true" ma:fieldsID="4bfdc4521d0e593aa0fd280581be8ace" ns3:_="" ns4:_="">
    <xsd:import namespace="4d71ec69-8159-474e-bb30-4af0e26a2c3e"/>
    <xsd:import namespace="1be67320-f3c0-4bd2-a61a-3e055a65b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ec69-8159-474e-bb30-4af0e26a2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7320-f3c0-4bd2-a61a-3e055a65b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C0614-0CC7-4911-B917-E84C71CDD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ec69-8159-474e-bb30-4af0e26a2c3e"/>
    <ds:schemaRef ds:uri="1be67320-f3c0-4bd2-a61a-3e055a65b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D7153-3EDF-4A39-8818-B45FCCF3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B3988-3C73-4B7B-BB63-B7EB861FC0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Trifone, Stefano (Ext)</dc:creator>
  <cp:keywords/>
  <dc:description/>
  <cp:lastModifiedBy>Nandi, Avijit (Cognizant)</cp:lastModifiedBy>
  <cp:revision>4</cp:revision>
  <dcterms:created xsi:type="dcterms:W3CDTF">2021-04-09T08:48:00Z</dcterms:created>
  <dcterms:modified xsi:type="dcterms:W3CDTF">2021-04-14T11:51:00Z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ity">
    <vt:lpwstr>Business Use Only</vt:lpwstr>
  </property>
  <property fmtid="{D5CDD505-2E9C-101B-9397-08002B2CF9AE}" pid="3" name="ContentTypeId">
    <vt:lpwstr>0x010100821BC8C7742D684D97332663C8A8C575</vt:lpwstr>
  </property>
  <property fmtid="{D5CDD505-2E9C-101B-9397-08002B2CF9AE}" pid="4" name="MSIP_Label_4929bff8-5b33-42aa-95d2-28f72e792cb0_Enabled">
    <vt:lpwstr>true</vt:lpwstr>
  </property>
  <property fmtid="{D5CDD505-2E9C-101B-9397-08002B2CF9AE}" pid="5" name="MSIP_Label_4929bff8-5b33-42aa-95d2-28f72e792cb0_SetDate">
    <vt:lpwstr>2021-04-09T08:46:47Z</vt:lpwstr>
  </property>
  <property fmtid="{D5CDD505-2E9C-101B-9397-08002B2CF9AE}" pid="6" name="MSIP_Label_4929bff8-5b33-42aa-95d2-28f72e792cb0_Method">
    <vt:lpwstr>Standard</vt:lpwstr>
  </property>
  <property fmtid="{D5CDD505-2E9C-101B-9397-08002B2CF9AE}" pid="7" name="MSIP_Label_4929bff8-5b33-42aa-95d2-28f72e792cb0_Name">
    <vt:lpwstr>Internal</vt:lpwstr>
  </property>
  <property fmtid="{D5CDD505-2E9C-101B-9397-08002B2CF9AE}" pid="8" name="MSIP_Label_4929bff8-5b33-42aa-95d2-28f72e792cb0_SiteId">
    <vt:lpwstr>f35a6974-607f-47d4-82d7-ff31d7dc53a5</vt:lpwstr>
  </property>
  <property fmtid="{D5CDD505-2E9C-101B-9397-08002B2CF9AE}" pid="9" name="MSIP_Label_4929bff8-5b33-42aa-95d2-28f72e792cb0_ActionId">
    <vt:lpwstr>9fa553e1-e8d6-4731-bfc0-7b5e2e11b47d</vt:lpwstr>
  </property>
  <property fmtid="{D5CDD505-2E9C-101B-9397-08002B2CF9AE}" pid="10" name="MSIP_Label_4929bff8-5b33-42aa-95d2-28f72e792cb0_ContentBits">
    <vt:lpwstr>0</vt:lpwstr>
  </property>
</Properties>
</file>