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DB59" w14:textId="77777777" w:rsidR="00231E8B" w:rsidRDefault="00231E8B" w:rsidP="00231E8B">
      <w:pPr>
        <w:spacing w:line="480" w:lineRule="auto"/>
        <w:jc w:val="center"/>
      </w:pPr>
      <w:r>
        <w:t>Design Decisions</w:t>
      </w:r>
    </w:p>
    <w:p w14:paraId="58E6DF17" w14:textId="568ED6E9" w:rsidR="00231E8B" w:rsidRDefault="00231E8B" w:rsidP="00231E8B">
      <w:pPr>
        <w:spacing w:line="480" w:lineRule="auto"/>
      </w:pPr>
      <w:r>
        <w:t>For my final project, I</w:t>
      </w:r>
      <w:r w:rsidR="00E059CD">
        <w:t xml:space="preserve"> loosely</w:t>
      </w:r>
      <w:r>
        <w:t xml:space="preserve"> recreated Alexej von Jawlensky’s 1900 painting Still Life with Bottles and Fruit as a simplified 3D scene (Jawlensky, 1900). I chose this image because its main objects could be broken into basic geometric shapes while still giving me enough variety to demonstrate modeling, texturing, lighting, and camera controls. I focused on the overall arrangement and recognizable parts of the composition rather than trying to reproduce every detail. The final scene includes two bottles, a plate, four pieces of fruit, a cork, and a tabletop.</w:t>
      </w:r>
    </w:p>
    <w:p w14:paraId="2C0955A4" w14:textId="77777777" w:rsidR="00231E8B" w:rsidRDefault="00231E8B" w:rsidP="00231E8B">
      <w:pPr>
        <w:spacing w:line="480" w:lineRule="auto"/>
      </w:pPr>
      <w:r>
        <w:t>I built the objects from low-polygon primitive meshes. The amber bottle is the most complex object because it combines a cylinder for the body, a tapered cylinder for the shoulder, and cylinders for the neck and cork. The blue bottle uses cylinders for its body and neck. The fruit uses spheres, the plate uses a flattened cylinder, and the tabletop uses a plane. I adjusted the scale and position of each primitive separately to keep the arrangement close to the source image, with the amber bottle near the center, the blue bottle to the right, and the plate and fruit toward the left and foreground.</w:t>
      </w:r>
    </w:p>
    <w:p w14:paraId="7D2737B6" w14:textId="77777777" w:rsidR="00231E8B" w:rsidRDefault="00231E8B" w:rsidP="00231E8B">
      <w:pPr>
        <w:spacing w:line="480" w:lineRule="auto"/>
      </w:pPr>
      <w:r>
        <w:t>Textures add detail to the simple geometry. Separate textures were applied to the wood, bottles, cork, plate, and fruit, with UV scaling adjusted where needed. I also created materials so the different surfaces react differently to light. The bottles use stronger specular properties than the wood or cork because they should appear more reflective. Two light sources use ambient, diffuse, and specular components to illuminate the scene from different directions. The lighting required some trial and error because values that worked well for one object could make another appear too bright or too dark.</w:t>
      </w:r>
    </w:p>
    <w:p w14:paraId="649137BA" w14:textId="77777777" w:rsidR="00231E8B" w:rsidRDefault="00231E8B" w:rsidP="00231E8B">
      <w:pPr>
        <w:spacing w:line="480" w:lineRule="auto"/>
      </w:pPr>
      <w:r>
        <w:lastRenderedPageBreak/>
        <w:t>The camera controls let the user explore the scene from different positions and angles. W and S move forward and backward, A and D move left and right, and Q and E provide vertical movement. Mouse movement changes pitch and yaw so the user can look around without changing the camera’s location. The scroll wheel adjusts movement speed for finer or faster navigation. Keyboard controls also switch between perspective and orthographic projection, allowing the same scene to be viewed in either a normal 3D perspective or a flatter orthographic view while keeping the camera orientation consistent.</w:t>
      </w:r>
    </w:p>
    <w:p w14:paraId="3213C917" w14:textId="77777777" w:rsidR="00231E8B" w:rsidRDefault="00231E8B" w:rsidP="00231E8B">
      <w:pPr>
        <w:spacing w:line="480" w:lineRule="auto"/>
      </w:pPr>
      <w:r>
        <w:t>I kept the program organized by separating major responsibilities into functions. LoadSceneTextures() handles the image files used for object surfaces, DefineObjectMaterials() stores material properties, SetupSceneLights() contains the lighting settings, and PrepareScene() brings the required resources together before rendering. In RenderScene(), each object is created by setting its transformations, texture, UV scale, and material before drawing the appropriate mesh. Helper functions such as SetTransformations(), SetShaderTexture(), SetTextureUVScale(), and SetShaderMaterial() reduce repeated code and make the same operations reusable across multiple objects.</w:t>
      </w:r>
    </w:p>
    <w:p w14:paraId="3C164E1F" w14:textId="77777777" w:rsidR="00231E8B" w:rsidRDefault="00231E8B" w:rsidP="00231E8B">
      <w:pPr>
        <w:spacing w:line="480" w:lineRule="auto"/>
      </w:pPr>
      <w:r>
        <w:t>This modular structure also made troubleshooting easier. I could adjust an object’s position without changing the lighting or texture-loading code, and I could tune material or light values without changing the geometry. Building the scene in smaller pieces through the course milestones helped me test changes individually and correct problems before adding more complexity. Overall, the project uses simple geometry and reusable code to create a recognizable version of the original still life while demonstrating the OpenGL techniques developed throughout the course.</w:t>
      </w:r>
    </w:p>
    <w:p w14:paraId="314EAF43" w14:textId="77777777" w:rsidR="00231E8B" w:rsidRDefault="00231E8B" w:rsidP="00231E8B">
      <w:pPr>
        <w:spacing w:line="480" w:lineRule="auto"/>
      </w:pPr>
    </w:p>
    <w:p w14:paraId="3EBFE223" w14:textId="77777777" w:rsidR="00231E8B" w:rsidRDefault="00231E8B" w:rsidP="00231E8B">
      <w:pPr>
        <w:spacing w:line="480" w:lineRule="auto"/>
      </w:pPr>
      <w:r>
        <w:lastRenderedPageBreak/>
        <w:t>References</w:t>
      </w:r>
    </w:p>
    <w:p w14:paraId="12409084" w14:textId="6253419D" w:rsidR="00BC4F6B" w:rsidRDefault="00231E8B" w:rsidP="00231E8B">
      <w:pPr>
        <w:spacing w:line="480" w:lineRule="auto"/>
      </w:pPr>
      <w:r>
        <w:t>Jawlensky, A. von. (1900). Still life with bottles and fruit [Painting]. National Gallery of Art. https://www.nga.gov/artworks/130841-still-life-bottles-and-fruit</w:t>
      </w:r>
    </w:p>
    <w:sectPr w:rsidR="00BC4F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E0"/>
    <w:rsid w:val="00231E8B"/>
    <w:rsid w:val="00BC4F6B"/>
    <w:rsid w:val="00C42998"/>
    <w:rsid w:val="00D07595"/>
    <w:rsid w:val="00D90EE0"/>
    <w:rsid w:val="00E05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56C4"/>
  <w15:chartTrackingRefBased/>
  <w15:docId w15:val="{6CBF6F9E-444C-4D04-BEC1-A1B5363F0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E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E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0E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0E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0E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0E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0E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E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E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0E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0E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0E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0E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0E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E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0EE0"/>
    <w:pPr>
      <w:spacing w:before="160"/>
      <w:jc w:val="center"/>
    </w:pPr>
    <w:rPr>
      <w:i/>
      <w:iCs/>
      <w:color w:val="404040" w:themeColor="text1" w:themeTint="BF"/>
    </w:rPr>
  </w:style>
  <w:style w:type="character" w:customStyle="1" w:styleId="QuoteChar">
    <w:name w:val="Quote Char"/>
    <w:basedOn w:val="DefaultParagraphFont"/>
    <w:link w:val="Quote"/>
    <w:uiPriority w:val="29"/>
    <w:rsid w:val="00D90EE0"/>
    <w:rPr>
      <w:i/>
      <w:iCs/>
      <w:color w:val="404040" w:themeColor="text1" w:themeTint="BF"/>
    </w:rPr>
  </w:style>
  <w:style w:type="paragraph" w:styleId="ListParagraph">
    <w:name w:val="List Paragraph"/>
    <w:basedOn w:val="Normal"/>
    <w:uiPriority w:val="34"/>
    <w:qFormat/>
    <w:rsid w:val="00D90EE0"/>
    <w:pPr>
      <w:ind w:left="720"/>
      <w:contextualSpacing/>
    </w:pPr>
  </w:style>
  <w:style w:type="character" w:styleId="IntenseEmphasis">
    <w:name w:val="Intense Emphasis"/>
    <w:basedOn w:val="DefaultParagraphFont"/>
    <w:uiPriority w:val="21"/>
    <w:qFormat/>
    <w:rsid w:val="00D90EE0"/>
    <w:rPr>
      <w:i/>
      <w:iCs/>
      <w:color w:val="0F4761" w:themeColor="accent1" w:themeShade="BF"/>
    </w:rPr>
  </w:style>
  <w:style w:type="paragraph" w:styleId="IntenseQuote">
    <w:name w:val="Intense Quote"/>
    <w:basedOn w:val="Normal"/>
    <w:next w:val="Normal"/>
    <w:link w:val="IntenseQuoteChar"/>
    <w:uiPriority w:val="30"/>
    <w:qFormat/>
    <w:rsid w:val="00D9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EE0"/>
    <w:rPr>
      <w:i/>
      <w:iCs/>
      <w:color w:val="0F4761" w:themeColor="accent1" w:themeShade="BF"/>
    </w:rPr>
  </w:style>
  <w:style w:type="character" w:styleId="IntenseReference">
    <w:name w:val="Intense Reference"/>
    <w:basedOn w:val="DefaultParagraphFont"/>
    <w:uiPriority w:val="32"/>
    <w:qFormat/>
    <w:rsid w:val="00D90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Deacy</dc:creator>
  <cp:keywords/>
  <dc:description/>
  <cp:lastModifiedBy>🅱️ryan Deacy</cp:lastModifiedBy>
  <cp:revision>3</cp:revision>
  <dcterms:created xsi:type="dcterms:W3CDTF">2026-10-18T15:23:00Z</dcterms:created>
  <dcterms:modified xsi:type="dcterms:W3CDTF">2026-10-18T15:29:00Z</dcterms:modified>
</cp:coreProperties>
</file>