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1F4E79"/>
          <w:sz w:val="40"/>
        </w:rPr>
        <w:t>Media Preparation Vessel Mixing Evaluation</w:t>
      </w:r>
    </w:p>
    <w:p>
      <w:pPr>
        <w:spacing w:before="0" w:after="160"/>
      </w:pPr>
      <w:r>
        <w:rPr>
          <w:rFonts w:ascii="Calibri" w:hAnsi="Calibri"/>
          <w:b w:val="0"/>
          <w:color w:val="5B6770"/>
          <w:sz w:val="20"/>
        </w:rPr>
        <w:t>Preliminary agitator-system option evaluation and recommended basis of design</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1F4E79"/>
          </w:tcPr>
          <w:p>
            <w:pPr>
              <w:spacing w:before="40" w:after="40"/>
            </w:pPr>
            <w:r/>
            <w:r>
              <w:rPr>
                <w:rFonts w:ascii="Calibri" w:hAnsi="Calibri"/>
                <w:b/>
                <w:color w:val="FFFFFF"/>
                <w:sz w:val="18"/>
              </w:rPr>
              <w:t>Industry</w:t>
            </w:r>
          </w:p>
        </w:tc>
        <w:tc>
          <w:tcPr>
            <w:tcW w:type="dxa" w:w="2556"/>
            <w:shd w:val="clear" w:color="auto" w:fill="1F4E79"/>
          </w:tcPr>
          <w:p>
            <w:pPr>
              <w:spacing w:before="40" w:after="40"/>
            </w:pPr>
            <w:r/>
            <w:r>
              <w:rPr>
                <w:rFonts w:ascii="Calibri" w:hAnsi="Calibri"/>
                <w:b/>
                <w:color w:val="FFFFFF"/>
                <w:sz w:val="18"/>
              </w:rPr>
              <w:t>Host system</w:t>
            </w:r>
          </w:p>
        </w:tc>
        <w:tc>
          <w:tcPr>
            <w:tcW w:type="dxa" w:w="2556"/>
            <w:shd w:val="clear" w:color="auto" w:fill="1F4E79"/>
          </w:tcPr>
          <w:p>
            <w:pPr>
              <w:spacing w:before="40" w:after="40"/>
            </w:pPr>
            <w:r/>
            <w:r>
              <w:rPr>
                <w:rFonts w:ascii="Calibri" w:hAnsi="Calibri"/>
                <w:b/>
                <w:color w:val="FFFFFF"/>
                <w:sz w:val="18"/>
              </w:rPr>
              <w:t>Validated DIR code</w:t>
            </w:r>
          </w:p>
        </w:tc>
        <w:tc>
          <w:tcPr>
            <w:tcW w:type="dxa" w:w="2556"/>
            <w:shd w:val="clear" w:color="auto" w:fill="1F4E79"/>
          </w:tcPr>
          <w:p>
            <w:pPr>
              <w:spacing w:before="40" w:after="40"/>
            </w:pPr>
            <w:r/>
            <w:r>
              <w:rPr>
                <w:rFonts w:ascii="Calibri" w:hAnsi="Calibri"/>
                <w:b/>
                <w:color w:val="FFFFFF"/>
                <w:sz w:val="18"/>
              </w:rPr>
              <w:t>Working volume</w:t>
            </w:r>
          </w:p>
        </w:tc>
      </w:tr>
      <w:tr>
        <w:tc>
          <w:tcPr>
            <w:tcW w:type="dxa" w:w="2556"/>
          </w:tcPr>
          <w:p>
            <w:pPr>
              <w:spacing w:before="40" w:after="40"/>
            </w:pPr>
            <w:r/>
            <w:r>
              <w:rPr>
                <w:rFonts w:ascii="Calibri" w:hAnsi="Calibri"/>
                <w:b w:val="0"/>
                <w:color w:val="222222"/>
                <w:sz w:val="18"/>
              </w:rPr>
              <w:t>Biopharmaceutical &amp; Biologics</w:t>
            </w:r>
          </w:p>
        </w:tc>
        <w:tc>
          <w:tcPr>
            <w:tcW w:type="dxa" w:w="2556"/>
          </w:tcPr>
          <w:p>
            <w:pPr>
              <w:spacing w:before="40" w:after="40"/>
            </w:pPr>
            <w:r/>
            <w:r>
              <w:rPr>
                <w:rFonts w:ascii="Calibri" w:hAnsi="Calibri"/>
                <w:b w:val="0"/>
                <w:color w:val="222222"/>
                <w:sz w:val="18"/>
              </w:rPr>
              <w:t>Media Preparation Vessel / hygienic solution preparation vessel</w:t>
            </w:r>
          </w:p>
        </w:tc>
        <w:tc>
          <w:tcPr>
            <w:tcW w:type="dxa" w:w="2556"/>
          </w:tcPr>
          <w:p>
            <w:pPr>
              <w:spacing w:before="40" w:after="40"/>
            </w:pPr>
            <w:r/>
            <w:r>
              <w:rPr>
                <w:rFonts w:ascii="Calibri" w:hAnsi="Calibri"/>
                <w:b w:val="0"/>
                <w:color w:val="222222"/>
                <w:sz w:val="18"/>
              </w:rPr>
              <w:t>3-3-3-3-3-2-3</w:t>
            </w:r>
          </w:p>
        </w:tc>
        <w:tc>
          <w:tcPr>
            <w:tcW w:type="dxa" w:w="2556"/>
          </w:tcPr>
          <w:p>
            <w:pPr>
              <w:spacing w:before="40" w:after="40"/>
            </w:pPr>
            <w:r/>
            <w:r>
              <w:rPr>
                <w:rFonts w:ascii="Calibri" w:hAnsi="Calibri"/>
                <w:b w:val="0"/>
                <w:color w:val="222222"/>
                <w:sz w:val="18"/>
              </w:rPr>
              <w:t>2,000–10,000 L</w:t>
            </w:r>
          </w:p>
        </w:tc>
      </w:tr>
    </w:tbl>
    <w:tbl>
      <w:tblPr>
        <w:tblStyle w:val="TableGrid"/>
        <w:tblW w:type="auto" w:w="0"/>
        <w:tblLook w:firstColumn="1" w:firstRow="1" w:lastColumn="0" w:lastRow="0" w:noHBand="0" w:noVBand="1" w:val="04A0"/>
      </w:tblPr>
      <w:tblGrid>
        <w:gridCol w:w="5112"/>
        <w:gridCol w:w="5112"/>
      </w:tblGrid>
      <w:tr>
        <w:tc>
          <w:tcPr>
            <w:tcW w:type="dxa" w:w="5112"/>
            <w:shd w:val="clear" w:color="auto" w:fill="E8EFF7"/>
            <w:shd w:val="clear" w:color="auto" w:fill="E8EFF7"/>
          </w:tcPr>
          <w:p>
            <w:pPr>
              <w:spacing w:before="40" w:after="40"/>
            </w:pPr>
            <w:r>
              <w:rPr>
                <w:rFonts w:ascii="Calibri" w:hAnsi="Calibri"/>
                <w:b/>
                <w:color w:val="1F4E79"/>
                <w:sz w:val="18"/>
              </w:rPr>
            </w:r>
            <w:r>
              <w:rPr>
                <w:rFonts w:ascii="Calibri" w:hAnsi="Calibri"/>
                <w:b w:val="0"/>
                <w:color w:val="222222"/>
                <w:sz w:val="18"/>
              </w:rPr>
              <w:t>Validated DIR: 3-3-3-3-3-2-3</w:t>
            </w:r>
          </w:p>
        </w:tc>
        <w:tc>
          <w:tcPr>
            <w:tcW w:type="dxa" w:w="5112"/>
            <w:shd w:val="clear" w:color="auto" w:fill="E8EFF7"/>
            <w:shd w:val="clear" w:color="auto" w:fill="E8EFF7"/>
          </w:tcPr>
          <w:p>
            <w:pPr>
              <w:spacing w:before="40" w:after="40"/>
            </w:pPr>
            <w:r>
              <w:rPr>
                <w:rFonts w:ascii="Calibri" w:hAnsi="Calibri"/>
                <w:b/>
                <w:color w:val="1F4E79"/>
                <w:sz w:val="18"/>
              </w:rPr>
            </w:r>
            <w:r>
              <w:rPr>
                <w:rFonts w:ascii="Calibri" w:hAnsi="Calibri"/>
                <w:b w:val="0"/>
                <w:color w:val="222222"/>
                <w:sz w:val="18"/>
              </w:rPr>
              <w:t>Application assumption: biopharmaceutical</w:t>
            </w:r>
          </w:p>
        </w:tc>
      </w:tr>
    </w:tbl>
    <w:p/>
    <w:tbl>
      <w:tblPr>
        <w:tblStyle w:val="TableGrid"/>
        <w:tblW w:type="auto" w:w="0"/>
        <w:tblLook w:firstColumn="1" w:firstRow="1" w:lastColumn="0" w:lastRow="0" w:noHBand="0" w:noVBand="1" w:val="04A0"/>
      </w:tblPr>
      <w:tblGrid>
        <w:gridCol w:w="10224"/>
      </w:tblGrid>
      <w:tr>
        <w:tc>
          <w:tcPr>
            <w:tcW w:type="dxa" w:w="10224"/>
            <w:shd w:val="clear" w:color="auto" w:fill="E8EFF7"/>
            <w:shd w:val="clear" w:color="auto" w:fill="E8EFF7"/>
          </w:tcPr>
          <w:p>
            <w:pPr>
              <w:spacing w:before="40" w:after="40"/>
            </w:pPr>
            <w:r>
              <w:rPr>
                <w:rFonts w:ascii="Calibri" w:hAnsi="Calibri"/>
                <w:b/>
                <w:color w:val="1F4E79"/>
                <w:sz w:val="18"/>
              </w:rPr>
            </w:r>
            <w:r>
              <w:rPr>
                <w:rFonts w:ascii="Calibri" w:hAnsi="Calibri"/>
                <w:b w:val="0"/>
                <w:color w:val="222222"/>
                <w:sz w:val="18"/>
              </w:rPr>
              <w:t>Recommendation in one line</w:t>
            </w:r>
          </w:p>
        </w:tc>
      </w:tr>
      <w:tr>
        <w:tc>
          <w:tcPr>
            <w:tcW w:type="dxa" w:w="10224"/>
            <w:shd w:val="clear" w:color="auto" w:fill="E8EFF7"/>
            <w:shd w:val="clear" w:color="auto" w:fill="E8EFF7"/>
          </w:tcPr>
          <w:p>
            <w:pPr>
              <w:spacing w:before="40" w:after="40"/>
            </w:pPr>
            <w:r/>
            <w:r>
              <w:rPr>
                <w:rFonts w:ascii="Calibri" w:hAnsi="Calibri"/>
                <w:b w:val="0"/>
                <w:color w:val="222222"/>
                <w:sz w:val="18"/>
              </w:rPr>
              <w:t>Develop a variable-speed hygienic top-entry agitator with staged down-pumping axial-flow hydrofoils, hygienic baffles or validated off-center swirl control, and controlled closed powder addition.</w:t>
            </w:r>
          </w:p>
        </w:tc>
      </w:tr>
    </w:tbl>
    <w:p/>
    <w:p>
      <w:pPr>
        <w:spacing w:before="240" w:after="80"/>
      </w:pPr>
      <w:r>
        <w:rPr>
          <w:rFonts w:ascii="Calibri" w:hAnsi="Calibri"/>
          <w:b/>
          <w:color w:val="1F4E79"/>
          <w:sz w:val="26"/>
        </w:rPr>
        <w:t>1. Design basis from DIR code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shd w:val="clear" w:color="auto" w:fill="1F4E79"/>
          </w:tcPr>
          <w:p>
            <w:pPr>
              <w:spacing w:before="40" w:after="40"/>
            </w:pPr>
            <w:r/>
            <w:r>
              <w:rPr>
                <w:rFonts w:ascii="Calibri" w:hAnsi="Calibri"/>
                <w:b/>
                <w:color w:val="FFFFFF"/>
                <w:sz w:val="18"/>
              </w:rPr>
              <w:t>DIR requirement</w:t>
            </w:r>
          </w:p>
        </w:tc>
        <w:tc>
          <w:tcPr>
            <w:tcW w:type="dxa" w:w="3408"/>
            <w:shd w:val="clear" w:color="auto" w:fill="1F4E79"/>
          </w:tcPr>
          <w:p>
            <w:pPr>
              <w:spacing w:before="40" w:after="40"/>
            </w:pPr>
            <w:r/>
            <w:r>
              <w:rPr>
                <w:rFonts w:ascii="Calibri" w:hAnsi="Calibri"/>
                <w:b/>
                <w:color w:val="FFFFFF"/>
                <w:sz w:val="18"/>
              </w:rPr>
              <w:t>Selected basis</w:t>
            </w:r>
          </w:p>
        </w:tc>
        <w:tc>
          <w:tcPr>
            <w:tcW w:type="dxa" w:w="3408"/>
            <w:shd w:val="clear" w:color="auto" w:fill="1F4E79"/>
          </w:tcPr>
          <w:p>
            <w:pPr>
              <w:spacing w:before="40" w:after="40"/>
            </w:pPr>
            <w:r/>
            <w:r>
              <w:rPr>
                <w:rFonts w:ascii="Calibri" w:hAnsi="Calibri"/>
                <w:b/>
                <w:color w:val="FFFFFF"/>
                <w:sz w:val="18"/>
              </w:rPr>
              <w:t>Mixing-system implication</w:t>
            </w:r>
          </w:p>
        </w:tc>
      </w:tr>
      <w:tr>
        <w:tc>
          <w:tcPr>
            <w:tcW w:type="dxa" w:w="3408"/>
          </w:tcPr>
          <w:p>
            <w:pPr>
              <w:spacing w:before="40" w:after="40"/>
            </w:pPr>
            <w:r/>
            <w:r>
              <w:rPr>
                <w:rFonts w:ascii="Calibri" w:hAnsi="Calibri"/>
                <w:b w:val="0"/>
                <w:color w:val="222222"/>
                <w:sz w:val="18"/>
              </w:rPr>
              <w:t>Working volume and geometry</w:t>
            </w:r>
          </w:p>
        </w:tc>
        <w:tc>
          <w:tcPr>
            <w:tcW w:type="dxa" w:w="3408"/>
          </w:tcPr>
          <w:p>
            <w:pPr>
              <w:spacing w:before="40" w:after="40"/>
            </w:pPr>
            <w:r/>
            <w:r>
              <w:rPr>
                <w:rFonts w:ascii="Calibri" w:hAnsi="Calibri"/>
                <w:b w:val="0"/>
                <w:color w:val="222222"/>
                <w:sz w:val="18"/>
              </w:rPr>
              <w:t>2,000–10,000 L; liquid H/D approximately 1.5:1 to 2:1</w:t>
            </w:r>
          </w:p>
        </w:tc>
        <w:tc>
          <w:tcPr>
            <w:tcW w:type="dxa" w:w="3408"/>
          </w:tcPr>
          <w:p>
            <w:pPr>
              <w:spacing w:before="40" w:after="40"/>
            </w:pPr>
            <w:r/>
            <w:r>
              <w:rPr>
                <w:rFonts w:ascii="Calibri" w:hAnsi="Calibri"/>
                <w:b w:val="0"/>
                <w:color w:val="222222"/>
                <w:sz w:val="18"/>
              </w:rPr>
              <w:t>Tall geometry likely requires multiple impeller stages and explicit minimum-level review.</w:t>
            </w:r>
          </w:p>
        </w:tc>
      </w:tr>
      <w:tr>
        <w:tc>
          <w:tcPr>
            <w:tcW w:type="dxa" w:w="3408"/>
            <w:shd w:val="clear" w:color="auto" w:fill="F5F8FC"/>
          </w:tcPr>
          <w:p>
            <w:pPr>
              <w:spacing w:before="40" w:after="40"/>
            </w:pPr>
            <w:r/>
            <w:r>
              <w:rPr>
                <w:rFonts w:ascii="Calibri" w:hAnsi="Calibri"/>
                <w:b w:val="0"/>
                <w:color w:val="222222"/>
                <w:sz w:val="18"/>
              </w:rPr>
              <w:t>Media phase and powder loading</w:t>
            </w:r>
          </w:p>
        </w:tc>
        <w:tc>
          <w:tcPr>
            <w:tcW w:type="dxa" w:w="3408"/>
            <w:shd w:val="clear" w:color="auto" w:fill="F5F8FC"/>
          </w:tcPr>
          <w:p>
            <w:pPr>
              <w:spacing w:before="40" w:after="40"/>
            </w:pPr>
            <w:r/>
            <w:r>
              <w:rPr>
                <w:rFonts w:ascii="Calibri" w:hAnsi="Calibri"/>
                <w:b w:val="0"/>
                <w:color w:val="222222"/>
                <w:sz w:val="18"/>
              </w:rPr>
              <w:t>50–150 kg/m³; floating, rafting, clumping, or slow-dissolving ingredients</w:t>
            </w:r>
          </w:p>
        </w:tc>
        <w:tc>
          <w:tcPr>
            <w:tcW w:type="dxa" w:w="3408"/>
            <w:shd w:val="clear" w:color="auto" w:fill="F5F8FC"/>
          </w:tcPr>
          <w:p>
            <w:pPr>
              <w:spacing w:before="40" w:after="40"/>
            </w:pPr>
            <w:r/>
            <w:r>
              <w:rPr>
                <w:rFonts w:ascii="Calibri" w:hAnsi="Calibri"/>
                <w:b w:val="0"/>
                <w:color w:val="222222"/>
                <w:sz w:val="18"/>
              </w:rPr>
              <w:t>Powder wet-out and transient solids suspension control the design rather than simple liquid blending.</w:t>
            </w:r>
          </w:p>
        </w:tc>
      </w:tr>
      <w:tr>
        <w:tc>
          <w:tcPr>
            <w:tcW w:type="dxa" w:w="3408"/>
          </w:tcPr>
          <w:p>
            <w:pPr>
              <w:spacing w:before="40" w:after="40"/>
            </w:pPr>
            <w:r/>
            <w:r>
              <w:rPr>
                <w:rFonts w:ascii="Calibri" w:hAnsi="Calibri"/>
                <w:b w:val="0"/>
                <w:color w:val="222222"/>
                <w:sz w:val="18"/>
              </w:rPr>
              <w:t>Mixing duty and endpoint</w:t>
            </w:r>
          </w:p>
        </w:tc>
        <w:tc>
          <w:tcPr>
            <w:tcW w:type="dxa" w:w="3408"/>
          </w:tcPr>
          <w:p>
            <w:pPr>
              <w:spacing w:before="40" w:after="40"/>
            </w:pPr>
            <w:r/>
            <w:r>
              <w:rPr>
                <w:rFonts w:ascii="Calibri" w:hAnsi="Calibri"/>
                <w:b w:val="0"/>
                <w:color w:val="222222"/>
                <w:sz w:val="18"/>
              </w:rPr>
              <w:t>Rapid incorporation and difficult dissolution; ±2% uniformity within 15 minutes</w:t>
            </w:r>
          </w:p>
        </w:tc>
        <w:tc>
          <w:tcPr>
            <w:tcW w:type="dxa" w:w="3408"/>
          </w:tcPr>
          <w:p>
            <w:pPr>
              <w:spacing w:before="40" w:after="40"/>
            </w:pPr>
            <w:r/>
            <w:r>
              <w:rPr>
                <w:rFonts w:ascii="Calibri" w:hAnsi="Calibri"/>
                <w:b w:val="0"/>
                <w:color w:val="222222"/>
                <w:sz w:val="18"/>
              </w:rPr>
              <w:t>Requires high circulation with a defined analytical endpoint and representative scale testing.</w:t>
            </w:r>
          </w:p>
        </w:tc>
      </w:tr>
      <w:tr>
        <w:tc>
          <w:tcPr>
            <w:tcW w:type="dxa" w:w="3408"/>
            <w:shd w:val="clear" w:color="auto" w:fill="F5F8FC"/>
          </w:tcPr>
          <w:p>
            <w:pPr>
              <w:spacing w:before="40" w:after="40"/>
            </w:pPr>
            <w:r/>
            <w:r>
              <w:rPr>
                <w:rFonts w:ascii="Calibri" w:hAnsi="Calibri"/>
                <w:b w:val="0"/>
                <w:color w:val="222222"/>
                <w:sz w:val="18"/>
              </w:rPr>
              <w:t>Shear, aeration, and foam</w:t>
            </w:r>
          </w:p>
        </w:tc>
        <w:tc>
          <w:tcPr>
            <w:tcW w:type="dxa" w:w="3408"/>
            <w:shd w:val="clear" w:color="auto" w:fill="F5F8FC"/>
          </w:tcPr>
          <w:p>
            <w:pPr>
              <w:spacing w:before="40" w:after="40"/>
            </w:pPr>
            <w:r/>
            <w:r>
              <w:rPr>
                <w:rFonts w:ascii="Calibri" w:hAnsi="Calibri"/>
                <w:b w:val="0"/>
                <w:color w:val="222222"/>
                <w:sz w:val="18"/>
              </w:rPr>
              <w:t>High sensitivity; low shear and strict bubble/foam control</w:t>
            </w:r>
          </w:p>
        </w:tc>
        <w:tc>
          <w:tcPr>
            <w:tcW w:type="dxa" w:w="3408"/>
            <w:shd w:val="clear" w:color="auto" w:fill="F5F8FC"/>
          </w:tcPr>
          <w:p>
            <w:pPr>
              <w:spacing w:before="40" w:after="40"/>
            </w:pPr>
            <w:r/>
            <w:r>
              <w:rPr>
                <w:rFonts w:ascii="Calibri" w:hAnsi="Calibri"/>
                <w:b w:val="0"/>
                <w:color w:val="222222"/>
                <w:sz w:val="18"/>
              </w:rPr>
              <w:t>Favor efficient axial pumping, submerged operation, controlled feed, and vortex suppression.</w:t>
            </w:r>
          </w:p>
        </w:tc>
      </w:tr>
      <w:tr>
        <w:tc>
          <w:tcPr>
            <w:tcW w:type="dxa" w:w="3408"/>
          </w:tcPr>
          <w:p>
            <w:pPr>
              <w:spacing w:before="40" w:after="40"/>
            </w:pPr>
            <w:r/>
            <w:r>
              <w:rPr>
                <w:rFonts w:ascii="Calibri" w:hAnsi="Calibri"/>
                <w:b w:val="0"/>
                <w:color w:val="222222"/>
                <w:sz w:val="18"/>
              </w:rPr>
              <w:t>Temperature and pressure</w:t>
            </w:r>
          </w:p>
        </w:tc>
        <w:tc>
          <w:tcPr>
            <w:tcW w:type="dxa" w:w="3408"/>
          </w:tcPr>
          <w:p>
            <w:pPr>
              <w:spacing w:before="40" w:after="40"/>
            </w:pPr>
            <w:r/>
            <w:r>
              <w:rPr>
                <w:rFonts w:ascii="Calibri" w:hAnsi="Calibri"/>
                <w:b w:val="0"/>
                <w:color w:val="222222"/>
                <w:sz w:val="18"/>
              </w:rPr>
              <w:t>2–80 °C; pressure and full-vacuum vessel</w:t>
            </w:r>
          </w:p>
        </w:tc>
        <w:tc>
          <w:tcPr>
            <w:tcW w:type="dxa" w:w="3408"/>
          </w:tcPr>
          <w:p>
            <w:pPr>
              <w:spacing w:before="40" w:after="40"/>
            </w:pPr>
            <w:r/>
            <w:r>
              <w:rPr>
                <w:rFonts w:ascii="Calibri" w:hAnsi="Calibri"/>
                <w:b w:val="0"/>
                <w:color w:val="222222"/>
                <w:sz w:val="18"/>
              </w:rPr>
              <w:t>Mixer, seal, nozzle, and shaft design must cover the numerical pressure/vacuum cycles and temperature-dependent properties.</w:t>
            </w:r>
          </w:p>
        </w:tc>
      </w:tr>
      <w:tr>
        <w:tc>
          <w:tcPr>
            <w:tcW w:type="dxa" w:w="3408"/>
            <w:shd w:val="clear" w:color="auto" w:fill="F5F8FC"/>
          </w:tcPr>
          <w:p>
            <w:pPr>
              <w:spacing w:before="40" w:after="40"/>
            </w:pPr>
            <w:r/>
            <w:r>
              <w:rPr>
                <w:rFonts w:ascii="Calibri" w:hAnsi="Calibri"/>
                <w:b w:val="0"/>
                <w:color w:val="222222"/>
                <w:sz w:val="18"/>
              </w:rPr>
              <w:t>Hygiene and containment</w:t>
            </w:r>
          </w:p>
        </w:tc>
        <w:tc>
          <w:tcPr>
            <w:tcW w:type="dxa" w:w="3408"/>
            <w:shd w:val="clear" w:color="auto" w:fill="F5F8FC"/>
          </w:tcPr>
          <w:p>
            <w:pPr>
              <w:spacing w:before="40" w:after="40"/>
            </w:pPr>
            <w:r/>
            <w:r>
              <w:rPr>
                <w:rFonts w:ascii="Calibri" w:hAnsi="Calibri"/>
                <w:b w:val="0"/>
                <w:color w:val="222222"/>
                <w:sz w:val="18"/>
              </w:rPr>
              <w:t>Closed biopharmaceutical service; documented cleanability, sanitary connections, controlled powder charging</w:t>
            </w:r>
          </w:p>
        </w:tc>
        <w:tc>
          <w:tcPr>
            <w:tcW w:type="dxa" w:w="3408"/>
            <w:shd w:val="clear" w:color="auto" w:fill="F5F8FC"/>
          </w:tcPr>
          <w:p>
            <w:pPr>
              <w:spacing w:before="40" w:after="40"/>
            </w:pPr>
            <w:r/>
            <w:r>
              <w:rPr>
                <w:rFonts w:ascii="Calibri" w:hAnsi="Calibri"/>
                <w:b w:val="0"/>
                <w:color w:val="222222"/>
                <w:sz w:val="18"/>
              </w:rPr>
              <w:t>Hygienic product-contact design and cleaning evidence are required; aseptic service and SIP are not established.</w:t>
            </w:r>
          </w:p>
        </w:tc>
      </w:tr>
      <w:tr>
        <w:tc>
          <w:tcPr>
            <w:tcW w:type="dxa" w:w="3408"/>
          </w:tcPr>
          <w:p>
            <w:pPr>
              <w:spacing w:before="40" w:after="40"/>
            </w:pPr>
            <w:r/>
            <w:r>
              <w:rPr>
                <w:rFonts w:ascii="Calibri" w:hAnsi="Calibri"/>
                <w:b w:val="0"/>
                <w:color w:val="222222"/>
                <w:sz w:val="18"/>
              </w:rPr>
              <w:t>Installation</w:t>
            </w:r>
          </w:p>
        </w:tc>
        <w:tc>
          <w:tcPr>
            <w:tcW w:type="dxa" w:w="3408"/>
          </w:tcPr>
          <w:p>
            <w:pPr>
              <w:spacing w:before="40" w:after="40"/>
            </w:pPr>
            <w:r/>
            <w:r>
              <w:rPr>
                <w:rFonts w:ascii="Calibri" w:hAnsi="Calibri"/>
                <w:b w:val="0"/>
                <w:color w:val="222222"/>
                <w:sz w:val="18"/>
              </w:rPr>
              <w:t>New build with vessel, load-cell, utility, and access optimization</w:t>
            </w:r>
          </w:p>
        </w:tc>
        <w:tc>
          <w:tcPr>
            <w:tcW w:type="dxa" w:w="3408"/>
          </w:tcPr>
          <w:p>
            <w:pPr>
              <w:spacing w:before="40" w:after="40"/>
            </w:pPr>
            <w:r/>
            <w:r>
              <w:rPr>
                <w:rFonts w:ascii="Calibri" w:hAnsi="Calibri"/>
                <w:b w:val="0"/>
                <w:color w:val="222222"/>
                <w:sz w:val="18"/>
              </w:rPr>
              <w:t>Geometry, mixer removal path, seal access, baffles, utilities, and structural loads can be coordinated early.</w:t>
            </w:r>
          </w:p>
        </w:tc>
      </w:tr>
    </w:tbl>
    <w:p/>
    <w:p>
      <w:pPr>
        <w:spacing w:before="240" w:after="80"/>
      </w:pPr>
      <w:r>
        <w:rPr>
          <w:rFonts w:ascii="Calibri" w:hAnsi="Calibri"/>
          <w:b/>
          <w:color w:val="1F4E79"/>
          <w:sz w:val="26"/>
        </w:rPr>
        <w:t>2. Agitator objectives and failure modes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shd w:val="clear" w:color="auto" w:fill="1F4E79"/>
          </w:tcPr>
          <w:p>
            <w:pPr>
              <w:spacing w:before="40" w:after="40"/>
            </w:pPr>
            <w:r/>
            <w:r>
              <w:rPr>
                <w:rFonts w:ascii="Calibri" w:hAnsi="Calibri"/>
                <w:b/>
                <w:color w:val="FFFFFF"/>
                <w:sz w:val="18"/>
              </w:rPr>
              <w:t>Step</w:t>
            </w:r>
          </w:p>
        </w:tc>
        <w:tc>
          <w:tcPr>
            <w:tcW w:type="dxa" w:w="3408"/>
            <w:shd w:val="clear" w:color="auto" w:fill="1F4E79"/>
          </w:tcPr>
          <w:p>
            <w:pPr>
              <w:spacing w:before="40" w:after="40"/>
            </w:pPr>
            <w:r/>
            <w:r>
              <w:rPr>
                <w:rFonts w:ascii="Calibri" w:hAnsi="Calibri"/>
                <w:b/>
                <w:color w:val="FFFFFF"/>
                <w:sz w:val="18"/>
              </w:rPr>
              <w:t>Objective</w:t>
            </w:r>
          </w:p>
        </w:tc>
        <w:tc>
          <w:tcPr>
            <w:tcW w:type="dxa" w:w="3408"/>
            <w:shd w:val="clear" w:color="auto" w:fill="1F4E79"/>
          </w:tcPr>
          <w:p>
            <w:pPr>
              <w:spacing w:before="40" w:after="40"/>
            </w:pPr>
            <w:r/>
            <w:r>
              <w:rPr>
                <w:rFonts w:ascii="Calibri" w:hAnsi="Calibri"/>
                <w:b/>
                <w:color w:val="FFFFFF"/>
                <w:sz w:val="18"/>
              </w:rPr>
              <w:t>Key control</w:t>
            </w:r>
          </w:p>
        </w:tc>
      </w:tr>
      <w:tr>
        <w:tc>
          <w:tcPr>
            <w:tcW w:type="dxa" w:w="3408"/>
          </w:tcPr>
          <w:p>
            <w:pPr>
              <w:spacing w:before="40" w:after="40"/>
            </w:pPr>
            <w:r/>
            <w:r>
              <w:rPr>
                <w:rFonts w:ascii="Calibri" w:hAnsi="Calibri"/>
                <w:b w:val="0"/>
                <w:color w:val="222222"/>
                <w:sz w:val="18"/>
              </w:rPr>
              <w:t>1</w:t>
            </w:r>
          </w:p>
        </w:tc>
        <w:tc>
          <w:tcPr>
            <w:tcW w:type="dxa" w:w="3408"/>
          </w:tcPr>
          <w:p>
            <w:pPr>
              <w:spacing w:before="40" w:after="40"/>
            </w:pPr>
            <w:r/>
            <w:r>
              <w:rPr>
                <w:rFonts w:ascii="Calibri" w:hAnsi="Calibri"/>
                <w:b w:val="0"/>
                <w:color w:val="222222"/>
                <w:sz w:val="18"/>
              </w:rPr>
              <w:t>Establish bulk circulation</w:t>
            </w:r>
          </w:p>
        </w:tc>
        <w:tc>
          <w:tcPr>
            <w:tcW w:type="dxa" w:w="3408"/>
          </w:tcPr>
          <w:p>
            <w:pPr>
              <w:spacing w:before="40" w:after="40"/>
            </w:pPr>
            <w:r/>
            <w:r>
              <w:rPr>
                <w:rFonts w:ascii="Calibri" w:hAnsi="Calibri"/>
                <w:b w:val="0"/>
                <w:color w:val="222222"/>
                <w:sz w:val="18"/>
              </w:rPr>
              <w:t>Use staged axial-flow pumping at a qualified speed with all operating impellers submerged.</w:t>
            </w:r>
          </w:p>
        </w:tc>
      </w:tr>
      <w:tr>
        <w:tc>
          <w:tcPr>
            <w:tcW w:type="dxa" w:w="3408"/>
            <w:shd w:val="clear" w:color="auto" w:fill="F5F8FC"/>
          </w:tcPr>
          <w:p>
            <w:pPr>
              <w:spacing w:before="40" w:after="40"/>
            </w:pPr>
            <w:r/>
            <w:r>
              <w:rPr>
                <w:rFonts w:ascii="Calibri" w:hAnsi="Calibri"/>
                <w:b w:val="0"/>
                <w:color w:val="222222"/>
                <w:sz w:val="18"/>
              </w:rPr>
              <w:t>2</w:t>
            </w:r>
          </w:p>
        </w:tc>
        <w:tc>
          <w:tcPr>
            <w:tcW w:type="dxa" w:w="3408"/>
            <w:shd w:val="clear" w:color="auto" w:fill="F5F8FC"/>
          </w:tcPr>
          <w:p>
            <w:pPr>
              <w:spacing w:before="40" w:after="40"/>
            </w:pPr>
            <w:r/>
            <w:r>
              <w:rPr>
                <w:rFonts w:ascii="Calibri" w:hAnsi="Calibri"/>
                <w:b w:val="0"/>
                <w:color w:val="222222"/>
                <w:sz w:val="18"/>
              </w:rPr>
              <w:t>Incorporate powder</w:t>
            </w:r>
          </w:p>
        </w:tc>
        <w:tc>
          <w:tcPr>
            <w:tcW w:type="dxa" w:w="3408"/>
            <w:shd w:val="clear" w:color="auto" w:fill="F5F8FC"/>
          </w:tcPr>
          <w:p>
            <w:pPr>
              <w:spacing w:before="40" w:after="40"/>
            </w:pPr>
            <w:r/>
            <w:r>
              <w:rPr>
                <w:rFonts w:ascii="Calibri" w:hAnsi="Calibri"/>
                <w:b w:val="0"/>
                <w:color w:val="222222"/>
                <w:sz w:val="18"/>
              </w:rPr>
              <w:t>Add powder through a closed, controlled-rate path positioned over a qualified drawdown zone.</w:t>
            </w:r>
          </w:p>
        </w:tc>
      </w:tr>
      <w:tr>
        <w:tc>
          <w:tcPr>
            <w:tcW w:type="dxa" w:w="3408"/>
          </w:tcPr>
          <w:p>
            <w:pPr>
              <w:spacing w:before="40" w:after="40"/>
            </w:pPr>
            <w:r/>
            <w:r>
              <w:rPr>
                <w:rFonts w:ascii="Calibri" w:hAnsi="Calibri"/>
                <w:b w:val="0"/>
                <w:color w:val="222222"/>
                <w:sz w:val="18"/>
              </w:rPr>
              <w:t>3</w:t>
            </w:r>
          </w:p>
        </w:tc>
        <w:tc>
          <w:tcPr>
            <w:tcW w:type="dxa" w:w="3408"/>
          </w:tcPr>
          <w:p>
            <w:pPr>
              <w:spacing w:before="40" w:after="40"/>
            </w:pPr>
            <w:r/>
            <w:r>
              <w:rPr>
                <w:rFonts w:ascii="Calibri" w:hAnsi="Calibri"/>
                <w:b w:val="0"/>
                <w:color w:val="222222"/>
                <w:sz w:val="18"/>
              </w:rPr>
              <w:t>Dissolve difficult components</w:t>
            </w:r>
          </w:p>
        </w:tc>
        <w:tc>
          <w:tcPr>
            <w:tcW w:type="dxa" w:w="3408"/>
          </w:tcPr>
          <w:p>
            <w:pPr>
              <w:spacing w:before="40" w:after="40"/>
            </w:pPr>
            <w:r/>
            <w:r>
              <w:rPr>
                <w:rFonts w:ascii="Calibri" w:hAnsi="Calibri"/>
                <w:b w:val="0"/>
                <w:color w:val="222222"/>
                <w:sz w:val="18"/>
              </w:rPr>
              <w:t>Maintain adequate turnover and temperature while avoiding unqualified high-shear exposure.</w:t>
            </w:r>
          </w:p>
        </w:tc>
      </w:tr>
      <w:tr>
        <w:tc>
          <w:tcPr>
            <w:tcW w:type="dxa" w:w="3408"/>
            <w:shd w:val="clear" w:color="auto" w:fill="F5F8FC"/>
          </w:tcPr>
          <w:p>
            <w:pPr>
              <w:spacing w:before="40" w:after="40"/>
            </w:pPr>
            <w:r/>
            <w:r>
              <w:rPr>
                <w:rFonts w:ascii="Calibri" w:hAnsi="Calibri"/>
                <w:b w:val="0"/>
                <w:color w:val="222222"/>
                <w:sz w:val="18"/>
              </w:rPr>
              <w:t>4</w:t>
            </w:r>
          </w:p>
        </w:tc>
        <w:tc>
          <w:tcPr>
            <w:tcW w:type="dxa" w:w="3408"/>
            <w:shd w:val="clear" w:color="auto" w:fill="F5F8FC"/>
          </w:tcPr>
          <w:p>
            <w:pPr>
              <w:spacing w:before="40" w:after="40"/>
            </w:pPr>
            <w:r/>
            <w:r>
              <w:rPr>
                <w:rFonts w:ascii="Calibri" w:hAnsi="Calibri"/>
                <w:b w:val="0"/>
                <w:color w:val="222222"/>
                <w:sz w:val="18"/>
              </w:rPr>
              <w:t>Achieve concentration uniformity</w:t>
            </w:r>
          </w:p>
        </w:tc>
        <w:tc>
          <w:tcPr>
            <w:tcW w:type="dxa" w:w="3408"/>
            <w:shd w:val="clear" w:color="auto" w:fill="F5F8FC"/>
          </w:tcPr>
          <w:p>
            <w:pPr>
              <w:spacing w:before="40" w:after="40"/>
            </w:pPr>
            <w:r/>
            <w:r>
              <w:rPr>
                <w:rFonts w:ascii="Calibri" w:hAnsi="Calibri"/>
                <w:b w:val="0"/>
                <w:color w:val="222222"/>
                <w:sz w:val="18"/>
              </w:rPr>
              <w:t>Demonstrate representative top, middle, bottom, near-wall, and outlet results within ±2% in 15 minutes.</w:t>
            </w:r>
          </w:p>
        </w:tc>
      </w:tr>
      <w:tr>
        <w:tc>
          <w:tcPr>
            <w:tcW w:type="dxa" w:w="3408"/>
          </w:tcPr>
          <w:p>
            <w:pPr>
              <w:spacing w:before="40" w:after="40"/>
            </w:pPr>
            <w:r/>
            <w:r>
              <w:rPr>
                <w:rFonts w:ascii="Calibri" w:hAnsi="Calibri"/>
                <w:b w:val="0"/>
                <w:color w:val="222222"/>
                <w:sz w:val="18"/>
              </w:rPr>
              <w:t>5</w:t>
            </w:r>
          </w:p>
        </w:tc>
        <w:tc>
          <w:tcPr>
            <w:tcW w:type="dxa" w:w="3408"/>
          </w:tcPr>
          <w:p>
            <w:pPr>
              <w:spacing w:before="40" w:after="40"/>
            </w:pPr>
            <w:r/>
            <w:r>
              <w:rPr>
                <w:rFonts w:ascii="Calibri" w:hAnsi="Calibri"/>
                <w:b w:val="0"/>
                <w:color w:val="222222"/>
                <w:sz w:val="18"/>
              </w:rPr>
              <w:t>Control bubbles and foam</w:t>
            </w:r>
          </w:p>
        </w:tc>
        <w:tc>
          <w:tcPr>
            <w:tcW w:type="dxa" w:w="3408"/>
          </w:tcPr>
          <w:p>
            <w:pPr>
              <w:spacing w:before="40" w:after="40"/>
            </w:pPr>
            <w:r/>
            <w:r>
              <w:rPr>
                <w:rFonts w:ascii="Calibri" w:hAnsi="Calibri"/>
                <w:b w:val="0"/>
                <w:color w:val="222222"/>
                <w:sz w:val="18"/>
              </w:rPr>
              <w:t>Suppress vortexing through speed limits, freeboard, swirl control, and controlled charging.</w:t>
            </w:r>
          </w:p>
        </w:tc>
      </w:tr>
      <w:tr>
        <w:tc>
          <w:tcPr>
            <w:tcW w:type="dxa" w:w="3408"/>
            <w:shd w:val="clear" w:color="auto" w:fill="F5F8FC"/>
          </w:tcPr>
          <w:p>
            <w:pPr>
              <w:spacing w:before="40" w:after="40"/>
            </w:pPr>
            <w:r/>
            <w:r>
              <w:rPr>
                <w:rFonts w:ascii="Calibri" w:hAnsi="Calibri"/>
                <w:b w:val="0"/>
                <w:color w:val="222222"/>
                <w:sz w:val="18"/>
              </w:rPr>
              <w:t>6</w:t>
            </w:r>
          </w:p>
        </w:tc>
        <w:tc>
          <w:tcPr>
            <w:tcW w:type="dxa" w:w="3408"/>
            <w:shd w:val="clear" w:color="auto" w:fill="F5F8FC"/>
          </w:tcPr>
          <w:p>
            <w:pPr>
              <w:spacing w:before="40" w:after="40"/>
            </w:pPr>
            <w:r/>
            <w:r>
              <w:rPr>
                <w:rFonts w:ascii="Calibri" w:hAnsi="Calibri"/>
                <w:b w:val="0"/>
                <w:color w:val="222222"/>
                <w:sz w:val="18"/>
              </w:rPr>
              <w:t>Maintain transient suspension</w:t>
            </w:r>
          </w:p>
        </w:tc>
        <w:tc>
          <w:tcPr>
            <w:tcW w:type="dxa" w:w="3408"/>
            <w:shd w:val="clear" w:color="auto" w:fill="F5F8FC"/>
          </w:tcPr>
          <w:p>
            <w:pPr>
              <w:spacing w:before="40" w:after="40"/>
            </w:pPr>
            <w:r/>
            <w:r>
              <w:rPr>
                <w:rFonts w:ascii="Calibri" w:hAnsi="Calibri"/>
                <w:b w:val="0"/>
                <w:color w:val="222222"/>
                <w:sz w:val="18"/>
              </w:rPr>
              <w:t>Operate above the qualified suspension threshold and define an outage/restart procedure.</w:t>
            </w:r>
          </w:p>
        </w:tc>
      </w:tr>
      <w:tr>
        <w:tc>
          <w:tcPr>
            <w:tcW w:type="dxa" w:w="3408"/>
          </w:tcPr>
          <w:p>
            <w:pPr>
              <w:spacing w:before="40" w:after="40"/>
            </w:pPr>
            <w:r/>
            <w:r>
              <w:rPr>
                <w:rFonts w:ascii="Calibri" w:hAnsi="Calibri"/>
                <w:b w:val="0"/>
                <w:color w:val="222222"/>
                <w:sz w:val="18"/>
              </w:rPr>
              <w:t>7</w:t>
            </w:r>
          </w:p>
        </w:tc>
        <w:tc>
          <w:tcPr>
            <w:tcW w:type="dxa" w:w="3408"/>
          </w:tcPr>
          <w:p>
            <w:pPr>
              <w:spacing w:before="40" w:after="40"/>
            </w:pPr>
            <w:r/>
            <w:r>
              <w:rPr>
                <w:rFonts w:ascii="Calibri" w:hAnsi="Calibri"/>
                <w:b w:val="0"/>
                <w:color w:val="222222"/>
                <w:sz w:val="18"/>
              </w:rPr>
              <w:t>Support hygienic operation</w:t>
            </w:r>
          </w:p>
        </w:tc>
        <w:tc>
          <w:tcPr>
            <w:tcW w:type="dxa" w:w="3408"/>
          </w:tcPr>
          <w:p>
            <w:pPr>
              <w:spacing w:before="40" w:after="40"/>
            </w:pPr>
            <w:r/>
            <w:r>
              <w:rPr>
                <w:rFonts w:ascii="Calibri" w:hAnsi="Calibri"/>
                <w:b w:val="0"/>
                <w:color w:val="222222"/>
                <w:sz w:val="18"/>
              </w:rPr>
              <w:t>Use drainable internals, cleanable seals and hubs, verified spray coverage, and compatible materials.</w:t>
            </w:r>
          </w:p>
        </w:tc>
      </w:tr>
    </w:tbl>
    <w:p/>
    <w:p>
      <w:pPr>
        <w:spacing w:before="0" w:after="120"/>
      </w:pPr>
      <w:r>
        <w:rPr>
          <w:rFonts w:ascii="Calibri" w:hAnsi="Calibri"/>
          <w:b/>
          <w:color w:val="1F4E79"/>
          <w:sz w:val="20"/>
        </w:rPr>
        <w:t xml:space="preserve">Failure modes: </w:t>
      </w:r>
      <w:r>
        <w:rPr>
          <w:rFonts w:ascii="Calibri" w:hAnsi="Calibri"/>
          <w:b w:val="0"/>
          <w:color w:val="222222"/>
          <w:sz w:val="20"/>
        </w:rPr>
        <w:t>Powder rafting or fish-eye agglomeration: Rapid surface charging overwhelms axial drawdown, leaving incompletely wetted material and delayed dissolution beyond 15 minutes.; Air entrainment and foam generation: Excess speed, low liquid coverage, poor baffle design, or an open surface vortex incorporates gas and compromises endpoint measurement or downstream filtration.; Bottom deposition: Dense or slowly dissolving particles settle below the impeller discharge zone, creating a nonuniform heel and possible outlet blockage.; Loss-of-agitation restart overload: Settled powder consolidates after an interruption, causing excessive starting torque, shaft loading, seal stress, or incomplete resuspension.; Low-volume hydraulic failure: Upper impellers become uncovered during initial fill or discharge, increasing splashing and aeration while leaving the heel poorly mixed.; Excess local shear: High tip speed or use of an inline rotor-stator damages shear-sensitive components or increases foaming despite acceptable bulk blend time.; Inadequate cleanability: Powder deposits remain behind baffles, under impeller hubs, at the shaft seal, or in a recirculation loop because spray coverage and drainability are insufficient.; Scale-up shortfall: Selection based only on power per volume fails to preserve pumping capacity, drawdown behavior, surface control, or minimum suspension performance at 10,000 L.</w:t>
      </w:r>
    </w:p>
    <w:p>
      <w:pPr>
        <w:spacing w:before="240" w:after="80"/>
      </w:pPr>
      <w:r>
        <w:rPr>
          <w:rFonts w:ascii="Calibri" w:hAnsi="Calibri"/>
          <w:b/>
          <w:color w:val="1F4E79"/>
          <w:sz w:val="26"/>
        </w:rPr>
        <w:t>3. Best-fit agitator-system shortlist</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shd w:val="clear" w:color="auto" w:fill="1F4E79"/>
          </w:tcPr>
          <w:p>
            <w:pPr>
              <w:spacing w:before="40" w:after="40"/>
            </w:pPr>
            <w:r/>
            <w:r>
              <w:rPr>
                <w:rFonts w:ascii="Calibri" w:hAnsi="Calibri"/>
                <w:b/>
                <w:color w:val="FFFFFF"/>
                <w:sz w:val="18"/>
              </w:rPr>
              <w:t>Rank</w:t>
            </w:r>
          </w:p>
        </w:tc>
        <w:tc>
          <w:tcPr>
            <w:tcW w:type="dxa" w:w="2556"/>
            <w:shd w:val="clear" w:color="auto" w:fill="1F4E79"/>
          </w:tcPr>
          <w:p>
            <w:pPr>
              <w:spacing w:before="40" w:after="40"/>
            </w:pPr>
            <w:r/>
            <w:r>
              <w:rPr>
                <w:rFonts w:ascii="Calibri" w:hAnsi="Calibri"/>
                <w:b/>
                <w:color w:val="FFFFFF"/>
                <w:sz w:val="18"/>
              </w:rPr>
              <w:t>Technology</w:t>
            </w:r>
          </w:p>
        </w:tc>
        <w:tc>
          <w:tcPr>
            <w:tcW w:type="dxa" w:w="2556"/>
            <w:shd w:val="clear" w:color="auto" w:fill="1F4E79"/>
          </w:tcPr>
          <w:p>
            <w:pPr>
              <w:spacing w:before="40" w:after="40"/>
            </w:pPr>
            <w:r/>
            <w:r>
              <w:rPr>
                <w:rFonts w:ascii="Calibri" w:hAnsi="Calibri"/>
                <w:b/>
                <w:color w:val="FFFFFF"/>
                <w:sz w:val="18"/>
              </w:rPr>
              <w:t>Fit</w:t>
            </w:r>
          </w:p>
        </w:tc>
        <w:tc>
          <w:tcPr>
            <w:tcW w:type="dxa" w:w="2556"/>
            <w:shd w:val="clear" w:color="auto" w:fill="1F4E79"/>
          </w:tcPr>
          <w:p>
            <w:pPr>
              <w:spacing w:before="40" w:after="40"/>
            </w:pPr>
            <w:r/>
            <w:r>
              <w:rPr>
                <w:rFonts w:ascii="Calibri" w:hAnsi="Calibri"/>
                <w:b/>
                <w:color w:val="FFFFFF"/>
                <w:sz w:val="18"/>
              </w:rPr>
              <w:t>Preliminary role</w:t>
            </w:r>
          </w:p>
        </w:tc>
      </w:tr>
      <w:tr>
        <w:tc>
          <w:tcPr>
            <w:tcW w:type="dxa" w:w="2556"/>
          </w:tcPr>
          <w:p>
            <w:pPr>
              <w:spacing w:before="40" w:after="40"/>
            </w:pPr>
            <w:r/>
            <w:r>
              <w:rPr>
                <w:rFonts w:ascii="Calibri" w:hAnsi="Calibri"/>
                <w:b w:val="0"/>
                <w:color w:val="222222"/>
                <w:sz w:val="18"/>
              </w:rPr>
              <w:t>1</w:t>
            </w:r>
          </w:p>
        </w:tc>
        <w:tc>
          <w:tcPr>
            <w:tcW w:type="dxa" w:w="2556"/>
          </w:tcPr>
          <w:p>
            <w:pPr>
              <w:spacing w:before="40" w:after="40"/>
            </w:pPr>
            <w:r/>
            <w:r>
              <w:rPr>
                <w:rFonts w:ascii="Calibri" w:hAnsi="Calibri"/>
                <w:b w:val="0"/>
                <w:color w:val="222222"/>
                <w:sz w:val="18"/>
              </w:rPr>
              <w:t>Top-entry hydrofoil agitator</w:t>
            </w:r>
          </w:p>
        </w:tc>
        <w:tc>
          <w:tcPr>
            <w:tcW w:type="dxa" w:w="2556"/>
          </w:tcPr>
          <w:p>
            <w:pPr>
              <w:spacing w:before="40" w:after="40"/>
            </w:pPr>
            <w:r/>
            <w:r>
              <w:rPr>
                <w:rFonts w:ascii="Calibri" w:hAnsi="Calibri"/>
                <w:b w:val="0"/>
                <w:color w:val="222222"/>
                <w:sz w:val="18"/>
              </w:rPr>
              <w:t>Best</w:t>
            </w:r>
          </w:p>
        </w:tc>
        <w:tc>
          <w:tcPr>
            <w:tcW w:type="dxa" w:w="2556"/>
          </w:tcPr>
          <w:p>
            <w:pPr>
              <w:spacing w:before="40" w:after="40"/>
            </w:pPr>
            <w:r/>
            <w:r>
              <w:rPr>
                <w:rFonts w:ascii="Calibri" w:hAnsi="Calibri"/>
                <w:b w:val="0"/>
                <w:color w:val="222222"/>
                <w:sz w:val="18"/>
              </w:rPr>
              <w:t>Primary basis for low-shear axial circulation, powder drawdown, transient suspension, and heat-transfer support.</w:t>
            </w:r>
          </w:p>
        </w:tc>
      </w:tr>
      <w:tr>
        <w:tc>
          <w:tcPr>
            <w:tcW w:type="dxa" w:w="2556"/>
            <w:shd w:val="clear" w:color="auto" w:fill="F5F8FC"/>
          </w:tcPr>
          <w:p>
            <w:pPr>
              <w:spacing w:before="40" w:after="40"/>
            </w:pPr>
            <w:r/>
            <w:r>
              <w:rPr>
                <w:rFonts w:ascii="Calibri" w:hAnsi="Calibri"/>
                <w:b w:val="0"/>
                <w:color w:val="222222"/>
                <w:sz w:val="18"/>
              </w:rPr>
              <w:t>2</w:t>
            </w:r>
          </w:p>
        </w:tc>
        <w:tc>
          <w:tcPr>
            <w:tcW w:type="dxa" w:w="2556"/>
            <w:shd w:val="clear" w:color="auto" w:fill="F5F8FC"/>
          </w:tcPr>
          <w:p>
            <w:pPr>
              <w:spacing w:before="40" w:after="40"/>
            </w:pPr>
            <w:r/>
            <w:r>
              <w:rPr>
                <w:rFonts w:ascii="Calibri" w:hAnsi="Calibri"/>
                <w:b w:val="0"/>
                <w:color w:val="222222"/>
                <w:sz w:val="18"/>
              </w:rPr>
              <w:t>Top-entry retreat-curve impeller agitator</w:t>
            </w:r>
          </w:p>
        </w:tc>
        <w:tc>
          <w:tcPr>
            <w:tcW w:type="dxa" w:w="2556"/>
            <w:shd w:val="clear" w:color="auto" w:fill="F5F8FC"/>
          </w:tcPr>
          <w:p>
            <w:pPr>
              <w:spacing w:before="40" w:after="40"/>
            </w:pPr>
            <w:r/>
            <w:r>
              <w:rPr>
                <w:rFonts w:ascii="Calibri" w:hAnsi="Calibri"/>
                <w:b w:val="0"/>
                <w:color w:val="222222"/>
                <w:sz w:val="18"/>
              </w:rPr>
              <w:t>Strong</w:t>
            </w:r>
          </w:p>
        </w:tc>
        <w:tc>
          <w:tcPr>
            <w:tcW w:type="dxa" w:w="2556"/>
            <w:shd w:val="clear" w:color="auto" w:fill="F5F8FC"/>
          </w:tcPr>
          <w:p>
            <w:pPr>
              <w:spacing w:before="40" w:after="40"/>
            </w:pPr>
            <w:r/>
            <w:r>
              <w:rPr>
                <w:rFonts w:ascii="Calibri" w:hAnsi="Calibri"/>
                <w:b w:val="0"/>
                <w:color w:val="222222"/>
                <w:sz w:val="18"/>
              </w:rPr>
              <w:t>Cleanable alternate for multipurpose hygienic duty, subject to endpoint testing.</w:t>
            </w:r>
          </w:p>
        </w:tc>
      </w:tr>
      <w:tr>
        <w:tc>
          <w:tcPr>
            <w:tcW w:type="dxa" w:w="2556"/>
          </w:tcPr>
          <w:p>
            <w:pPr>
              <w:spacing w:before="40" w:after="40"/>
            </w:pPr>
            <w:r/>
            <w:r>
              <w:rPr>
                <w:rFonts w:ascii="Calibri" w:hAnsi="Calibri"/>
                <w:b w:val="0"/>
                <w:color w:val="222222"/>
                <w:sz w:val="18"/>
              </w:rPr>
              <w:t>3</w:t>
            </w:r>
          </w:p>
        </w:tc>
        <w:tc>
          <w:tcPr>
            <w:tcW w:type="dxa" w:w="2556"/>
          </w:tcPr>
          <w:p>
            <w:pPr>
              <w:spacing w:before="40" w:after="40"/>
            </w:pPr>
            <w:r/>
            <w:r>
              <w:rPr>
                <w:rFonts w:ascii="Calibri" w:hAnsi="Calibri"/>
                <w:b w:val="0"/>
                <w:color w:val="222222"/>
                <w:sz w:val="18"/>
              </w:rPr>
              <w:t>Top-entry pitched-blade turbine agitator</w:t>
            </w:r>
          </w:p>
        </w:tc>
        <w:tc>
          <w:tcPr>
            <w:tcW w:type="dxa" w:w="2556"/>
          </w:tcPr>
          <w:p>
            <w:pPr>
              <w:spacing w:before="40" w:after="40"/>
            </w:pPr>
            <w:r/>
            <w:r>
              <w:rPr>
                <w:rFonts w:ascii="Calibri" w:hAnsi="Calibri"/>
                <w:b w:val="0"/>
                <w:color w:val="222222"/>
                <w:sz w:val="18"/>
              </w:rPr>
              <w:t>Strong</w:t>
            </w:r>
          </w:p>
        </w:tc>
        <w:tc>
          <w:tcPr>
            <w:tcW w:type="dxa" w:w="2556"/>
          </w:tcPr>
          <w:p>
            <w:pPr>
              <w:spacing w:before="40" w:after="40"/>
            </w:pPr>
            <w:r/>
            <w:r>
              <w:rPr>
                <w:rFonts w:ascii="Calibri" w:hAnsi="Calibri"/>
                <w:b w:val="0"/>
                <w:color w:val="222222"/>
                <w:sz w:val="18"/>
              </w:rPr>
              <w:t>Robust suspension alternate where higher shear and power are acceptable.</w:t>
            </w:r>
          </w:p>
        </w:tc>
      </w:tr>
      <w:tr>
        <w:tc>
          <w:tcPr>
            <w:tcW w:type="dxa" w:w="2556"/>
            <w:shd w:val="clear" w:color="auto" w:fill="F5F8FC"/>
          </w:tcPr>
          <w:p>
            <w:pPr>
              <w:spacing w:before="40" w:after="40"/>
            </w:pPr>
            <w:r/>
            <w:r>
              <w:rPr>
                <w:rFonts w:ascii="Calibri" w:hAnsi="Calibri"/>
                <w:b w:val="0"/>
                <w:color w:val="222222"/>
                <w:sz w:val="18"/>
              </w:rPr>
              <w:t>4</w:t>
            </w:r>
          </w:p>
        </w:tc>
        <w:tc>
          <w:tcPr>
            <w:tcW w:type="dxa" w:w="2556"/>
            <w:shd w:val="clear" w:color="auto" w:fill="F5F8FC"/>
          </w:tcPr>
          <w:p>
            <w:pPr>
              <w:spacing w:before="40" w:after="40"/>
            </w:pPr>
            <w:r/>
            <w:r>
              <w:rPr>
                <w:rFonts w:ascii="Calibri" w:hAnsi="Calibri"/>
                <w:b w:val="0"/>
                <w:color w:val="222222"/>
                <w:sz w:val="18"/>
              </w:rPr>
              <w:t>Recirculating inline rotor-stator mixer</w:t>
            </w:r>
          </w:p>
        </w:tc>
        <w:tc>
          <w:tcPr>
            <w:tcW w:type="dxa" w:w="2556"/>
            <w:shd w:val="clear" w:color="auto" w:fill="F5F8FC"/>
          </w:tcPr>
          <w:p>
            <w:pPr>
              <w:spacing w:before="40" w:after="40"/>
            </w:pPr>
            <w:r/>
            <w:r>
              <w:rPr>
                <w:rFonts w:ascii="Calibri" w:hAnsi="Calibri"/>
                <w:b w:val="0"/>
                <w:color w:val="222222"/>
                <w:sz w:val="18"/>
              </w:rPr>
              <w:t>Add-on</w:t>
            </w:r>
          </w:p>
        </w:tc>
        <w:tc>
          <w:tcPr>
            <w:tcW w:type="dxa" w:w="2556"/>
            <w:shd w:val="clear" w:color="auto" w:fill="F5F8FC"/>
          </w:tcPr>
          <w:p>
            <w:pPr>
              <w:spacing w:before="40" w:after="40"/>
            </w:pPr>
            <w:r/>
            <w:r>
              <w:rPr>
                <w:rFonts w:ascii="Calibri" w:hAnsi="Calibri"/>
                <w:b w:val="0"/>
                <w:color w:val="222222"/>
                <w:sz w:val="18"/>
              </w:rPr>
              <w:t>Optional powder wetting or deagglomeration aid, not the sole vessel mixer.</w:t>
            </w:r>
          </w:p>
        </w:tc>
      </w:tr>
      <w:tr>
        <w:tc>
          <w:tcPr>
            <w:tcW w:type="dxa" w:w="2556"/>
          </w:tcPr>
          <w:p>
            <w:pPr>
              <w:spacing w:before="40" w:after="40"/>
            </w:pPr>
            <w:r/>
            <w:r>
              <w:rPr>
                <w:rFonts w:ascii="Calibri" w:hAnsi="Calibri"/>
                <w:b w:val="0"/>
                <w:color w:val="222222"/>
                <w:sz w:val="18"/>
              </w:rPr>
              <w:t>5</w:t>
            </w:r>
          </w:p>
        </w:tc>
        <w:tc>
          <w:tcPr>
            <w:tcW w:type="dxa" w:w="2556"/>
          </w:tcPr>
          <w:p>
            <w:pPr>
              <w:spacing w:before="40" w:after="40"/>
            </w:pPr>
            <w:r/>
            <w:r>
              <w:rPr>
                <w:rFonts w:ascii="Calibri" w:hAnsi="Calibri"/>
                <w:b w:val="0"/>
                <w:color w:val="222222"/>
                <w:sz w:val="18"/>
              </w:rPr>
              <w:t>Bottom-entry magnetically coupled agitator</w:t>
            </w:r>
          </w:p>
        </w:tc>
        <w:tc>
          <w:tcPr>
            <w:tcW w:type="dxa" w:w="2556"/>
          </w:tcPr>
          <w:p>
            <w:pPr>
              <w:spacing w:before="40" w:after="40"/>
            </w:pPr>
            <w:r/>
            <w:r>
              <w:rPr>
                <w:rFonts w:ascii="Calibri" w:hAnsi="Calibri"/>
                <w:b w:val="0"/>
                <w:color w:val="222222"/>
                <w:sz w:val="18"/>
              </w:rPr>
              <w:t>Conditional</w:t>
            </w:r>
          </w:p>
        </w:tc>
        <w:tc>
          <w:tcPr>
            <w:tcW w:type="dxa" w:w="2556"/>
          </w:tcPr>
          <w:p>
            <w:pPr>
              <w:spacing w:before="40" w:after="40"/>
            </w:pPr>
            <w:r/>
            <w:r>
              <w:rPr>
                <w:rFonts w:ascii="Calibri" w:hAnsi="Calibri"/>
                <w:b w:val="0"/>
                <w:color w:val="222222"/>
                <w:sz w:val="18"/>
              </w:rPr>
              <w:t>Closed-drive alternative only after torque, tall-vessel turnover, solids, and restart capability are demonstrated.</w:t>
            </w:r>
          </w:p>
        </w:tc>
      </w:tr>
    </w:tbl>
    <w:p/>
    <w:p>
      <w:pPr>
        <w:spacing w:before="240" w:after="80"/>
      </w:pPr>
      <w:r>
        <w:rPr>
          <w:rFonts w:ascii="Calibri" w:hAnsi="Calibri"/>
          <w:b/>
          <w:color w:val="1F4E79"/>
          <w:sz w:val="26"/>
        </w:rPr>
        <w:t>4. Option evaluation</w:t>
      </w:r>
    </w:p>
    <w:p>
      <w:pPr>
        <w:spacing w:before="160" w:after="60"/>
      </w:pPr>
      <w:r>
        <w:rPr>
          <w:rFonts w:ascii="Calibri" w:hAnsi="Calibri"/>
          <w:b/>
          <w:color w:val="1F4E79"/>
          <w:sz w:val="22"/>
        </w:rPr>
        <w:t>1. Top-entry hydrofoil agitator</w:t>
      </w:r>
    </w:p>
    <w:p>
      <w:pPr>
        <w:spacing w:before="0" w:after="120"/>
      </w:pPr>
      <w:r>
        <w:rPr>
          <w:rFonts w:ascii="Calibri" w:hAnsi="Calibri"/>
          <w:b/>
          <w:color w:val="1F4E79"/>
          <w:sz w:val="20"/>
        </w:rPr>
        <w:t xml:space="preserve">Industrial applications: </w:t>
      </w:r>
      <w:r>
        <w:rPr>
          <w:rFonts w:ascii="Calibri" w:hAnsi="Calibri"/>
          <w:b w:val="0"/>
          <w:color w:val="222222"/>
          <w:sz w:val="20"/>
        </w:rPr>
        <w:t>Large-scale biopharmaceutical media and buffer preparation; Low-viscosity transient slurry suspension and dissolution</w:t>
      </w:r>
    </w:p>
    <w:tbl>
      <w:tblPr>
        <w:tblStyle w:val="TableGrid"/>
        <w:tblW w:type="auto" w:w="0"/>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Pros</w:t>
            </w:r>
          </w:p>
        </w:tc>
        <w:tc>
          <w:tcPr>
            <w:tcW w:type="dxa" w:w="5112"/>
          </w:tcPr>
          <w:p>
            <w:pPr>
              <w:spacing w:before="40" w:after="40"/>
            </w:pPr>
            <w:r/>
            <w:r>
              <w:rPr>
                <w:rFonts w:ascii="Calibri" w:hAnsi="Calibri"/>
                <w:b w:val="0"/>
                <w:color w:val="222222"/>
                <w:sz w:val="18"/>
              </w:rPr>
              <w:t>• High axial pumping efficiency supports rapid vessel turnover at comparatively low local shear.</w:t>
            </w:r>
            <w:r>
              <w:br/>
            </w:r>
            <w:r>
              <w:rPr>
                <w:rFonts w:ascii="Calibri" w:hAnsi="Calibri"/>
                <w:b w:val="0"/>
                <w:color w:val="222222"/>
                <w:sz w:val="18"/>
              </w:rPr>
              <w:t>• Multiple impellers can address the 1.5:1 to 2:1 liquid aspect ratio and improve top-to-bottom uniformity.</w:t>
            </w:r>
            <w:r>
              <w:br/>
            </w:r>
            <w:r>
              <w:rPr>
                <w:rFonts w:ascii="Calibri" w:hAnsi="Calibri"/>
                <w:b w:val="0"/>
                <w:color w:val="222222"/>
                <w:sz w:val="18"/>
              </w:rPr>
              <w:t>• Down-pumping flow can sweep the bottom and support jacket heat transfer while limiting surface disturbance.</w:t>
            </w:r>
            <w:r>
              <w:br/>
            </w:r>
            <w:r>
              <w:rPr>
                <w:rFonts w:ascii="Calibri" w:hAnsi="Calibri"/>
                <w:b w:val="0"/>
                <w:color w:val="222222"/>
                <w:sz w:val="18"/>
              </w:rPr>
              <w:t>• Established scale-up methods can combine power per volume, pumping capacity, tip speed, blend time, and suspension testing.</w:t>
            </w:r>
          </w:p>
        </w:tc>
      </w:tr>
      <w:tr>
        <w:tc>
          <w:tcPr>
            <w:tcW w:type="dxa" w:w="5112"/>
            <w:shd w:val="clear" w:color="auto" w:fill="1F4E79"/>
          </w:tcPr>
          <w:p>
            <w:pPr>
              <w:spacing w:before="40" w:after="40"/>
            </w:pPr>
            <w:r/>
            <w:r>
              <w:rPr>
                <w:rFonts w:ascii="Calibri" w:hAnsi="Calibri"/>
                <w:b/>
                <w:color w:val="FFFFFF"/>
                <w:sz w:val="18"/>
              </w:rPr>
              <w:t>Cons / watchouts</w:t>
            </w:r>
          </w:p>
        </w:tc>
        <w:tc>
          <w:tcPr>
            <w:tcW w:type="dxa" w:w="5112"/>
          </w:tcPr>
          <w:p>
            <w:pPr>
              <w:spacing w:before="40" w:after="40"/>
            </w:pPr>
            <w:r/>
            <w:r>
              <w:rPr>
                <w:rFonts w:ascii="Calibri" w:hAnsi="Calibri"/>
                <w:b w:val="0"/>
                <w:color w:val="222222"/>
                <w:sz w:val="18"/>
              </w:rPr>
              <w:t>• Requires a shaft penetration and hygienic seal compatible with pressure, vacuum, cleaning, and contamination-control requirements.</w:t>
            </w:r>
            <w:r>
              <w:br/>
            </w:r>
            <w:r>
              <w:rPr>
                <w:rFonts w:ascii="Calibri" w:hAnsi="Calibri"/>
                <w:b w:val="0"/>
                <w:color w:val="222222"/>
                <w:sz w:val="18"/>
              </w:rPr>
              <w:t>• Powder drawdown remains sensitive to charging location, feed rate, baffles, liquid level, and free-surface vortex behavior.</w:t>
            </w:r>
            <w:r>
              <w:br/>
            </w:r>
            <w:r>
              <w:rPr>
                <w:rFonts w:ascii="Calibri" w:hAnsi="Calibri"/>
                <w:b w:val="0"/>
                <w:color w:val="222222"/>
                <w:sz w:val="18"/>
              </w:rPr>
              <w:t>• Long shafts and multiple impellers require critical-speed, runout, support-load, and maintenance-clearance analysis.</w:t>
            </w:r>
          </w:p>
        </w:tc>
      </w:tr>
      <w:tr>
        <w:tc>
          <w:tcPr>
            <w:tcW w:type="dxa" w:w="5112"/>
            <w:shd w:val="clear" w:color="auto" w:fill="1F4E79"/>
          </w:tcPr>
          <w:p>
            <w:pPr>
              <w:spacing w:before="40" w:after="40"/>
            </w:pPr>
            <w:r/>
            <w:r>
              <w:rPr>
                <w:rFonts w:ascii="Calibri" w:hAnsi="Calibri"/>
                <w:b/>
                <w:color w:val="FFFFFF"/>
                <w:sz w:val="18"/>
              </w:rPr>
              <w:t>Manufacturers</w:t>
            </w:r>
          </w:p>
        </w:tc>
        <w:tc>
          <w:tcPr>
            <w:tcW w:type="dxa" w:w="5112"/>
          </w:tcPr>
          <w:p>
            <w:pPr>
              <w:spacing w:before="40" w:after="40"/>
            </w:pPr>
            <w:r/>
            <w:r>
              <w:rPr>
                <w:rFonts w:ascii="Calibri" w:hAnsi="Calibri"/>
                <w:b w:val="0"/>
                <w:color w:val="222222"/>
                <w:sz w:val="18"/>
              </w:rPr>
              <w:t>SPX FLOW Lightnin (sanitary top-entry and axial-flow impeller systems); EKATO (hygienic top-entry agitator systems); Philadelphia Mixing Solutions (sanitary top-entry mixing systems); Alfa Laval (hygienic agitator portfolio)</w:t>
            </w:r>
          </w:p>
        </w:tc>
      </w:tr>
    </w:tbl>
    <w:p/>
    <w:p>
      <w:pPr>
        <w:spacing w:before="160" w:after="60"/>
      </w:pPr>
      <w:r>
        <w:rPr>
          <w:rFonts w:ascii="Calibri" w:hAnsi="Calibri"/>
          <w:b/>
          <w:color w:val="1F4E79"/>
          <w:sz w:val="22"/>
        </w:rPr>
        <w:t>2. Top-entry retreat-curve impeller agitator</w:t>
      </w:r>
    </w:p>
    <w:p>
      <w:pPr>
        <w:spacing w:before="0" w:after="120"/>
      </w:pPr>
      <w:r>
        <w:rPr>
          <w:rFonts w:ascii="Calibri" w:hAnsi="Calibri"/>
          <w:b/>
          <w:color w:val="1F4E79"/>
          <w:sz w:val="20"/>
        </w:rPr>
        <w:t xml:space="preserve">Industrial applications: </w:t>
      </w:r>
      <w:r>
        <w:rPr>
          <w:rFonts w:ascii="Calibri" w:hAnsi="Calibri"/>
          <w:b w:val="0"/>
          <w:color w:val="222222"/>
          <w:sz w:val="20"/>
        </w:rPr>
        <w:t>Hygienic media, buffer, and solution preparation; Multipurpose pharmaceutical vessels requiring cleanable impeller geometry</w:t>
      </w:r>
    </w:p>
    <w:tbl>
      <w:tblPr>
        <w:tblStyle w:val="TableGrid"/>
        <w:tblW w:type="auto" w:w="0"/>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Pros</w:t>
            </w:r>
          </w:p>
        </w:tc>
        <w:tc>
          <w:tcPr>
            <w:tcW w:type="dxa" w:w="5112"/>
          </w:tcPr>
          <w:p>
            <w:pPr>
              <w:spacing w:before="40" w:after="40"/>
            </w:pPr>
            <w:r/>
            <w:r>
              <w:rPr>
                <w:rFonts w:ascii="Calibri" w:hAnsi="Calibri"/>
                <w:b w:val="0"/>
                <w:color w:val="222222"/>
                <w:sz w:val="18"/>
              </w:rPr>
              <w:t>• Smooth, swept geometry is favorable for hygienic fabrication and cleanability.</w:t>
            </w:r>
            <w:r>
              <w:br/>
            </w:r>
            <w:r>
              <w:rPr>
                <w:rFonts w:ascii="Calibri" w:hAnsi="Calibri"/>
                <w:b w:val="0"/>
                <w:color w:val="222222"/>
                <w:sz w:val="18"/>
              </w:rPr>
              <w:t>• Provides useful axial circulation with moderate shear over a broad speed range.</w:t>
            </w:r>
            <w:r>
              <w:br/>
            </w:r>
            <w:r>
              <w:rPr>
                <w:rFonts w:ascii="Calibri" w:hAnsi="Calibri"/>
                <w:b w:val="0"/>
                <w:color w:val="222222"/>
                <w:sz w:val="18"/>
              </w:rPr>
              <w:t>• Can be configured in multiple stages for tall vessels and varying liquid levels.</w:t>
            </w:r>
            <w:r>
              <w:br/>
            </w:r>
            <w:r>
              <w:rPr>
                <w:rFonts w:ascii="Calibri" w:hAnsi="Calibri"/>
                <w:b w:val="0"/>
                <w:color w:val="222222"/>
                <w:sz w:val="18"/>
              </w:rPr>
              <w:t>• Good alternate where cleanability and multipurpose operation dominate over maximum suspension efficiency.</w:t>
            </w:r>
          </w:p>
        </w:tc>
      </w:tr>
      <w:tr>
        <w:tc>
          <w:tcPr>
            <w:tcW w:type="dxa" w:w="5112"/>
            <w:shd w:val="clear" w:color="auto" w:fill="1F4E79"/>
          </w:tcPr>
          <w:p>
            <w:pPr>
              <w:spacing w:before="40" w:after="40"/>
            </w:pPr>
            <w:r/>
            <w:r>
              <w:rPr>
                <w:rFonts w:ascii="Calibri" w:hAnsi="Calibri"/>
                <w:b/>
                <w:color w:val="FFFFFF"/>
                <w:sz w:val="18"/>
              </w:rPr>
              <w:t>Cons / watchouts</w:t>
            </w:r>
          </w:p>
        </w:tc>
        <w:tc>
          <w:tcPr>
            <w:tcW w:type="dxa" w:w="5112"/>
          </w:tcPr>
          <w:p>
            <w:pPr>
              <w:spacing w:before="40" w:after="40"/>
            </w:pPr>
            <w:r/>
            <w:r>
              <w:rPr>
                <w:rFonts w:ascii="Calibri" w:hAnsi="Calibri"/>
                <w:b w:val="0"/>
                <w:color w:val="222222"/>
                <w:sz w:val="18"/>
              </w:rPr>
              <w:t>• Typically provides less pumping efficiency for difficult off-bottom suspension than a purpose-designed hydrofoil.</w:t>
            </w:r>
            <w:r>
              <w:br/>
            </w:r>
            <w:r>
              <w:rPr>
                <w:rFonts w:ascii="Calibri" w:hAnsi="Calibri"/>
                <w:b w:val="0"/>
                <w:color w:val="222222"/>
                <w:sz w:val="18"/>
              </w:rPr>
              <w:t>• The demanding 15-minute powder endpoint may require larger diameter, higher speed, or additional stages, increasing torque or surface-motion risk.</w:t>
            </w:r>
            <w:r>
              <w:br/>
            </w:r>
            <w:r>
              <w:rPr>
                <w:rFonts w:ascii="Calibri" w:hAnsi="Calibri"/>
                <w:b w:val="0"/>
                <w:color w:val="222222"/>
                <w:sz w:val="18"/>
              </w:rPr>
              <w:t>• Powder drawdown capability must be demonstrated with representative ingredients.</w:t>
            </w:r>
          </w:p>
        </w:tc>
      </w:tr>
      <w:tr>
        <w:tc>
          <w:tcPr>
            <w:tcW w:type="dxa" w:w="5112"/>
            <w:shd w:val="clear" w:color="auto" w:fill="1F4E79"/>
          </w:tcPr>
          <w:p>
            <w:pPr>
              <w:spacing w:before="40" w:after="40"/>
            </w:pPr>
            <w:r/>
            <w:r>
              <w:rPr>
                <w:rFonts w:ascii="Calibri" w:hAnsi="Calibri"/>
                <w:b/>
                <w:color w:val="FFFFFF"/>
                <w:sz w:val="18"/>
              </w:rPr>
              <w:t>Manufacturers</w:t>
            </w:r>
          </w:p>
        </w:tc>
        <w:tc>
          <w:tcPr>
            <w:tcW w:type="dxa" w:w="5112"/>
          </w:tcPr>
          <w:p>
            <w:pPr>
              <w:spacing w:before="40" w:after="40"/>
            </w:pPr>
            <w:r/>
            <w:r>
              <w:rPr>
                <w:rFonts w:ascii="Calibri" w:hAnsi="Calibri"/>
                <w:b w:val="0"/>
                <w:color w:val="222222"/>
                <w:sz w:val="18"/>
              </w:rPr>
              <w:t>Alfa Laval (hygienic top-entry agitators); ZETA (pharmaceutical vessel agitator systems); SPX FLOW (hygienic mixing systems); GMM Pfaudler (pharmaceutical agitator systems)</w:t>
            </w:r>
          </w:p>
        </w:tc>
      </w:tr>
    </w:tbl>
    <w:p/>
    <w:p>
      <w:pPr>
        <w:spacing w:before="160" w:after="60"/>
      </w:pPr>
      <w:r>
        <w:rPr>
          <w:rFonts w:ascii="Calibri" w:hAnsi="Calibri"/>
          <w:b/>
          <w:color w:val="1F4E79"/>
          <w:sz w:val="22"/>
        </w:rPr>
        <w:t>3. Top-entry pitched-blade turbine agitator</w:t>
      </w:r>
    </w:p>
    <w:p>
      <w:pPr>
        <w:spacing w:before="0" w:after="120"/>
      </w:pPr>
      <w:r>
        <w:rPr>
          <w:rFonts w:ascii="Calibri" w:hAnsi="Calibri"/>
          <w:b/>
          <w:color w:val="1F4E79"/>
          <w:sz w:val="20"/>
        </w:rPr>
        <w:t xml:space="preserve">Industrial applications: </w:t>
      </w:r>
      <w:r>
        <w:rPr>
          <w:rFonts w:ascii="Calibri" w:hAnsi="Calibri"/>
          <w:b w:val="0"/>
          <w:color w:val="222222"/>
          <w:sz w:val="20"/>
        </w:rPr>
        <w:t>General-purpose solids suspension and dissolution; Robust batch blending in stainless-steel process vessels</w:t>
      </w:r>
    </w:p>
    <w:tbl>
      <w:tblPr>
        <w:tblStyle w:val="TableGrid"/>
        <w:tblW w:type="auto" w:w="0"/>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Pros</w:t>
            </w:r>
          </w:p>
        </w:tc>
        <w:tc>
          <w:tcPr>
            <w:tcW w:type="dxa" w:w="5112"/>
          </w:tcPr>
          <w:p>
            <w:pPr>
              <w:spacing w:before="40" w:after="40"/>
            </w:pPr>
            <w:r/>
            <w:r>
              <w:rPr>
                <w:rFonts w:ascii="Calibri" w:hAnsi="Calibri"/>
                <w:b w:val="0"/>
                <w:color w:val="222222"/>
                <w:sz w:val="18"/>
              </w:rPr>
              <w:t>• Robust and widely understood axial/radial-flow technology with broad supplier availability.</w:t>
            </w:r>
            <w:r>
              <w:br/>
            </w:r>
            <w:r>
              <w:rPr>
                <w:rFonts w:ascii="Calibri" w:hAnsi="Calibri"/>
                <w:b w:val="0"/>
                <w:color w:val="222222"/>
                <w:sz w:val="18"/>
              </w:rPr>
              <w:t>• Good transient solids suspension and bottom sweeping when correctly sized and baffled.</w:t>
            </w:r>
            <w:r>
              <w:br/>
            </w:r>
            <w:r>
              <w:rPr>
                <w:rFonts w:ascii="Calibri" w:hAnsi="Calibri"/>
                <w:b w:val="0"/>
                <w:color w:val="222222"/>
                <w:sz w:val="18"/>
              </w:rPr>
              <w:t>• Can tolerate a wider range of slurry properties than many low-torque magnetic mixers.</w:t>
            </w:r>
            <w:r>
              <w:br/>
            </w:r>
            <w:r>
              <w:rPr>
                <w:rFonts w:ascii="Calibri" w:hAnsi="Calibri"/>
                <w:b w:val="0"/>
                <w:color w:val="222222"/>
                <w:sz w:val="18"/>
              </w:rPr>
              <w:t>• Straightforward mechanical construction and maintenance basis.</w:t>
            </w:r>
          </w:p>
        </w:tc>
      </w:tr>
      <w:tr>
        <w:tc>
          <w:tcPr>
            <w:tcW w:type="dxa" w:w="5112"/>
            <w:shd w:val="clear" w:color="auto" w:fill="1F4E79"/>
          </w:tcPr>
          <w:p>
            <w:pPr>
              <w:spacing w:before="40" w:after="40"/>
            </w:pPr>
            <w:r/>
            <w:r>
              <w:rPr>
                <w:rFonts w:ascii="Calibri" w:hAnsi="Calibri"/>
                <w:b/>
                <w:color w:val="FFFFFF"/>
                <w:sz w:val="18"/>
              </w:rPr>
              <w:t>Cons / watchouts</w:t>
            </w:r>
          </w:p>
        </w:tc>
        <w:tc>
          <w:tcPr>
            <w:tcW w:type="dxa" w:w="5112"/>
          </w:tcPr>
          <w:p>
            <w:pPr>
              <w:spacing w:before="40" w:after="40"/>
            </w:pPr>
            <w:r/>
            <w:r>
              <w:rPr>
                <w:rFonts w:ascii="Calibri" w:hAnsi="Calibri"/>
                <w:b w:val="0"/>
                <w:color w:val="222222"/>
                <w:sz w:val="18"/>
              </w:rPr>
              <w:t>• Usually produces higher shear and lower pumping efficiency than a modern hydrofoil at comparable duty.</w:t>
            </w:r>
            <w:r>
              <w:br/>
            </w:r>
            <w:r>
              <w:rPr>
                <w:rFonts w:ascii="Calibri" w:hAnsi="Calibri"/>
                <w:b w:val="0"/>
                <w:color w:val="222222"/>
                <w:sz w:val="18"/>
              </w:rPr>
              <w:t>• May require greater power or tip speed, increasing vortex, foam, and gas-entrainment risk.</w:t>
            </w:r>
            <w:r>
              <w:br/>
            </w:r>
            <w:r>
              <w:rPr>
                <w:rFonts w:ascii="Calibri" w:hAnsi="Calibri"/>
                <w:b w:val="0"/>
                <w:color w:val="222222"/>
                <w:sz w:val="18"/>
              </w:rPr>
              <w:t>• Blade and hub geometry require careful hygienic detailing and cleaning verification.</w:t>
            </w:r>
          </w:p>
        </w:tc>
      </w:tr>
      <w:tr>
        <w:tc>
          <w:tcPr>
            <w:tcW w:type="dxa" w:w="5112"/>
            <w:shd w:val="clear" w:color="auto" w:fill="1F4E79"/>
          </w:tcPr>
          <w:p>
            <w:pPr>
              <w:spacing w:before="40" w:after="40"/>
            </w:pPr>
            <w:r/>
            <w:r>
              <w:rPr>
                <w:rFonts w:ascii="Calibri" w:hAnsi="Calibri"/>
                <w:b/>
                <w:color w:val="FFFFFF"/>
                <w:sz w:val="18"/>
              </w:rPr>
              <w:t>Manufacturers</w:t>
            </w:r>
          </w:p>
        </w:tc>
        <w:tc>
          <w:tcPr>
            <w:tcW w:type="dxa" w:w="5112"/>
          </w:tcPr>
          <w:p>
            <w:pPr>
              <w:spacing w:before="40" w:after="40"/>
            </w:pPr>
            <w:r/>
            <w:r>
              <w:rPr>
                <w:rFonts w:ascii="Calibri" w:hAnsi="Calibri"/>
                <w:b w:val="0"/>
                <w:color w:val="222222"/>
                <w:sz w:val="18"/>
              </w:rPr>
              <w:t>SPX FLOW Lightnin (pitched-blade and sanitary top-entry systems); EKATO (industrial and hygienic agitators); Philadelphia Mixing Solutions (top-entry turbine systems); De Dietrich Process Systems (process-vessel agitators)</w:t>
            </w:r>
          </w:p>
        </w:tc>
      </w:tr>
    </w:tbl>
    <w:p/>
    <w:p>
      <w:pPr>
        <w:spacing w:before="160" w:after="60"/>
      </w:pPr>
      <w:r>
        <w:rPr>
          <w:rFonts w:ascii="Calibri" w:hAnsi="Calibri"/>
          <w:b/>
          <w:color w:val="1F4E79"/>
          <w:sz w:val="22"/>
        </w:rPr>
        <w:t>4. Recirculating inline rotor-stator mixer</w:t>
      </w:r>
    </w:p>
    <w:p>
      <w:pPr>
        <w:spacing w:before="0" w:after="120"/>
      </w:pPr>
      <w:r>
        <w:rPr>
          <w:rFonts w:ascii="Calibri" w:hAnsi="Calibri"/>
          <w:b/>
          <w:color w:val="1F4E79"/>
          <w:sz w:val="20"/>
        </w:rPr>
        <w:t xml:space="preserve">Industrial applications: </w:t>
      </w:r>
      <w:r>
        <w:rPr>
          <w:rFonts w:ascii="Calibri" w:hAnsi="Calibri"/>
          <w:b w:val="0"/>
          <w:color w:val="222222"/>
          <w:sz w:val="20"/>
        </w:rPr>
        <w:t>Rapid wetting of difficult or raft-forming powders; Deagglomeration in media, buffer, and formulation recirculation loops</w:t>
      </w:r>
    </w:p>
    <w:tbl>
      <w:tblPr>
        <w:tblStyle w:val="TableGrid"/>
        <w:tblW w:type="auto" w:w="0"/>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Pros</w:t>
            </w:r>
          </w:p>
        </w:tc>
        <w:tc>
          <w:tcPr>
            <w:tcW w:type="dxa" w:w="5112"/>
          </w:tcPr>
          <w:p>
            <w:pPr>
              <w:spacing w:before="40" w:after="40"/>
            </w:pPr>
            <w:r/>
            <w:r>
              <w:rPr>
                <w:rFonts w:ascii="Calibri" w:hAnsi="Calibri"/>
                <w:b w:val="0"/>
                <w:color w:val="222222"/>
                <w:sz w:val="18"/>
              </w:rPr>
              <w:t>• Can provide controlled powder induction and rapid wetting before material enters the bulk vessel.</w:t>
            </w:r>
            <w:r>
              <w:br/>
            </w:r>
            <w:r>
              <w:rPr>
                <w:rFonts w:ascii="Calibri" w:hAnsi="Calibri"/>
                <w:b w:val="0"/>
                <w:color w:val="222222"/>
                <w:sz w:val="18"/>
              </w:rPr>
              <w:t>• Useful for eliminating persistent agglomerates that low-shear bulk circulation cannot dissolve within the target time.</w:t>
            </w:r>
            <w:r>
              <w:br/>
            </w:r>
            <w:r>
              <w:rPr>
                <w:rFonts w:ascii="Calibri" w:hAnsi="Calibri"/>
                <w:b w:val="0"/>
                <w:color w:val="222222"/>
                <w:sz w:val="18"/>
              </w:rPr>
              <w:t>• May reduce open-surface powder addition and operator exposure when integrated with closed transfer.</w:t>
            </w:r>
            <w:r>
              <w:br/>
            </w:r>
            <w:r>
              <w:rPr>
                <w:rFonts w:ascii="Calibri" w:hAnsi="Calibri"/>
                <w:b w:val="0"/>
                <w:color w:val="222222"/>
                <w:sz w:val="18"/>
              </w:rPr>
              <w:t>• Can be bypassed after the powder-incorporation step.</w:t>
            </w:r>
          </w:p>
        </w:tc>
      </w:tr>
      <w:tr>
        <w:tc>
          <w:tcPr>
            <w:tcW w:type="dxa" w:w="5112"/>
            <w:shd w:val="clear" w:color="auto" w:fill="1F4E79"/>
          </w:tcPr>
          <w:p>
            <w:pPr>
              <w:spacing w:before="40" w:after="40"/>
            </w:pPr>
            <w:r/>
            <w:r>
              <w:rPr>
                <w:rFonts w:ascii="Calibri" w:hAnsi="Calibri"/>
                <w:b/>
                <w:color w:val="FFFFFF"/>
                <w:sz w:val="18"/>
              </w:rPr>
              <w:t>Cons / watchouts</w:t>
            </w:r>
          </w:p>
        </w:tc>
        <w:tc>
          <w:tcPr>
            <w:tcW w:type="dxa" w:w="5112"/>
          </w:tcPr>
          <w:p>
            <w:pPr>
              <w:spacing w:before="40" w:after="40"/>
            </w:pPr>
            <w:r/>
            <w:r>
              <w:rPr>
                <w:rFonts w:ascii="Calibri" w:hAnsi="Calibri"/>
                <w:b w:val="0"/>
                <w:color w:val="222222"/>
                <w:sz w:val="18"/>
              </w:rPr>
              <w:t>• Localized high shear conflicts with the DIR unless ingredient tolerance is established experimentally.</w:t>
            </w:r>
            <w:r>
              <w:br/>
            </w:r>
            <w:r>
              <w:rPr>
                <w:rFonts w:ascii="Calibri" w:hAnsi="Calibri"/>
                <w:b w:val="0"/>
                <w:color w:val="222222"/>
                <w:sz w:val="18"/>
              </w:rPr>
              <w:t>• Not a standalone means of maintaining whole-vessel uniformity, off-bottom suspension, or heel mixing.</w:t>
            </w:r>
            <w:r>
              <w:br/>
            </w:r>
            <w:r>
              <w:rPr>
                <w:rFonts w:ascii="Calibri" w:hAnsi="Calibri"/>
                <w:b w:val="0"/>
                <w:color w:val="222222"/>
                <w:sz w:val="18"/>
              </w:rPr>
              <w:t>• Adds pump, valves, piping, seals, hold-up volume, cleaning burden, and possible air-ingress points.</w:t>
            </w:r>
            <w:r>
              <w:br/>
            </w:r>
            <w:r>
              <w:rPr>
                <w:rFonts w:ascii="Calibri" w:hAnsi="Calibri"/>
                <w:b w:val="0"/>
                <w:color w:val="222222"/>
                <w:sz w:val="18"/>
              </w:rPr>
              <w:t>• Foam generation and temperature rise can increase if recirculation flow or powder induction is poorly controlled.</w:t>
            </w:r>
          </w:p>
        </w:tc>
      </w:tr>
      <w:tr>
        <w:tc>
          <w:tcPr>
            <w:tcW w:type="dxa" w:w="5112"/>
            <w:shd w:val="clear" w:color="auto" w:fill="1F4E79"/>
          </w:tcPr>
          <w:p>
            <w:pPr>
              <w:spacing w:before="40" w:after="40"/>
            </w:pPr>
            <w:r/>
            <w:r>
              <w:rPr>
                <w:rFonts w:ascii="Calibri" w:hAnsi="Calibri"/>
                <w:b/>
                <w:color w:val="FFFFFF"/>
                <w:sz w:val="18"/>
              </w:rPr>
              <w:t>Manufacturers</w:t>
            </w:r>
          </w:p>
        </w:tc>
        <w:tc>
          <w:tcPr>
            <w:tcW w:type="dxa" w:w="5112"/>
          </w:tcPr>
          <w:p>
            <w:pPr>
              <w:spacing w:before="40" w:after="40"/>
            </w:pPr>
            <w:r/>
            <w:r>
              <w:rPr>
                <w:rFonts w:ascii="Calibri" w:hAnsi="Calibri"/>
                <w:b w:val="0"/>
                <w:color w:val="222222"/>
                <w:sz w:val="18"/>
              </w:rPr>
              <w:t>Silverson (Flashmix and sanitary inline mixer families); YSTRAL (Conti-TDS powder wetting systems); IKA (sanitary inline dispersing systems); Admix (Fastfeed powder induction systems)</w:t>
            </w:r>
          </w:p>
        </w:tc>
      </w:tr>
    </w:tbl>
    <w:p/>
    <w:p>
      <w:pPr>
        <w:spacing w:before="160" w:after="60"/>
      </w:pPr>
      <w:r>
        <w:rPr>
          <w:rFonts w:ascii="Calibri" w:hAnsi="Calibri"/>
          <w:b/>
          <w:color w:val="1F4E79"/>
          <w:sz w:val="22"/>
        </w:rPr>
        <w:t>5. Bottom-entry magnetically coupled agitator</w:t>
      </w:r>
    </w:p>
    <w:p>
      <w:pPr>
        <w:spacing w:before="0" w:after="120"/>
      </w:pPr>
      <w:r>
        <w:rPr>
          <w:rFonts w:ascii="Calibri" w:hAnsi="Calibri"/>
          <w:b/>
          <w:color w:val="1F4E79"/>
          <w:sz w:val="20"/>
        </w:rPr>
        <w:t xml:space="preserve">Industrial applications: </w:t>
      </w:r>
      <w:r>
        <w:rPr>
          <w:rFonts w:ascii="Calibri" w:hAnsi="Calibri"/>
          <w:b w:val="0"/>
          <w:color w:val="222222"/>
          <w:sz w:val="20"/>
        </w:rPr>
        <w:t>Closed hygienic liquid blending with minimized shaft-seal exposure; Low-to-moderate solids media and buffer preparation</w:t>
      </w:r>
    </w:p>
    <w:tbl>
      <w:tblPr>
        <w:tblStyle w:val="TableGrid"/>
        <w:tblW w:type="auto" w:w="0"/>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Pros</w:t>
            </w:r>
          </w:p>
        </w:tc>
        <w:tc>
          <w:tcPr>
            <w:tcW w:type="dxa" w:w="5112"/>
          </w:tcPr>
          <w:p>
            <w:pPr>
              <w:spacing w:before="40" w:after="40"/>
            </w:pPr>
            <w:r/>
            <w:r>
              <w:rPr>
                <w:rFonts w:ascii="Calibri" w:hAnsi="Calibri"/>
                <w:b w:val="0"/>
                <w:color w:val="222222"/>
                <w:sz w:val="18"/>
              </w:rPr>
              <w:t>• Eliminates a conventional dynamic shaft seal through the vessel top and can simplify the closed product boundary.</w:t>
            </w:r>
            <w:r>
              <w:br/>
            </w:r>
            <w:r>
              <w:rPr>
                <w:rFonts w:ascii="Calibri" w:hAnsi="Calibri"/>
                <w:b w:val="0"/>
                <w:color w:val="222222"/>
                <w:sz w:val="18"/>
              </w:rPr>
              <w:t>• Low-level mixing and drain-down performance can be favorable with suitable vessel-bottom geometry.</w:t>
            </w:r>
            <w:r>
              <w:br/>
            </w:r>
            <w:r>
              <w:rPr>
                <w:rFonts w:ascii="Calibri" w:hAnsi="Calibri"/>
                <w:b w:val="0"/>
                <w:color w:val="222222"/>
                <w:sz w:val="18"/>
              </w:rPr>
              <w:t>• Compact external envelope can improve top-head access for charging and instrumentation.</w:t>
            </w:r>
            <w:r>
              <w:br/>
            </w:r>
            <w:r>
              <w:rPr>
                <w:rFonts w:ascii="Calibri" w:hAnsi="Calibri"/>
                <w:b w:val="0"/>
                <w:color w:val="222222"/>
                <w:sz w:val="18"/>
              </w:rPr>
              <w:t>• Commercial hygienic designs are available for biopharmaceutical service.</w:t>
            </w:r>
          </w:p>
        </w:tc>
      </w:tr>
      <w:tr>
        <w:tc>
          <w:tcPr>
            <w:tcW w:type="dxa" w:w="5112"/>
            <w:shd w:val="clear" w:color="auto" w:fill="1F4E79"/>
          </w:tcPr>
          <w:p>
            <w:pPr>
              <w:spacing w:before="40" w:after="40"/>
            </w:pPr>
            <w:r/>
            <w:r>
              <w:rPr>
                <w:rFonts w:ascii="Calibri" w:hAnsi="Calibri"/>
                <w:b/>
                <w:color w:val="FFFFFF"/>
                <w:sz w:val="18"/>
              </w:rPr>
              <w:t>Cons / watchouts</w:t>
            </w:r>
          </w:p>
        </w:tc>
        <w:tc>
          <w:tcPr>
            <w:tcW w:type="dxa" w:w="5112"/>
          </w:tcPr>
          <w:p>
            <w:pPr>
              <w:spacing w:before="40" w:after="40"/>
            </w:pPr>
            <w:r/>
            <w:r>
              <w:rPr>
                <w:rFonts w:ascii="Calibri" w:hAnsi="Calibri"/>
                <w:b w:val="0"/>
                <w:color w:val="222222"/>
                <w:sz w:val="18"/>
              </w:rPr>
              <w:t>• Torque, solids-handling capacity, bearing loading, and scale-up at 10,000 L require careful confirmation.</w:t>
            </w:r>
            <w:r>
              <w:br/>
            </w:r>
            <w:r>
              <w:rPr>
                <w:rFonts w:ascii="Calibri" w:hAnsi="Calibri"/>
                <w:b w:val="0"/>
                <w:color w:val="222222"/>
                <w:sz w:val="18"/>
              </w:rPr>
              <w:t>• A single bottom impeller may not provide adequate top-to-bottom turnover in a 1.5:1 to 2:1 aspect-ratio vessel.</w:t>
            </w:r>
            <w:r>
              <w:br/>
            </w:r>
            <w:r>
              <w:rPr>
                <w:rFonts w:ascii="Calibri" w:hAnsi="Calibri"/>
                <w:b w:val="0"/>
                <w:color w:val="222222"/>
                <w:sz w:val="18"/>
              </w:rPr>
              <w:t>• Bottom bearing and mixing-head regions require inspection and cleaning verification.</w:t>
            </w:r>
            <w:r>
              <w:br/>
            </w:r>
            <w:r>
              <w:rPr>
                <w:rFonts w:ascii="Calibri" w:hAnsi="Calibri"/>
                <w:b w:val="0"/>
                <w:color w:val="222222"/>
                <w:sz w:val="18"/>
              </w:rPr>
              <w:t>• Settled solids after an outage may obstruct the rotor or cause excessive restart torque.</w:t>
            </w:r>
          </w:p>
        </w:tc>
      </w:tr>
      <w:tr>
        <w:tc>
          <w:tcPr>
            <w:tcW w:type="dxa" w:w="5112"/>
            <w:shd w:val="clear" w:color="auto" w:fill="1F4E79"/>
          </w:tcPr>
          <w:p>
            <w:pPr>
              <w:spacing w:before="40" w:after="40"/>
            </w:pPr>
            <w:r/>
            <w:r>
              <w:rPr>
                <w:rFonts w:ascii="Calibri" w:hAnsi="Calibri"/>
                <w:b/>
                <w:color w:val="FFFFFF"/>
                <w:sz w:val="18"/>
              </w:rPr>
              <w:t>Manufacturers</w:t>
            </w:r>
          </w:p>
        </w:tc>
        <w:tc>
          <w:tcPr>
            <w:tcW w:type="dxa" w:w="5112"/>
          </w:tcPr>
          <w:p>
            <w:pPr>
              <w:spacing w:before="40" w:after="40"/>
            </w:pPr>
            <w:r/>
            <w:r>
              <w:rPr>
                <w:rFonts w:ascii="Calibri" w:hAnsi="Calibri"/>
                <w:b w:val="0"/>
                <w:color w:val="222222"/>
                <w:sz w:val="18"/>
              </w:rPr>
              <w:t>Alfa Laval (LeviMag magnetic mixer family); ZETA (bottom-mounted magnetic mixer systems); Steridose (SANIMAG magnetic mixers); Metenova (magnetic mixing systems)</w:t>
            </w:r>
          </w:p>
        </w:tc>
      </w:tr>
    </w:tbl>
    <w:p/>
    <w:p>
      <w:pPr>
        <w:spacing w:before="240" w:after="80"/>
      </w:pPr>
      <w:r>
        <w:rPr>
          <w:rFonts w:ascii="Calibri" w:hAnsi="Calibri"/>
          <w:b/>
          <w:color w:val="1F4E79"/>
          <w:sz w:val="26"/>
        </w:rPr>
        <w:t>5. Recommended preliminary basis of design</w:t>
      </w:r>
    </w:p>
    <w:tbl>
      <w:tblPr>
        <w:tblStyle w:val="TableGrid"/>
        <w:tblW w:type="auto" w:w="0"/>
        <w:tblLook w:firstColumn="1" w:firstRow="1" w:lastColumn="0" w:lastRow="0" w:noHBand="0" w:noVBand="1" w:val="04A0"/>
      </w:tblPr>
      <w:tblGrid>
        <w:gridCol w:w="10224"/>
      </w:tblGrid>
      <w:tr>
        <w:tc>
          <w:tcPr>
            <w:tcW w:type="dxa" w:w="10224"/>
            <w:shd w:val="clear" w:color="auto" w:fill="E8EFF7"/>
            <w:shd w:val="clear" w:color="auto" w:fill="E8EFF7"/>
          </w:tcPr>
          <w:p>
            <w:pPr>
              <w:spacing w:before="40" w:after="40"/>
            </w:pPr>
            <w:r/>
            <w:r>
              <w:rPr>
                <w:rFonts w:ascii="Calibri" w:hAnsi="Calibri"/>
                <w:b w:val="0"/>
                <w:color w:val="222222"/>
                <w:sz w:val="18"/>
              </w:rPr>
              <w:t>Selected basis: Develop a variable-speed hygienic top-entry agitator with staged down-pumping axial-flow hydrofoils, hygienic baffles or validated off-center swirl control, and controlled closed powder addition.</w:t>
            </w:r>
          </w:p>
        </w:tc>
      </w:tr>
    </w:tbl>
    <w:p/>
    <w:p>
      <w:pPr>
        <w:spacing w:before="0" w:after="120"/>
      </w:pPr>
      <w:r>
        <w:rPr>
          <w:rFonts w:ascii="Calibri" w:hAnsi="Calibri"/>
          <w:b w:val="0"/>
          <w:color w:val="222222"/>
          <w:sz w:val="20"/>
        </w:rPr>
        <w:t>Develop a hygienic, VFD-driven top-entry agitator with two or more staged down-pumping hydrofoil impellers. The lowest impeller should provide bottom sweeping without creating an uncleanable narrow clearance; upper stages should preserve axial circulation across the approximately 1.5:1 to 2:1 liquid aspect ratio. Final placement must consider the minimum fill level, powder charging elevation, jacket zones, bottom outlet, spray devices, probes, and discharge heel. Use hygienic baffles where they can be fully drained and spray-cleaned. An off-center or slightly angled agitator is an alternate swirl-control strategy where baffles are undesirable, but it requires structural and hydraulic validation. Published work on off-center hydrofoils in biopharmaceutical vessels shows geometry materially affects performance (Mixing in process vessels used in biopharmaceutical manufacturing, https://pubmed.ncbi.nlm.nih.gov/10753450/). Neither baffle count nor mixer offset should be finalized without flow and cleaning review. The drive should provide qualified turndown for initial fill, powder addition, dissolution, hold, and drawdown. High speed should not be treated as a universal solution because the strict foam and shear constraints may set the upper limit. Monitor speed and agitator load or torque; abnormal load can indicate settled solids, agglomeration, mechanical contact, or viscosity excursions. Use level permissives to prevent operation with an uncovered stage. The top-entry seal must be selected for actual pressure, full vacuum, temperature cycles, cleaning chemicals, permitted leakage, and contamination-control strategy. A single hygienic seal may be sufficient for non-aseptic closed service, while a dual seal and support system may be required if leakage or containment analysis demands it. This decision remains open. SIP and sterile boundary requirements are excluded unless the project establishes them. Scale-up should not rely solely on constant power per volume. Review geometric similarity, circulation or pumping number, impeller tip speed, torque, Froude number where free-surface behavior controls, blend time, and minimum suspension speed. Confirm the design using representative powders at minimum and maximum volumes, 2 °C and relevant warm conditions, maximum loading, worst addition sequence, and the least favorable permitted speed.</w:t>
      </w:r>
    </w:p>
    <w:p>
      <w:pPr>
        <w:spacing w:before="0" w:after="120"/>
      </w:pPr>
      <w:r>
        <w:rPr>
          <w:rFonts w:ascii="Calibri" w:hAnsi="Calibri"/>
          <w:b/>
          <w:color w:val="1F4E79"/>
          <w:sz w:val="20"/>
        </w:rPr>
        <w:t xml:space="preserve">Alternate: </w:t>
      </w:r>
      <w:r>
        <w:rPr>
          <w:rFonts w:ascii="Calibri" w:hAnsi="Calibri"/>
          <w:b w:val="0"/>
          <w:color w:val="222222"/>
          <w:sz w:val="20"/>
        </w:rPr>
        <w:t>Use a variable-speed hygienic top-entry retreat-curve impeller arrangement where cleanability and broad operating range outweigh hydrofoil suspension efficiency, subject to powder-drawdown trials.</w:t>
      </w:r>
    </w:p>
    <w:tbl>
      <w:tblPr>
        <w:tblStyle w:val="TableGrid"/>
        <w:tblW w:type="auto" w:w="0"/>
        <w:tblLayout w:type="autofit"/>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Item</w:t>
            </w:r>
          </w:p>
        </w:tc>
        <w:tc>
          <w:tcPr>
            <w:tcW w:type="dxa" w:w="5112"/>
            <w:shd w:val="clear" w:color="auto" w:fill="1F4E79"/>
          </w:tcPr>
          <w:p>
            <w:pPr>
              <w:spacing w:before="40" w:after="40"/>
            </w:pPr>
            <w:r/>
            <w:r>
              <w:rPr>
                <w:rFonts w:ascii="Calibri" w:hAnsi="Calibri"/>
                <w:b/>
                <w:color w:val="FFFFFF"/>
                <w:sz w:val="18"/>
              </w:rPr>
              <w:t>Preliminary requirement</w:t>
            </w:r>
          </w:p>
        </w:tc>
      </w:tr>
      <w:tr>
        <w:tc>
          <w:tcPr>
            <w:tcW w:type="dxa" w:w="5112"/>
          </w:tcPr>
          <w:p>
            <w:pPr>
              <w:spacing w:before="40" w:after="40"/>
            </w:pPr>
            <w:r/>
            <w:r>
              <w:rPr>
                <w:rFonts w:ascii="Calibri" w:hAnsi="Calibri"/>
                <w:b w:val="0"/>
                <w:color w:val="222222"/>
                <w:sz w:val="18"/>
              </w:rPr>
              <w:t>Mixer type</w:t>
            </w:r>
          </w:p>
        </w:tc>
        <w:tc>
          <w:tcPr>
            <w:tcW w:type="dxa" w:w="5112"/>
          </w:tcPr>
          <w:p>
            <w:pPr>
              <w:spacing w:before="40" w:after="40"/>
            </w:pPr>
            <w:r/>
            <w:r>
              <w:rPr>
                <w:rFonts w:ascii="Calibri" w:hAnsi="Calibri"/>
                <w:b w:val="0"/>
                <w:color w:val="222222"/>
                <w:sz w:val="18"/>
              </w:rPr>
              <w:t>Hygienic top-entry, variable-speed agitator</w:t>
            </w:r>
          </w:p>
        </w:tc>
      </w:tr>
      <w:tr>
        <w:tc>
          <w:tcPr>
            <w:tcW w:type="dxa" w:w="5112"/>
            <w:shd w:val="clear" w:color="auto" w:fill="F5F8FC"/>
          </w:tcPr>
          <w:p>
            <w:pPr>
              <w:spacing w:before="40" w:after="40"/>
            </w:pPr>
            <w:r/>
            <w:r>
              <w:rPr>
                <w:rFonts w:ascii="Calibri" w:hAnsi="Calibri"/>
                <w:b w:val="0"/>
                <w:color w:val="222222"/>
                <w:sz w:val="18"/>
              </w:rPr>
              <w:t>Impeller basis</w:t>
            </w:r>
          </w:p>
        </w:tc>
        <w:tc>
          <w:tcPr>
            <w:tcW w:type="dxa" w:w="5112"/>
            <w:shd w:val="clear" w:color="auto" w:fill="F5F8FC"/>
          </w:tcPr>
          <w:p>
            <w:pPr>
              <w:spacing w:before="40" w:after="40"/>
            </w:pPr>
            <w:r/>
            <w:r>
              <w:rPr>
                <w:rFonts w:ascii="Calibri" w:hAnsi="Calibri"/>
                <w:b w:val="0"/>
                <w:color w:val="222222"/>
                <w:sz w:val="18"/>
              </w:rPr>
              <w:t>Staged down-pumping axial-flow hydrofoils</w:t>
            </w:r>
          </w:p>
        </w:tc>
      </w:tr>
      <w:tr>
        <w:tc>
          <w:tcPr>
            <w:tcW w:type="dxa" w:w="5112"/>
          </w:tcPr>
          <w:p>
            <w:pPr>
              <w:spacing w:before="40" w:after="40"/>
            </w:pPr>
            <w:r/>
            <w:r>
              <w:rPr>
                <w:rFonts w:ascii="Calibri" w:hAnsi="Calibri"/>
                <w:b w:val="0"/>
                <w:color w:val="222222"/>
                <w:sz w:val="18"/>
              </w:rPr>
              <w:t>Working volume</w:t>
            </w:r>
          </w:p>
        </w:tc>
        <w:tc>
          <w:tcPr>
            <w:tcW w:type="dxa" w:w="5112"/>
          </w:tcPr>
          <w:p>
            <w:pPr>
              <w:spacing w:before="40" w:after="40"/>
            </w:pPr>
            <w:r/>
            <w:r>
              <w:rPr>
                <w:rFonts w:ascii="Calibri" w:hAnsi="Calibri"/>
                <w:b w:val="0"/>
                <w:color w:val="222222"/>
                <w:sz w:val="18"/>
              </w:rPr>
              <w:t>2,000–10,000 L</w:t>
            </w:r>
          </w:p>
        </w:tc>
      </w:tr>
      <w:tr>
        <w:tc>
          <w:tcPr>
            <w:tcW w:type="dxa" w:w="5112"/>
            <w:shd w:val="clear" w:color="auto" w:fill="F5F8FC"/>
          </w:tcPr>
          <w:p>
            <w:pPr>
              <w:spacing w:before="40" w:after="40"/>
            </w:pPr>
            <w:r/>
            <w:r>
              <w:rPr>
                <w:rFonts w:ascii="Calibri" w:hAnsi="Calibri"/>
                <w:b w:val="0"/>
                <w:color w:val="222222"/>
                <w:sz w:val="18"/>
              </w:rPr>
              <w:t>Product-contact material</w:t>
            </w:r>
          </w:p>
        </w:tc>
        <w:tc>
          <w:tcPr>
            <w:tcW w:type="dxa" w:w="5112"/>
            <w:shd w:val="clear" w:color="auto" w:fill="F5F8FC"/>
          </w:tcPr>
          <w:p>
            <w:pPr>
              <w:spacing w:before="40" w:after="40"/>
            </w:pPr>
            <w:r/>
            <w:r>
              <w:rPr>
                <w:rFonts w:ascii="Calibri" w:hAnsi="Calibri"/>
                <w:b w:val="0"/>
                <w:color w:val="222222"/>
                <w:sz w:val="18"/>
              </w:rPr>
              <w:t>316L stainless steel or approved equivalent</w:t>
            </w:r>
          </w:p>
        </w:tc>
      </w:tr>
      <w:tr>
        <w:tc>
          <w:tcPr>
            <w:tcW w:type="dxa" w:w="5112"/>
          </w:tcPr>
          <w:p>
            <w:pPr>
              <w:spacing w:before="40" w:after="40"/>
            </w:pPr>
            <w:r/>
            <w:r>
              <w:rPr>
                <w:rFonts w:ascii="Calibri" w:hAnsi="Calibri"/>
                <w:b w:val="0"/>
                <w:color w:val="222222"/>
                <w:sz w:val="18"/>
              </w:rPr>
              <w:t>Cleaning</w:t>
            </w:r>
          </w:p>
        </w:tc>
        <w:tc>
          <w:tcPr>
            <w:tcW w:type="dxa" w:w="5112"/>
          </w:tcPr>
          <w:p>
            <w:pPr>
              <w:spacing w:before="40" w:after="40"/>
            </w:pPr>
            <w:r/>
            <w:r>
              <w:rPr>
                <w:rFonts w:ascii="Calibri" w:hAnsi="Calibri"/>
                <w:b w:val="0"/>
                <w:color w:val="222222"/>
                <w:sz w:val="18"/>
              </w:rPr>
              <w:t>Drainable CIP design with documented coverage</w:t>
            </w:r>
          </w:p>
        </w:tc>
      </w:tr>
      <w:tr>
        <w:tc>
          <w:tcPr>
            <w:tcW w:type="dxa" w:w="5112"/>
            <w:shd w:val="clear" w:color="auto" w:fill="F5F8FC"/>
          </w:tcPr>
          <w:p>
            <w:pPr>
              <w:spacing w:before="40" w:after="40"/>
            </w:pPr>
            <w:r/>
            <w:r>
              <w:rPr>
                <w:rFonts w:ascii="Calibri" w:hAnsi="Calibri"/>
                <w:b w:val="0"/>
                <w:color w:val="222222"/>
                <w:sz w:val="18"/>
              </w:rPr>
              <w:t>Sterilization</w:t>
            </w:r>
          </w:p>
        </w:tc>
        <w:tc>
          <w:tcPr>
            <w:tcW w:type="dxa" w:w="5112"/>
            <w:shd w:val="clear" w:color="auto" w:fill="F5F8FC"/>
          </w:tcPr>
          <w:p>
            <w:pPr>
              <w:spacing w:before="40" w:after="40"/>
            </w:pPr>
            <w:r/>
            <w:r>
              <w:rPr>
                <w:rFonts w:ascii="Calibri" w:hAnsi="Calibri"/>
                <w:b w:val="0"/>
                <w:color w:val="222222"/>
                <w:sz w:val="18"/>
              </w:rPr>
              <w:t>Not established; do not assume SIP</w:t>
            </w:r>
          </w:p>
        </w:tc>
      </w:tr>
      <w:tr>
        <w:tc>
          <w:tcPr>
            <w:tcW w:type="dxa" w:w="5112"/>
          </w:tcPr>
          <w:p>
            <w:pPr>
              <w:spacing w:before="40" w:after="40"/>
            </w:pPr>
            <w:r/>
            <w:r>
              <w:rPr>
                <w:rFonts w:ascii="Calibri" w:hAnsi="Calibri"/>
                <w:b w:val="0"/>
                <w:color w:val="222222"/>
                <w:sz w:val="18"/>
              </w:rPr>
              <w:t>Swirl control</w:t>
            </w:r>
          </w:p>
        </w:tc>
        <w:tc>
          <w:tcPr>
            <w:tcW w:type="dxa" w:w="5112"/>
          </w:tcPr>
          <w:p>
            <w:pPr>
              <w:spacing w:before="40" w:after="40"/>
            </w:pPr>
            <w:r/>
            <w:r>
              <w:rPr>
                <w:rFonts w:ascii="Calibri" w:hAnsi="Calibri"/>
                <w:b w:val="0"/>
                <w:color w:val="222222"/>
                <w:sz w:val="18"/>
              </w:rPr>
              <w:t>Hygienic baffles or validated off-center arrangement</w:t>
            </w:r>
          </w:p>
        </w:tc>
      </w:tr>
      <w:tr>
        <w:tc>
          <w:tcPr>
            <w:tcW w:type="dxa" w:w="5112"/>
            <w:shd w:val="clear" w:color="auto" w:fill="F5F8FC"/>
          </w:tcPr>
          <w:p>
            <w:pPr>
              <w:spacing w:before="40" w:after="40"/>
            </w:pPr>
            <w:r/>
            <w:r>
              <w:rPr>
                <w:rFonts w:ascii="Calibri" w:hAnsi="Calibri"/>
                <w:b w:val="0"/>
                <w:color w:val="222222"/>
                <w:sz w:val="18"/>
              </w:rPr>
              <w:t>Instrumentation</w:t>
            </w:r>
          </w:p>
        </w:tc>
        <w:tc>
          <w:tcPr>
            <w:tcW w:type="dxa" w:w="5112"/>
            <w:shd w:val="clear" w:color="auto" w:fill="F5F8FC"/>
          </w:tcPr>
          <w:p>
            <w:pPr>
              <w:spacing w:before="40" w:after="40"/>
            </w:pPr>
            <w:r/>
            <w:r>
              <w:rPr>
                <w:rFonts w:ascii="Calibri" w:hAnsi="Calibri"/>
                <w:b w:val="0"/>
                <w:color w:val="222222"/>
                <w:sz w:val="18"/>
              </w:rPr>
              <w:t>Speed, load/torque, temperature, level permissives, load cells, and formulation-specific endpoint instruments</w:t>
            </w:r>
          </w:p>
        </w:tc>
      </w:tr>
      <w:tr>
        <w:tc>
          <w:tcPr>
            <w:tcW w:type="dxa" w:w="5112"/>
          </w:tcPr>
          <w:p>
            <w:pPr>
              <w:spacing w:before="40" w:after="40"/>
            </w:pPr>
            <w:r/>
            <w:r>
              <w:rPr>
                <w:rFonts w:ascii="Calibri" w:hAnsi="Calibri"/>
                <w:b w:val="0"/>
                <w:color w:val="222222"/>
                <w:sz w:val="18"/>
              </w:rPr>
              <w:t>Seal</w:t>
            </w:r>
          </w:p>
        </w:tc>
        <w:tc>
          <w:tcPr>
            <w:tcW w:type="dxa" w:w="5112"/>
          </w:tcPr>
          <w:p>
            <w:pPr>
              <w:spacing w:before="40" w:after="40"/>
            </w:pPr>
            <w:r/>
            <w:r>
              <w:rPr>
                <w:rFonts w:ascii="Calibri" w:hAnsi="Calibri"/>
                <w:b w:val="0"/>
                <w:color w:val="222222"/>
                <w:sz w:val="18"/>
              </w:rPr>
              <w:t>Hygienic arrangement suitable for defined pressure, vacuum, temperature, and cleaning cycles</w:t>
            </w:r>
          </w:p>
        </w:tc>
      </w:tr>
      <w:tr>
        <w:tc>
          <w:tcPr>
            <w:tcW w:type="dxa" w:w="5112"/>
            <w:shd w:val="clear" w:color="auto" w:fill="F5F8FC"/>
          </w:tcPr>
          <w:p>
            <w:pPr>
              <w:spacing w:before="40" w:after="40"/>
            </w:pPr>
            <w:r/>
            <w:r>
              <w:rPr>
                <w:rFonts w:ascii="Calibri" w:hAnsi="Calibri"/>
                <w:b w:val="0"/>
                <w:color w:val="222222"/>
                <w:sz w:val="18"/>
              </w:rPr>
              <w:t>Qualification</w:t>
            </w:r>
          </w:p>
        </w:tc>
        <w:tc>
          <w:tcPr>
            <w:tcW w:type="dxa" w:w="5112"/>
            <w:shd w:val="clear" w:color="auto" w:fill="F5F8FC"/>
          </w:tcPr>
          <w:p>
            <w:pPr>
              <w:spacing w:before="40" w:after="40"/>
            </w:pPr>
            <w:r/>
            <w:r>
              <w:rPr>
                <w:rFonts w:ascii="Calibri" w:hAnsi="Calibri"/>
                <w:b w:val="0"/>
                <w:color w:val="222222"/>
                <w:sz w:val="18"/>
              </w:rPr>
              <w:t>Powder drawdown, dissolution, ±2% uniformity, foam, heel mixing, restart, drainability, and cleaning studies</w:t>
            </w:r>
          </w:p>
        </w:tc>
      </w:tr>
    </w:tbl>
    <w:p/>
    <w:p>
      <w:pPr>
        <w:spacing w:before="240" w:after="80"/>
      </w:pPr>
      <w:r>
        <w:rPr>
          <w:rFonts w:ascii="Calibri" w:hAnsi="Calibri"/>
          <w:b/>
          <w:color w:val="1F4E79"/>
          <w:sz w:val="26"/>
        </w:rPr>
        <w:t>6. Suggested operating recipe for qualification</w:t>
      </w:r>
    </w:p>
    <w:p>
      <w:pPr>
        <w:spacing w:before="0" w:after="40"/>
      </w:pPr>
      <w:r>
        <w:rPr>
          <w:rFonts w:ascii="Calibri" w:hAnsi="Calibri"/>
          <w:b w:val="0"/>
          <w:color w:val="222222"/>
          <w:sz w:val="20"/>
        </w:rPr>
        <w:t>• Charge a defined initial liquid heel sufficient to submerge the lowest impeller and satisfy the qualified level permissive.</w:t>
      </w:r>
    </w:p>
    <w:p>
      <w:pPr>
        <w:spacing w:before="0" w:after="40"/>
      </w:pPr>
      <w:r>
        <w:rPr>
          <w:rFonts w:ascii="Calibri" w:hAnsi="Calibri"/>
          <w:b w:val="0"/>
          <w:color w:val="222222"/>
          <w:sz w:val="20"/>
        </w:rPr>
        <w:t>• Start the agitator at the validated low circulation speed; verify seal support, speed feedback, normal load, and absence of a surface vortex.</w:t>
      </w:r>
    </w:p>
    <w:p>
      <w:pPr>
        <w:spacing w:before="0" w:after="40"/>
      </w:pPr>
      <w:r>
        <w:rPr>
          <w:rFonts w:ascii="Calibri" w:hAnsi="Calibri"/>
          <w:b w:val="0"/>
          <w:color w:val="222222"/>
          <w:sz w:val="20"/>
        </w:rPr>
        <w:t>• Adjust temperature to the formulation target and establish a stable circulation pattern before powder addition.</w:t>
      </w:r>
    </w:p>
    <w:p>
      <w:pPr>
        <w:spacing w:before="0" w:after="40"/>
      </w:pPr>
      <w:r>
        <w:rPr>
          <w:rFonts w:ascii="Calibri" w:hAnsi="Calibri"/>
          <w:b w:val="0"/>
          <w:color w:val="222222"/>
          <w:sz w:val="20"/>
        </w:rPr>
        <w:t>• Add powders through the closed charging path in the qualified sequence and at a controlled maximum rate. Avoid dumping that overwhelms wetting capacity.</w:t>
      </w:r>
    </w:p>
    <w:p>
      <w:pPr>
        <w:spacing w:before="0" w:after="40"/>
      </w:pPr>
      <w:r>
        <w:rPr>
          <w:rFonts w:ascii="Calibri" w:hAnsi="Calibri"/>
          <w:b w:val="0"/>
          <w:color w:val="222222"/>
          <w:sz w:val="20"/>
        </w:rPr>
        <w:t>• Increase speed only within the qualified shear, foam, and minimum-submergence envelope. Record torque or power response during each addition.</w:t>
      </w:r>
    </w:p>
    <w:p>
      <w:pPr>
        <w:spacing w:before="0" w:after="40"/>
      </w:pPr>
      <w:r>
        <w:rPr>
          <w:rFonts w:ascii="Calibri" w:hAnsi="Calibri"/>
          <w:b w:val="0"/>
          <w:color w:val="222222"/>
          <w:sz w:val="20"/>
        </w:rPr>
        <w:t>• Inspect or instrument for rafting, wall deposits, bottom accumulation, and persistent agglomerates. An inline wetting loop, if installed, should operate only under a separately qualified recipe.</w:t>
      </w:r>
    </w:p>
    <w:p>
      <w:pPr>
        <w:spacing w:before="0" w:after="40"/>
      </w:pPr>
      <w:r>
        <w:rPr>
          <w:rFonts w:ascii="Calibri" w:hAnsi="Calibri"/>
          <w:b w:val="0"/>
          <w:color w:val="222222"/>
          <w:sz w:val="20"/>
        </w:rPr>
        <w:t>• Start the dissolution timer at a clearly defined event, such as completion of the final critical powder addition.</w:t>
      </w:r>
    </w:p>
    <w:p>
      <w:pPr>
        <w:spacing w:before="0" w:after="40"/>
      </w:pPr>
      <w:r>
        <w:rPr>
          <w:rFonts w:ascii="Calibri" w:hAnsi="Calibri"/>
          <w:b w:val="0"/>
          <w:color w:val="222222"/>
          <w:sz w:val="20"/>
        </w:rPr>
        <w:t>• Demonstrate the analytical endpoint using top, middle, bottom, near-wall, and outlet samples or validated in-line measurements. Conductivity alone may be insufficient for ingredients that contribute weakly to ionic strength.</w:t>
      </w:r>
    </w:p>
    <w:p>
      <w:pPr>
        <w:spacing w:before="0" w:after="40"/>
      </w:pPr>
      <w:r>
        <w:rPr>
          <w:rFonts w:ascii="Calibri" w:hAnsi="Calibri"/>
          <w:b w:val="0"/>
          <w:color w:val="222222"/>
          <w:sz w:val="20"/>
        </w:rPr>
        <w:t>• Confirm all qualified locations are within ±2% of the approved reference within 15 minutes and that ingredient-specific dissolution, pH, osmolality, appearance, and temperature requirements are met.</w:t>
      </w:r>
    </w:p>
    <w:p>
      <w:pPr>
        <w:spacing w:before="0" w:after="40"/>
      </w:pPr>
      <w:r>
        <w:rPr>
          <w:rFonts w:ascii="Calibri" w:hAnsi="Calibri"/>
          <w:b w:val="0"/>
          <w:color w:val="222222"/>
          <w:sz w:val="20"/>
        </w:rPr>
        <w:t>• Reduce to a validated hold speed that maintains uniformity without accumulating foam or allowing solids to settle.</w:t>
      </w:r>
    </w:p>
    <w:p>
      <w:pPr>
        <w:spacing w:before="0" w:after="40"/>
      </w:pPr>
      <w:r>
        <w:rPr>
          <w:rFonts w:ascii="Calibri" w:hAnsi="Calibri"/>
          <w:b w:val="0"/>
          <w:color w:val="222222"/>
          <w:sz w:val="20"/>
        </w:rPr>
        <w:t>• Challenge a defined agitation interruption. Assess settled-bed formation, restart torque, resuspension time, and product impact before approving an outage recovery procedure.</w:t>
      </w:r>
    </w:p>
    <w:p>
      <w:pPr>
        <w:spacing w:before="0" w:after="40"/>
      </w:pPr>
      <w:r>
        <w:rPr>
          <w:rFonts w:ascii="Calibri" w:hAnsi="Calibri"/>
          <w:b w:val="0"/>
          <w:color w:val="222222"/>
          <w:sz w:val="20"/>
        </w:rPr>
        <w:t>• During transfer, maintain the qualified drawdown speed until the minimum safe level. Characterize the discharge heel, outlet concentration, vortex onset, and any solids accumulation.</w:t>
      </w:r>
    </w:p>
    <w:p>
      <w:pPr>
        <w:spacing w:before="0" w:after="40"/>
      </w:pPr>
      <w:r>
        <w:rPr>
          <w:rFonts w:ascii="Calibri" w:hAnsi="Calibri"/>
          <w:b w:val="0"/>
          <w:color w:val="222222"/>
          <w:sz w:val="20"/>
        </w:rPr>
        <w:t>• Stop before an impeller becomes uncovered unless dry exposure has been specifically evaluated. Drain and execute the approved CIP cycle.</w:t>
      </w:r>
    </w:p>
    <w:p>
      <w:pPr>
        <w:spacing w:before="0" w:after="40"/>
      </w:pPr>
      <w:r>
        <w:rPr>
          <w:rFonts w:ascii="Calibri" w:hAnsi="Calibri"/>
          <w:b w:val="0"/>
          <w:color w:val="222222"/>
          <w:sz w:val="20"/>
        </w:rPr>
        <w:t>• Verify cleaning at the shaft seal, hubs, blade undersides, baffles, probes, powder inlet, bottom outlet, and any recirculation loop using risk-based riboflavin coverage, rinse sampling, swabbing, or approved alternatives.</w:t>
      </w:r>
    </w:p>
    <w:p>
      <w:pPr>
        <w:spacing w:before="0" w:after="40"/>
      </w:pPr>
      <w:r>
        <w:rPr>
          <w:rFonts w:ascii="Calibri" w:hAnsi="Calibri"/>
          <w:b w:val="0"/>
          <w:color w:val="222222"/>
          <w:sz w:val="20"/>
        </w:rPr>
        <w:t>• Risk-based validation should bracket worst-case load, volume, temperature, addition order, and permitted operating settings rather than qualifying only a nominal batch. See Risk- and Science-Based Media and Buffer Mixing Validations (https://ispe.org/pharmaceutical-engineering/march-april-2024/risk-and-science-based-media-and-buffer-mixing).</w:t>
      </w:r>
    </w:p>
    <w:p>
      <w:pPr>
        <w:spacing w:before="240" w:after="80"/>
      </w:pPr>
      <w:r>
        <w:rPr>
          <w:rFonts w:ascii="Calibri" w:hAnsi="Calibri"/>
          <w:b/>
          <w:color w:val="1F4E79"/>
          <w:sz w:val="26"/>
        </w:rPr>
        <w:t>7. Options not recommended as primary basis</w:t>
      </w:r>
    </w:p>
    <w:tbl>
      <w:tblPr>
        <w:tblStyle w:val="TableGrid"/>
        <w:tblW w:type="auto" w:w="0"/>
        <w:tblLayout w:type="autofit"/>
        <w:tblLook w:firstColumn="1" w:firstRow="1" w:lastColumn="0" w:lastRow="0" w:noHBand="0" w:noVBand="1" w:val="04A0"/>
      </w:tblPr>
      <w:tblGrid>
        <w:gridCol w:w="5112"/>
        <w:gridCol w:w="5112"/>
      </w:tblGrid>
      <w:tr>
        <w:tc>
          <w:tcPr>
            <w:tcW w:type="dxa" w:w="5112"/>
            <w:shd w:val="clear" w:color="auto" w:fill="1F4E79"/>
          </w:tcPr>
          <w:p>
            <w:pPr>
              <w:spacing w:before="40" w:after="40"/>
            </w:pPr>
            <w:r/>
            <w:r>
              <w:rPr>
                <w:rFonts w:ascii="Calibri" w:hAnsi="Calibri"/>
                <w:b/>
                <w:color w:val="FFFFFF"/>
                <w:sz w:val="18"/>
              </w:rPr>
              <w:t>Technology</w:t>
            </w:r>
          </w:p>
        </w:tc>
        <w:tc>
          <w:tcPr>
            <w:tcW w:type="dxa" w:w="5112"/>
            <w:shd w:val="clear" w:color="auto" w:fill="1F4E79"/>
          </w:tcPr>
          <w:p>
            <w:pPr>
              <w:spacing w:before="40" w:after="40"/>
            </w:pPr>
            <w:r/>
            <w:r>
              <w:rPr>
                <w:rFonts w:ascii="Calibri" w:hAnsi="Calibri"/>
                <w:b/>
                <w:color w:val="FFFFFF"/>
                <w:sz w:val="18"/>
              </w:rPr>
              <w:t>Reason not primary for this DIR</w:t>
            </w:r>
          </w:p>
        </w:tc>
      </w:tr>
      <w:tr>
        <w:tc>
          <w:tcPr>
            <w:tcW w:type="dxa" w:w="5112"/>
          </w:tcPr>
          <w:p>
            <w:pPr>
              <w:spacing w:before="40" w:after="40"/>
            </w:pPr>
            <w:r/>
            <w:r>
              <w:rPr>
                <w:rFonts w:ascii="Calibri" w:hAnsi="Calibri"/>
                <w:b w:val="0"/>
                <w:color w:val="222222"/>
                <w:sz w:val="18"/>
              </w:rPr>
              <w:t>Anchor or frame agitator</w:t>
            </w:r>
          </w:p>
        </w:tc>
        <w:tc>
          <w:tcPr>
            <w:tcW w:type="dxa" w:w="5112"/>
          </w:tcPr>
          <w:p>
            <w:pPr>
              <w:spacing w:before="40" w:after="40"/>
            </w:pPr>
            <w:r/>
            <w:r>
              <w:rPr>
                <w:rFonts w:ascii="Calibri" w:hAnsi="Calibri"/>
                <w:b w:val="0"/>
                <w:color w:val="222222"/>
                <w:sz w:val="18"/>
              </w:rPr>
              <w:t>Predominantly tangential, close-clearance flow is not the preferred primary mechanism for rapid powder drawdown and turbulent suspension in water-like media.</w:t>
            </w:r>
          </w:p>
        </w:tc>
      </w:tr>
      <w:tr>
        <w:tc>
          <w:tcPr>
            <w:tcW w:type="dxa" w:w="5112"/>
            <w:shd w:val="clear" w:color="auto" w:fill="F5F8FC"/>
          </w:tcPr>
          <w:p>
            <w:pPr>
              <w:spacing w:before="40" w:after="40"/>
            </w:pPr>
            <w:r/>
            <w:r>
              <w:rPr>
                <w:rFonts w:ascii="Calibri" w:hAnsi="Calibri"/>
                <w:b w:val="0"/>
                <w:color w:val="222222"/>
                <w:sz w:val="18"/>
              </w:rPr>
              <w:t>Helical-ribbon agitator</w:t>
            </w:r>
          </w:p>
        </w:tc>
        <w:tc>
          <w:tcPr>
            <w:tcW w:type="dxa" w:w="5112"/>
            <w:shd w:val="clear" w:color="auto" w:fill="F5F8FC"/>
          </w:tcPr>
          <w:p>
            <w:pPr>
              <w:spacing w:before="40" w:after="40"/>
            </w:pPr>
            <w:r/>
            <w:r>
              <w:rPr>
                <w:rFonts w:ascii="Calibri" w:hAnsi="Calibri"/>
                <w:b w:val="0"/>
                <w:color w:val="222222"/>
                <w:sz w:val="18"/>
              </w:rPr>
              <w:t>Intended mainly for laminar, very-high-viscosity service and adds unnecessary close-clearance internals for the expected media-preparation duty.</w:t>
            </w:r>
          </w:p>
        </w:tc>
      </w:tr>
      <w:tr>
        <w:tc>
          <w:tcPr>
            <w:tcW w:type="dxa" w:w="5112"/>
          </w:tcPr>
          <w:p>
            <w:pPr>
              <w:spacing w:before="40" w:after="40"/>
            </w:pPr>
            <w:r/>
            <w:r>
              <w:rPr>
                <w:rFonts w:ascii="Calibri" w:hAnsi="Calibri"/>
                <w:b w:val="0"/>
                <w:color w:val="222222"/>
                <w:sz w:val="18"/>
              </w:rPr>
              <w:t>Recirculating jet-mixing system</w:t>
            </w:r>
          </w:p>
        </w:tc>
        <w:tc>
          <w:tcPr>
            <w:tcW w:type="dxa" w:w="5112"/>
          </w:tcPr>
          <w:p>
            <w:pPr>
              <w:spacing w:before="40" w:after="40"/>
            </w:pPr>
            <w:r/>
            <w:r>
              <w:rPr>
                <w:rFonts w:ascii="Calibri" w:hAnsi="Calibri"/>
                <w:b w:val="0"/>
                <w:color w:val="222222"/>
                <w:sz w:val="18"/>
              </w:rPr>
              <w:t>Primary performance would depend on pump hydraulics and nozzle coverage, with increased concern for low-level coverage, dead zones, loop cleanability, and reliable powder suspension.</w:t>
            </w:r>
          </w:p>
        </w:tc>
      </w:tr>
    </w:tbl>
    <w:p/>
    <w:p>
      <w:pPr>
        <w:spacing w:before="240" w:after="80"/>
      </w:pPr>
      <w:r>
        <w:rPr>
          <w:rFonts w:ascii="Calibri" w:hAnsi="Calibri"/>
          <w:b/>
          <w:color w:val="1F4E79"/>
          <w:sz w:val="26"/>
        </w:rPr>
        <w:t>8. Preliminary option evaluation matrix</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color="auto" w:fill="1F4E79"/>
          </w:tcPr>
          <w:p>
            <w:pPr>
              <w:spacing w:before="40" w:after="40"/>
            </w:pPr>
            <w:r/>
            <w:r>
              <w:rPr>
                <w:rFonts w:ascii="Calibri" w:hAnsi="Calibri"/>
                <w:b/>
                <w:color w:val="FFFFFF"/>
                <w:sz w:val="18"/>
              </w:rPr>
              <w:t>Rank</w:t>
            </w:r>
          </w:p>
        </w:tc>
        <w:tc>
          <w:tcPr>
            <w:tcW w:type="dxa" w:w="1461"/>
            <w:shd w:val="clear" w:color="auto" w:fill="1F4E79"/>
          </w:tcPr>
          <w:p>
            <w:pPr>
              <w:spacing w:before="40" w:after="40"/>
            </w:pPr>
            <w:r/>
            <w:r>
              <w:rPr>
                <w:rFonts w:ascii="Calibri" w:hAnsi="Calibri"/>
                <w:b/>
                <w:color w:val="FFFFFF"/>
                <w:sz w:val="18"/>
              </w:rPr>
              <w:t>Option</w:t>
            </w:r>
          </w:p>
        </w:tc>
        <w:tc>
          <w:tcPr>
            <w:tcW w:type="dxa" w:w="1461"/>
            <w:shd w:val="clear" w:color="auto" w:fill="1F4E79"/>
          </w:tcPr>
          <w:p>
            <w:pPr>
              <w:spacing w:before="40" w:after="40"/>
            </w:pPr>
            <w:r/>
            <w:r>
              <w:rPr>
                <w:rFonts w:ascii="Calibri" w:hAnsi="Calibri"/>
                <w:b/>
                <w:color w:val="FFFFFF"/>
                <w:sz w:val="18"/>
              </w:rPr>
              <w:t>Technical fit</w:t>
            </w:r>
          </w:p>
        </w:tc>
        <w:tc>
          <w:tcPr>
            <w:tcW w:type="dxa" w:w="1461"/>
            <w:shd w:val="clear" w:color="auto" w:fill="1F4E79"/>
          </w:tcPr>
          <w:p>
            <w:pPr>
              <w:spacing w:before="40" w:after="40"/>
            </w:pPr>
            <w:r/>
            <w:r>
              <w:rPr>
                <w:rFonts w:ascii="Calibri" w:hAnsi="Calibri"/>
                <w:b/>
                <w:color w:val="FFFFFF"/>
                <w:sz w:val="18"/>
              </w:rPr>
              <w:t>GMP / hygienic fit</w:t>
            </w:r>
          </w:p>
        </w:tc>
        <w:tc>
          <w:tcPr>
            <w:tcW w:type="dxa" w:w="1461"/>
            <w:shd w:val="clear" w:color="auto" w:fill="1F4E79"/>
          </w:tcPr>
          <w:p>
            <w:pPr>
              <w:spacing w:before="40" w:after="40"/>
            </w:pPr>
            <w:r/>
            <w:r>
              <w:rPr>
                <w:rFonts w:ascii="Calibri" w:hAnsi="Calibri"/>
                <w:b/>
                <w:color w:val="FFFFFF"/>
                <w:sz w:val="18"/>
              </w:rPr>
              <w:t>Scale-up risk</w:t>
            </w:r>
          </w:p>
        </w:tc>
        <w:tc>
          <w:tcPr>
            <w:tcW w:type="dxa" w:w="1461"/>
            <w:shd w:val="clear" w:color="auto" w:fill="1F4E79"/>
          </w:tcPr>
          <w:p>
            <w:pPr>
              <w:spacing w:before="40" w:after="40"/>
            </w:pPr>
            <w:r/>
            <w:r>
              <w:rPr>
                <w:rFonts w:ascii="Calibri" w:hAnsi="Calibri"/>
                <w:b/>
                <w:color w:val="FFFFFF"/>
                <w:sz w:val="18"/>
              </w:rPr>
              <w:t>Cost / schedule</w:t>
            </w:r>
          </w:p>
        </w:tc>
        <w:tc>
          <w:tcPr>
            <w:tcW w:type="dxa" w:w="1461"/>
            <w:shd w:val="clear" w:color="auto" w:fill="1F4E79"/>
          </w:tcPr>
          <w:p>
            <w:pPr>
              <w:spacing w:before="40" w:after="40"/>
            </w:pPr>
            <w:r/>
            <w:r>
              <w:rPr>
                <w:rFonts w:ascii="Calibri" w:hAnsi="Calibri"/>
                <w:b/>
                <w:color w:val="FFFFFF"/>
                <w:sz w:val="18"/>
              </w:rPr>
              <w:t>Reliability</w:t>
            </w:r>
          </w:p>
        </w:tc>
      </w:tr>
      <w:tr>
        <w:tc>
          <w:tcPr>
            <w:tcW w:type="dxa" w:w="1461"/>
          </w:tcPr>
          <w:p>
            <w:pPr>
              <w:spacing w:before="40" w:after="40"/>
            </w:pPr>
            <w:r/>
            <w:r>
              <w:rPr>
                <w:rFonts w:ascii="Calibri" w:hAnsi="Calibri"/>
                <w:b w:val="0"/>
                <w:color w:val="222222"/>
                <w:sz w:val="18"/>
              </w:rPr>
              <w:t>1</w:t>
            </w:r>
          </w:p>
        </w:tc>
        <w:tc>
          <w:tcPr>
            <w:tcW w:type="dxa" w:w="1461"/>
          </w:tcPr>
          <w:p>
            <w:pPr>
              <w:spacing w:before="40" w:after="40"/>
            </w:pPr>
            <w:r/>
            <w:r>
              <w:rPr>
                <w:rFonts w:ascii="Calibri" w:hAnsi="Calibri"/>
                <w:b w:val="0"/>
                <w:color w:val="222222"/>
                <w:sz w:val="18"/>
              </w:rPr>
              <w:t>Top-entry hydrofoil agitator</w:t>
            </w:r>
          </w:p>
        </w:tc>
        <w:tc>
          <w:tcPr>
            <w:tcW w:type="dxa" w:w="1461"/>
          </w:tcPr>
          <w:p>
            <w:pPr>
              <w:spacing w:before="40" w:after="40"/>
            </w:pPr>
            <w:r/>
            <w:r>
              <w:rPr>
                <w:rFonts w:ascii="Calibri" w:hAnsi="Calibri"/>
                <w:b w:val="0"/>
                <w:color w:val="222222"/>
                <w:sz w:val="18"/>
              </w:rPr>
              <w:t>Best</w:t>
            </w:r>
          </w:p>
        </w:tc>
        <w:tc>
          <w:tcPr>
            <w:tcW w:type="dxa" w:w="1461"/>
          </w:tcPr>
          <w:p>
            <w:pPr>
              <w:spacing w:before="40" w:after="40"/>
            </w:pPr>
            <w:r/>
            <w:r>
              <w:rPr>
                <w:rFonts w:ascii="Calibri" w:hAnsi="Calibri"/>
                <w:b w:val="0"/>
                <w:color w:val="222222"/>
                <w:sz w:val="18"/>
              </w:rPr>
              <w:t>High</w:t>
            </w:r>
          </w:p>
        </w:tc>
        <w:tc>
          <w:tcPr>
            <w:tcW w:type="dxa" w:w="1461"/>
          </w:tcPr>
          <w:p>
            <w:pPr>
              <w:spacing w:before="40" w:after="40"/>
            </w:pPr>
            <w:r/>
            <w:r>
              <w:rPr>
                <w:rFonts w:ascii="Calibri" w:hAnsi="Calibri"/>
                <w:b w:val="0"/>
                <w:color w:val="222222"/>
                <w:sz w:val="18"/>
              </w:rPr>
              <w:t>Low-Medium</w:t>
            </w:r>
          </w:p>
        </w:tc>
        <w:tc>
          <w:tcPr>
            <w:tcW w:type="dxa" w:w="1461"/>
          </w:tcPr>
          <w:p>
            <w:pPr>
              <w:spacing w:before="40" w:after="40"/>
            </w:pPr>
            <w:r/>
            <w:r>
              <w:rPr>
                <w:rFonts w:ascii="Calibri" w:hAnsi="Calibri"/>
                <w:b w:val="0"/>
                <w:color w:val="222222"/>
                <w:sz w:val="18"/>
              </w:rPr>
              <w:t>Strong</w:t>
            </w:r>
          </w:p>
        </w:tc>
        <w:tc>
          <w:tcPr>
            <w:tcW w:type="dxa" w:w="1461"/>
          </w:tcPr>
          <w:p>
            <w:pPr>
              <w:spacing w:before="40" w:after="40"/>
            </w:pPr>
            <w:r/>
            <w:r>
              <w:rPr>
                <w:rFonts w:ascii="Calibri" w:hAnsi="Calibri"/>
                <w:b w:val="0"/>
                <w:color w:val="222222"/>
                <w:sz w:val="18"/>
              </w:rPr>
              <w:t>High</w:t>
            </w:r>
          </w:p>
        </w:tc>
      </w:tr>
      <w:tr>
        <w:tc>
          <w:tcPr>
            <w:tcW w:type="dxa" w:w="1461"/>
            <w:shd w:val="clear" w:color="auto" w:fill="F5F8FC"/>
          </w:tcPr>
          <w:p>
            <w:pPr>
              <w:spacing w:before="40" w:after="40"/>
            </w:pPr>
            <w:r/>
            <w:r>
              <w:rPr>
                <w:rFonts w:ascii="Calibri" w:hAnsi="Calibri"/>
                <w:b w:val="0"/>
                <w:color w:val="222222"/>
                <w:sz w:val="18"/>
              </w:rPr>
              <w:t>2</w:t>
            </w:r>
          </w:p>
        </w:tc>
        <w:tc>
          <w:tcPr>
            <w:tcW w:type="dxa" w:w="1461"/>
            <w:shd w:val="clear" w:color="auto" w:fill="F5F8FC"/>
          </w:tcPr>
          <w:p>
            <w:pPr>
              <w:spacing w:before="40" w:after="40"/>
            </w:pPr>
            <w:r/>
            <w:r>
              <w:rPr>
                <w:rFonts w:ascii="Calibri" w:hAnsi="Calibri"/>
                <w:b w:val="0"/>
                <w:color w:val="222222"/>
                <w:sz w:val="18"/>
              </w:rPr>
              <w:t>Top-entry retreat-curve impeller agitator</w:t>
            </w:r>
          </w:p>
        </w:tc>
        <w:tc>
          <w:tcPr>
            <w:tcW w:type="dxa" w:w="1461"/>
            <w:shd w:val="clear" w:color="auto" w:fill="F5F8FC"/>
          </w:tcPr>
          <w:p>
            <w:pPr>
              <w:spacing w:before="40" w:after="40"/>
            </w:pPr>
            <w:r/>
            <w:r>
              <w:rPr>
                <w:rFonts w:ascii="Calibri" w:hAnsi="Calibri"/>
                <w:b w:val="0"/>
                <w:color w:val="222222"/>
                <w:sz w:val="18"/>
              </w:rPr>
              <w:t>Strong</w:t>
            </w:r>
          </w:p>
        </w:tc>
        <w:tc>
          <w:tcPr>
            <w:tcW w:type="dxa" w:w="1461"/>
            <w:shd w:val="clear" w:color="auto" w:fill="F5F8FC"/>
          </w:tcPr>
          <w:p>
            <w:pPr>
              <w:spacing w:before="40" w:after="40"/>
            </w:pPr>
            <w:r/>
            <w:r>
              <w:rPr>
                <w:rFonts w:ascii="Calibri" w:hAnsi="Calibri"/>
                <w:b w:val="0"/>
                <w:color w:val="222222"/>
                <w:sz w:val="18"/>
              </w:rPr>
              <w:t>High</w:t>
            </w:r>
          </w:p>
        </w:tc>
        <w:tc>
          <w:tcPr>
            <w:tcW w:type="dxa" w:w="1461"/>
            <w:shd w:val="clear" w:color="auto" w:fill="F5F8FC"/>
          </w:tcPr>
          <w:p>
            <w:pPr>
              <w:spacing w:before="40" w:after="40"/>
            </w:pPr>
            <w:r/>
            <w:r>
              <w:rPr>
                <w:rFonts w:ascii="Calibri" w:hAnsi="Calibri"/>
                <w:b w:val="0"/>
                <w:color w:val="222222"/>
                <w:sz w:val="18"/>
              </w:rPr>
              <w:t>Medium</w:t>
            </w:r>
          </w:p>
        </w:tc>
        <w:tc>
          <w:tcPr>
            <w:tcW w:type="dxa" w:w="1461"/>
            <w:shd w:val="clear" w:color="auto" w:fill="F5F8FC"/>
          </w:tcPr>
          <w:p>
            <w:pPr>
              <w:spacing w:before="40" w:after="40"/>
            </w:pPr>
            <w:r/>
            <w:r>
              <w:rPr>
                <w:rFonts w:ascii="Calibri" w:hAnsi="Calibri"/>
                <w:b w:val="0"/>
                <w:color w:val="222222"/>
                <w:sz w:val="18"/>
              </w:rPr>
              <w:t>Strong</w:t>
            </w:r>
          </w:p>
        </w:tc>
        <w:tc>
          <w:tcPr>
            <w:tcW w:type="dxa" w:w="1461"/>
            <w:shd w:val="clear" w:color="auto" w:fill="F5F8FC"/>
          </w:tcPr>
          <w:p>
            <w:pPr>
              <w:spacing w:before="40" w:after="40"/>
            </w:pPr>
            <w:r/>
            <w:r>
              <w:rPr>
                <w:rFonts w:ascii="Calibri" w:hAnsi="Calibri"/>
                <w:b w:val="0"/>
                <w:color w:val="222222"/>
                <w:sz w:val="18"/>
              </w:rPr>
              <w:t>High</w:t>
            </w:r>
          </w:p>
        </w:tc>
      </w:tr>
      <w:tr>
        <w:tc>
          <w:tcPr>
            <w:tcW w:type="dxa" w:w="1461"/>
          </w:tcPr>
          <w:p>
            <w:pPr>
              <w:spacing w:before="40" w:after="40"/>
            </w:pPr>
            <w:r/>
            <w:r>
              <w:rPr>
                <w:rFonts w:ascii="Calibri" w:hAnsi="Calibri"/>
                <w:b w:val="0"/>
                <w:color w:val="222222"/>
                <w:sz w:val="18"/>
              </w:rPr>
              <w:t>3</w:t>
            </w:r>
          </w:p>
        </w:tc>
        <w:tc>
          <w:tcPr>
            <w:tcW w:type="dxa" w:w="1461"/>
          </w:tcPr>
          <w:p>
            <w:pPr>
              <w:spacing w:before="40" w:after="40"/>
            </w:pPr>
            <w:r/>
            <w:r>
              <w:rPr>
                <w:rFonts w:ascii="Calibri" w:hAnsi="Calibri"/>
                <w:b w:val="0"/>
                <w:color w:val="222222"/>
                <w:sz w:val="18"/>
              </w:rPr>
              <w:t>Top-entry pitched-blade turbine agitator</w:t>
            </w:r>
          </w:p>
        </w:tc>
        <w:tc>
          <w:tcPr>
            <w:tcW w:type="dxa" w:w="1461"/>
          </w:tcPr>
          <w:p>
            <w:pPr>
              <w:spacing w:before="40" w:after="40"/>
            </w:pPr>
            <w:r/>
            <w:r>
              <w:rPr>
                <w:rFonts w:ascii="Calibri" w:hAnsi="Calibri"/>
                <w:b w:val="0"/>
                <w:color w:val="222222"/>
                <w:sz w:val="18"/>
              </w:rPr>
              <w:t>Strong</w:t>
            </w:r>
          </w:p>
        </w:tc>
        <w:tc>
          <w:tcPr>
            <w:tcW w:type="dxa" w:w="1461"/>
          </w:tcPr>
          <w:p>
            <w:pPr>
              <w:spacing w:before="40" w:after="40"/>
            </w:pPr>
            <w:r/>
            <w:r>
              <w:rPr>
                <w:rFonts w:ascii="Calibri" w:hAnsi="Calibri"/>
                <w:b w:val="0"/>
                <w:color w:val="222222"/>
                <w:sz w:val="18"/>
              </w:rPr>
              <w:t>High</w:t>
            </w:r>
          </w:p>
        </w:tc>
        <w:tc>
          <w:tcPr>
            <w:tcW w:type="dxa" w:w="1461"/>
          </w:tcPr>
          <w:p>
            <w:pPr>
              <w:spacing w:before="40" w:after="40"/>
            </w:pPr>
            <w:r/>
            <w:r>
              <w:rPr>
                <w:rFonts w:ascii="Calibri" w:hAnsi="Calibri"/>
                <w:b w:val="0"/>
                <w:color w:val="222222"/>
                <w:sz w:val="18"/>
              </w:rPr>
              <w:t>Medium</w:t>
            </w:r>
          </w:p>
        </w:tc>
        <w:tc>
          <w:tcPr>
            <w:tcW w:type="dxa" w:w="1461"/>
          </w:tcPr>
          <w:p>
            <w:pPr>
              <w:spacing w:before="40" w:after="40"/>
            </w:pPr>
            <w:r/>
            <w:r>
              <w:rPr>
                <w:rFonts w:ascii="Calibri" w:hAnsi="Calibri"/>
                <w:b w:val="0"/>
                <w:color w:val="222222"/>
                <w:sz w:val="18"/>
              </w:rPr>
              <w:t>Best</w:t>
            </w:r>
          </w:p>
        </w:tc>
        <w:tc>
          <w:tcPr>
            <w:tcW w:type="dxa" w:w="1461"/>
          </w:tcPr>
          <w:p>
            <w:pPr>
              <w:spacing w:before="40" w:after="40"/>
            </w:pPr>
            <w:r/>
            <w:r>
              <w:rPr>
                <w:rFonts w:ascii="Calibri" w:hAnsi="Calibri"/>
                <w:b w:val="0"/>
                <w:color w:val="222222"/>
                <w:sz w:val="18"/>
              </w:rPr>
              <w:t>High</w:t>
            </w:r>
          </w:p>
        </w:tc>
      </w:tr>
      <w:tr>
        <w:tc>
          <w:tcPr>
            <w:tcW w:type="dxa" w:w="1461"/>
            <w:shd w:val="clear" w:color="auto" w:fill="F5F8FC"/>
          </w:tcPr>
          <w:p>
            <w:pPr>
              <w:spacing w:before="40" w:after="40"/>
            </w:pPr>
            <w:r/>
            <w:r>
              <w:rPr>
                <w:rFonts w:ascii="Calibri" w:hAnsi="Calibri"/>
                <w:b w:val="0"/>
                <w:color w:val="222222"/>
                <w:sz w:val="18"/>
              </w:rPr>
              <w:t>4</w:t>
            </w:r>
          </w:p>
        </w:tc>
        <w:tc>
          <w:tcPr>
            <w:tcW w:type="dxa" w:w="1461"/>
            <w:shd w:val="clear" w:color="auto" w:fill="F5F8FC"/>
          </w:tcPr>
          <w:p>
            <w:pPr>
              <w:spacing w:before="40" w:after="40"/>
            </w:pPr>
            <w:r/>
            <w:r>
              <w:rPr>
                <w:rFonts w:ascii="Calibri" w:hAnsi="Calibri"/>
                <w:b w:val="0"/>
                <w:color w:val="222222"/>
                <w:sz w:val="18"/>
              </w:rPr>
              <w:t>Recirculating inline rotor-stator mixer</w:t>
            </w:r>
          </w:p>
        </w:tc>
        <w:tc>
          <w:tcPr>
            <w:tcW w:type="dxa" w:w="1461"/>
            <w:shd w:val="clear" w:color="auto" w:fill="F5F8FC"/>
          </w:tcPr>
          <w:p>
            <w:pPr>
              <w:spacing w:before="40" w:after="40"/>
            </w:pPr>
            <w:r/>
            <w:r>
              <w:rPr>
                <w:rFonts w:ascii="Calibri" w:hAnsi="Calibri"/>
                <w:b w:val="0"/>
                <w:color w:val="222222"/>
                <w:sz w:val="18"/>
              </w:rPr>
              <w:t>Add-on</w:t>
            </w:r>
          </w:p>
        </w:tc>
        <w:tc>
          <w:tcPr>
            <w:tcW w:type="dxa" w:w="1461"/>
            <w:shd w:val="clear" w:color="auto" w:fill="F5F8FC"/>
          </w:tcPr>
          <w:p>
            <w:pPr>
              <w:spacing w:before="40" w:after="40"/>
            </w:pPr>
            <w:r/>
            <w:r>
              <w:rPr>
                <w:rFonts w:ascii="Calibri" w:hAnsi="Calibri"/>
                <w:b w:val="0"/>
                <w:color w:val="222222"/>
                <w:sz w:val="18"/>
              </w:rPr>
              <w:t>Medium-High</w:t>
            </w:r>
          </w:p>
        </w:tc>
        <w:tc>
          <w:tcPr>
            <w:tcW w:type="dxa" w:w="1461"/>
            <w:shd w:val="clear" w:color="auto" w:fill="F5F8FC"/>
          </w:tcPr>
          <w:p>
            <w:pPr>
              <w:spacing w:before="40" w:after="40"/>
            </w:pPr>
            <w:r/>
            <w:r>
              <w:rPr>
                <w:rFonts w:ascii="Calibri" w:hAnsi="Calibri"/>
                <w:b w:val="0"/>
                <w:color w:val="222222"/>
                <w:sz w:val="18"/>
              </w:rPr>
              <w:t>Medium-High</w:t>
            </w:r>
          </w:p>
        </w:tc>
        <w:tc>
          <w:tcPr>
            <w:tcW w:type="dxa" w:w="1461"/>
            <w:shd w:val="clear" w:color="auto" w:fill="F5F8FC"/>
          </w:tcPr>
          <w:p>
            <w:pPr>
              <w:spacing w:before="40" w:after="40"/>
            </w:pPr>
            <w:r/>
            <w:r>
              <w:rPr>
                <w:rFonts w:ascii="Calibri" w:hAnsi="Calibri"/>
                <w:b w:val="0"/>
                <w:color w:val="222222"/>
                <w:sz w:val="18"/>
              </w:rPr>
              <w:t>Conditional</w:t>
            </w:r>
          </w:p>
        </w:tc>
        <w:tc>
          <w:tcPr>
            <w:tcW w:type="dxa" w:w="1461"/>
            <w:shd w:val="clear" w:color="auto" w:fill="F5F8FC"/>
          </w:tcPr>
          <w:p>
            <w:pPr>
              <w:spacing w:before="40" w:after="40"/>
            </w:pPr>
            <w:r/>
            <w:r>
              <w:rPr>
                <w:rFonts w:ascii="Calibri" w:hAnsi="Calibri"/>
                <w:b w:val="0"/>
                <w:color w:val="222222"/>
                <w:sz w:val="18"/>
              </w:rPr>
              <w:t>Medium</w:t>
            </w:r>
          </w:p>
        </w:tc>
      </w:tr>
      <w:tr>
        <w:tc>
          <w:tcPr>
            <w:tcW w:type="dxa" w:w="1461"/>
          </w:tcPr>
          <w:p>
            <w:pPr>
              <w:spacing w:before="40" w:after="40"/>
            </w:pPr>
            <w:r/>
            <w:r>
              <w:rPr>
                <w:rFonts w:ascii="Calibri" w:hAnsi="Calibri"/>
                <w:b w:val="0"/>
                <w:color w:val="222222"/>
                <w:sz w:val="18"/>
              </w:rPr>
              <w:t>5</w:t>
            </w:r>
          </w:p>
        </w:tc>
        <w:tc>
          <w:tcPr>
            <w:tcW w:type="dxa" w:w="1461"/>
          </w:tcPr>
          <w:p>
            <w:pPr>
              <w:spacing w:before="40" w:after="40"/>
            </w:pPr>
            <w:r/>
            <w:r>
              <w:rPr>
                <w:rFonts w:ascii="Calibri" w:hAnsi="Calibri"/>
                <w:b w:val="0"/>
                <w:color w:val="222222"/>
                <w:sz w:val="18"/>
              </w:rPr>
              <w:t>Bottom-entry magnetically coupled agitator</w:t>
            </w:r>
          </w:p>
        </w:tc>
        <w:tc>
          <w:tcPr>
            <w:tcW w:type="dxa" w:w="1461"/>
          </w:tcPr>
          <w:p>
            <w:pPr>
              <w:spacing w:before="40" w:after="40"/>
            </w:pPr>
            <w:r/>
            <w:r>
              <w:rPr>
                <w:rFonts w:ascii="Calibri" w:hAnsi="Calibri"/>
                <w:b w:val="0"/>
                <w:color w:val="222222"/>
                <w:sz w:val="18"/>
              </w:rPr>
              <w:t>Conditional</w:t>
            </w:r>
          </w:p>
        </w:tc>
        <w:tc>
          <w:tcPr>
            <w:tcW w:type="dxa" w:w="1461"/>
          </w:tcPr>
          <w:p>
            <w:pPr>
              <w:spacing w:before="40" w:after="40"/>
            </w:pPr>
            <w:r/>
            <w:r>
              <w:rPr>
                <w:rFonts w:ascii="Calibri" w:hAnsi="Calibri"/>
                <w:b w:val="0"/>
                <w:color w:val="222222"/>
                <w:sz w:val="18"/>
              </w:rPr>
              <w:t>High</w:t>
            </w:r>
          </w:p>
        </w:tc>
        <w:tc>
          <w:tcPr>
            <w:tcW w:type="dxa" w:w="1461"/>
          </w:tcPr>
          <w:p>
            <w:pPr>
              <w:spacing w:before="40" w:after="40"/>
            </w:pPr>
            <w:r/>
            <w:r>
              <w:rPr>
                <w:rFonts w:ascii="Calibri" w:hAnsi="Calibri"/>
                <w:b w:val="0"/>
                <w:color w:val="222222"/>
                <w:sz w:val="18"/>
              </w:rPr>
              <w:t>High</w:t>
            </w:r>
          </w:p>
        </w:tc>
        <w:tc>
          <w:tcPr>
            <w:tcW w:type="dxa" w:w="1461"/>
          </w:tcPr>
          <w:p>
            <w:pPr>
              <w:spacing w:before="40" w:after="40"/>
            </w:pPr>
            <w:r/>
            <w:r>
              <w:rPr>
                <w:rFonts w:ascii="Calibri" w:hAnsi="Calibri"/>
                <w:b w:val="0"/>
                <w:color w:val="222222"/>
                <w:sz w:val="18"/>
              </w:rPr>
              <w:t>Conditional</w:t>
            </w:r>
          </w:p>
        </w:tc>
        <w:tc>
          <w:tcPr>
            <w:tcW w:type="dxa" w:w="1461"/>
          </w:tcPr>
          <w:p>
            <w:pPr>
              <w:spacing w:before="40" w:after="40"/>
            </w:pPr>
            <w:r/>
            <w:r>
              <w:rPr>
                <w:rFonts w:ascii="Calibri" w:hAnsi="Calibri"/>
                <w:b w:val="0"/>
                <w:color w:val="222222"/>
                <w:sz w:val="18"/>
              </w:rPr>
              <w:t>Medium-High</w:t>
            </w:r>
          </w:p>
        </w:tc>
      </w:tr>
    </w:tbl>
    <w:p/>
    <w:p>
      <w:pPr>
        <w:spacing w:before="240" w:after="80"/>
      </w:pPr>
      <w:r>
        <w:rPr>
          <w:rFonts w:ascii="Calibri" w:hAnsi="Calibri"/>
          <w:b/>
          <w:color w:val="1F4E79"/>
          <w:sz w:val="26"/>
        </w:rPr>
        <w:t>9. Vendor / manufacturer shortlist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shd w:val="clear" w:color="auto" w:fill="1F4E79"/>
          </w:tcPr>
          <w:p>
            <w:pPr>
              <w:spacing w:before="40" w:after="40"/>
            </w:pPr>
            <w:r/>
            <w:r>
              <w:rPr>
                <w:rFonts w:ascii="Calibri" w:hAnsi="Calibri"/>
                <w:b/>
                <w:color w:val="FFFFFF"/>
                <w:sz w:val="18"/>
              </w:rPr>
              <w:t>Technology family</w:t>
            </w:r>
          </w:p>
        </w:tc>
        <w:tc>
          <w:tcPr>
            <w:tcW w:type="dxa" w:w="3408"/>
            <w:shd w:val="clear" w:color="auto" w:fill="1F4E79"/>
          </w:tcPr>
          <w:p>
            <w:pPr>
              <w:spacing w:before="40" w:after="40"/>
            </w:pPr>
            <w:r/>
            <w:r>
              <w:rPr>
                <w:rFonts w:ascii="Calibri" w:hAnsi="Calibri"/>
                <w:b/>
                <w:color w:val="FFFFFF"/>
                <w:sz w:val="18"/>
              </w:rPr>
              <w:t>Candidate manufacturers</w:t>
            </w:r>
          </w:p>
        </w:tc>
        <w:tc>
          <w:tcPr>
            <w:tcW w:type="dxa" w:w="3408"/>
            <w:shd w:val="clear" w:color="auto" w:fill="1F4E79"/>
          </w:tcPr>
          <w:p>
            <w:pPr>
              <w:spacing w:before="40" w:after="40"/>
            </w:pPr>
            <w:r/>
            <w:r>
              <w:rPr>
                <w:rFonts w:ascii="Calibri" w:hAnsi="Calibri"/>
                <w:b/>
                <w:color w:val="FFFFFF"/>
                <w:sz w:val="18"/>
              </w:rPr>
              <w:t>Engagement focus</w:t>
            </w:r>
          </w:p>
        </w:tc>
      </w:tr>
      <w:tr>
        <w:tc>
          <w:tcPr>
            <w:tcW w:type="dxa" w:w="3408"/>
          </w:tcPr>
          <w:p>
            <w:pPr>
              <w:spacing w:before="40" w:after="40"/>
            </w:pPr>
            <w:r/>
            <w:r>
              <w:rPr>
                <w:rFonts w:ascii="Calibri" w:hAnsi="Calibri"/>
                <w:b w:val="0"/>
                <w:color w:val="222222"/>
                <w:sz w:val="18"/>
              </w:rPr>
              <w:t>Top-entry hydrofoil</w:t>
            </w:r>
          </w:p>
        </w:tc>
        <w:tc>
          <w:tcPr>
            <w:tcW w:type="dxa" w:w="3408"/>
          </w:tcPr>
          <w:p>
            <w:pPr>
              <w:spacing w:before="40" w:after="40"/>
            </w:pPr>
            <w:r/>
            <w:r>
              <w:rPr>
                <w:rFonts w:ascii="Calibri" w:hAnsi="Calibri"/>
                <w:b w:val="0"/>
                <w:color w:val="222222"/>
                <w:sz w:val="18"/>
              </w:rPr>
              <w:t>SPX FLOW Lightnin; EKATO; Philadelphia Mixing Solutions; Alfa Laval</w:t>
            </w:r>
          </w:p>
        </w:tc>
        <w:tc>
          <w:tcPr>
            <w:tcW w:type="dxa" w:w="3408"/>
          </w:tcPr>
          <w:p>
            <w:pPr>
              <w:spacing w:before="40" w:after="40"/>
            </w:pPr>
            <w:r/>
            <w:r>
              <w:rPr>
                <w:rFonts w:ascii="Calibri" w:hAnsi="Calibri"/>
                <w:b w:val="0"/>
                <w:color w:val="222222"/>
                <w:sz w:val="18"/>
              </w:rPr>
              <w:t>Hydraulic proposal, multi-impeller layout, powder drawdown, seal, shaft dynamics, CIP geometry, and scale-up basis</w:t>
            </w:r>
          </w:p>
        </w:tc>
      </w:tr>
      <w:tr>
        <w:tc>
          <w:tcPr>
            <w:tcW w:type="dxa" w:w="3408"/>
            <w:shd w:val="clear" w:color="auto" w:fill="F5F8FC"/>
          </w:tcPr>
          <w:p>
            <w:pPr>
              <w:spacing w:before="40" w:after="40"/>
            </w:pPr>
            <w:r/>
            <w:r>
              <w:rPr>
                <w:rFonts w:ascii="Calibri" w:hAnsi="Calibri"/>
                <w:b w:val="0"/>
                <w:color w:val="222222"/>
                <w:sz w:val="18"/>
              </w:rPr>
              <w:t>Retreat-curve / hygienic multipurpose agitator</w:t>
            </w:r>
          </w:p>
        </w:tc>
        <w:tc>
          <w:tcPr>
            <w:tcW w:type="dxa" w:w="3408"/>
            <w:shd w:val="clear" w:color="auto" w:fill="F5F8FC"/>
          </w:tcPr>
          <w:p>
            <w:pPr>
              <w:spacing w:before="40" w:after="40"/>
            </w:pPr>
            <w:r/>
            <w:r>
              <w:rPr>
                <w:rFonts w:ascii="Calibri" w:hAnsi="Calibri"/>
                <w:b w:val="0"/>
                <w:color w:val="222222"/>
                <w:sz w:val="18"/>
              </w:rPr>
              <w:t>Alfa Laval; ZETA; SPX FLOW; GMM Pfaudler</w:t>
            </w:r>
          </w:p>
        </w:tc>
        <w:tc>
          <w:tcPr>
            <w:tcW w:type="dxa" w:w="3408"/>
            <w:shd w:val="clear" w:color="auto" w:fill="F5F8FC"/>
          </w:tcPr>
          <w:p>
            <w:pPr>
              <w:spacing w:before="40" w:after="40"/>
            </w:pPr>
            <w:r/>
            <w:r>
              <w:rPr>
                <w:rFonts w:ascii="Calibri" w:hAnsi="Calibri"/>
                <w:b w:val="0"/>
                <w:color w:val="222222"/>
                <w:sz w:val="18"/>
              </w:rPr>
              <w:t>Cleanability, pumping capacity, turndown, endpoint testing, and seal integration</w:t>
            </w:r>
          </w:p>
        </w:tc>
      </w:tr>
      <w:tr>
        <w:tc>
          <w:tcPr>
            <w:tcW w:type="dxa" w:w="3408"/>
          </w:tcPr>
          <w:p>
            <w:pPr>
              <w:spacing w:before="40" w:after="40"/>
            </w:pPr>
            <w:r/>
            <w:r>
              <w:rPr>
                <w:rFonts w:ascii="Calibri" w:hAnsi="Calibri"/>
                <w:b w:val="0"/>
                <w:color w:val="222222"/>
                <w:sz w:val="18"/>
              </w:rPr>
              <w:t>Pitched-blade turbine</w:t>
            </w:r>
          </w:p>
        </w:tc>
        <w:tc>
          <w:tcPr>
            <w:tcW w:type="dxa" w:w="3408"/>
          </w:tcPr>
          <w:p>
            <w:pPr>
              <w:spacing w:before="40" w:after="40"/>
            </w:pPr>
            <w:r/>
            <w:r>
              <w:rPr>
                <w:rFonts w:ascii="Calibri" w:hAnsi="Calibri"/>
                <w:b w:val="0"/>
                <w:color w:val="222222"/>
                <w:sz w:val="18"/>
              </w:rPr>
              <w:t>SPX FLOW Lightnin; EKATO; Philadelphia Mixing Solutions; De Dietrich Process Systems</w:t>
            </w:r>
          </w:p>
        </w:tc>
        <w:tc>
          <w:tcPr>
            <w:tcW w:type="dxa" w:w="3408"/>
          </w:tcPr>
          <w:p>
            <w:pPr>
              <w:spacing w:before="40" w:after="40"/>
            </w:pPr>
            <w:r/>
            <w:r>
              <w:rPr>
                <w:rFonts w:ascii="Calibri" w:hAnsi="Calibri"/>
                <w:b w:val="0"/>
                <w:color w:val="222222"/>
                <w:sz w:val="18"/>
              </w:rPr>
              <w:t>Suspension capability, power and shear comparison, hygienic hub design, and mechanical robustness</w:t>
            </w:r>
          </w:p>
        </w:tc>
      </w:tr>
      <w:tr>
        <w:tc>
          <w:tcPr>
            <w:tcW w:type="dxa" w:w="3408"/>
            <w:shd w:val="clear" w:color="auto" w:fill="F5F8FC"/>
          </w:tcPr>
          <w:p>
            <w:pPr>
              <w:spacing w:before="40" w:after="40"/>
            </w:pPr>
            <w:r/>
            <w:r>
              <w:rPr>
                <w:rFonts w:ascii="Calibri" w:hAnsi="Calibri"/>
                <w:b w:val="0"/>
                <w:color w:val="222222"/>
                <w:sz w:val="18"/>
              </w:rPr>
              <w:t>Inline powder wetting add-on</w:t>
            </w:r>
          </w:p>
        </w:tc>
        <w:tc>
          <w:tcPr>
            <w:tcW w:type="dxa" w:w="3408"/>
            <w:shd w:val="clear" w:color="auto" w:fill="F5F8FC"/>
          </w:tcPr>
          <w:p>
            <w:pPr>
              <w:spacing w:before="40" w:after="40"/>
            </w:pPr>
            <w:r/>
            <w:r>
              <w:rPr>
                <w:rFonts w:ascii="Calibri" w:hAnsi="Calibri"/>
                <w:b w:val="0"/>
                <w:color w:val="222222"/>
                <w:sz w:val="18"/>
              </w:rPr>
              <w:t>Silverson; YSTRAL; IKA; Admix</w:t>
            </w:r>
          </w:p>
        </w:tc>
        <w:tc>
          <w:tcPr>
            <w:tcW w:type="dxa" w:w="3408"/>
            <w:shd w:val="clear" w:color="auto" w:fill="F5F8FC"/>
          </w:tcPr>
          <w:p>
            <w:pPr>
              <w:spacing w:before="40" w:after="40"/>
            </w:pPr>
            <w:r/>
            <w:r>
              <w:rPr>
                <w:rFonts w:ascii="Calibri" w:hAnsi="Calibri"/>
                <w:b w:val="0"/>
                <w:color w:val="222222"/>
                <w:sz w:val="18"/>
              </w:rPr>
              <w:t>Powder induction rate, shear exposure, air ingress, loop hold-up, drainability, and CIP validation</w:t>
            </w:r>
          </w:p>
        </w:tc>
      </w:tr>
      <w:tr>
        <w:tc>
          <w:tcPr>
            <w:tcW w:type="dxa" w:w="3408"/>
          </w:tcPr>
          <w:p>
            <w:pPr>
              <w:spacing w:before="40" w:after="40"/>
            </w:pPr>
            <w:r/>
            <w:r>
              <w:rPr>
                <w:rFonts w:ascii="Calibri" w:hAnsi="Calibri"/>
                <w:b w:val="0"/>
                <w:color w:val="222222"/>
                <w:sz w:val="18"/>
              </w:rPr>
              <w:t>Bottom magnetic alternative</w:t>
            </w:r>
          </w:p>
        </w:tc>
        <w:tc>
          <w:tcPr>
            <w:tcW w:type="dxa" w:w="3408"/>
          </w:tcPr>
          <w:p>
            <w:pPr>
              <w:spacing w:before="40" w:after="40"/>
            </w:pPr>
            <w:r/>
            <w:r>
              <w:rPr>
                <w:rFonts w:ascii="Calibri" w:hAnsi="Calibri"/>
                <w:b w:val="0"/>
                <w:color w:val="222222"/>
                <w:sz w:val="18"/>
              </w:rPr>
              <w:t>Alfa Laval; ZETA; Steridose; Metenova</w:t>
            </w:r>
          </w:p>
        </w:tc>
        <w:tc>
          <w:tcPr>
            <w:tcW w:type="dxa" w:w="3408"/>
          </w:tcPr>
          <w:p>
            <w:pPr>
              <w:spacing w:before="40" w:after="40"/>
            </w:pPr>
            <w:r/>
            <w:r>
              <w:rPr>
                <w:rFonts w:ascii="Calibri" w:hAnsi="Calibri"/>
                <w:b w:val="0"/>
                <w:color w:val="222222"/>
                <w:sz w:val="18"/>
              </w:rPr>
              <w:t>Maximum torque, bearing life, solids tolerance, tall-vessel turnover, restart behavior, and maintenance access</w:t>
            </w:r>
          </w:p>
        </w:tc>
      </w:tr>
    </w:tbl>
    <w:p/>
    <w:p>
      <w:pPr>
        <w:spacing w:before="240" w:after="80"/>
      </w:pPr>
      <w:r>
        <w:rPr>
          <w:rFonts w:ascii="Calibri" w:hAnsi="Calibri"/>
          <w:b/>
          <w:color w:val="1F4E79"/>
          <w:sz w:val="26"/>
        </w:rPr>
        <w:t>10. References reviewed</w:t>
      </w:r>
    </w:p>
    <w:p>
      <w:pPr>
        <w:spacing w:before="0" w:after="40"/>
      </w:pPr>
      <w:r>
        <w:rPr>
          <w:rFonts w:ascii="Calibri" w:hAnsi="Calibri"/>
          <w:b w:val="0"/>
          <w:color w:val="222222"/>
          <w:sz w:val="20"/>
        </w:rPr>
        <w:t>• 1. ASME BPE, *Bioprocessing Equipment* — hygienic equipment, materials, joining, surface, drainability, and system-design principles. Applicable edition to be set by the project.</w:t>
      </w:r>
    </w:p>
    <w:p>
      <w:pPr>
        <w:spacing w:before="0" w:after="40"/>
      </w:pPr>
      <w:r>
        <w:rPr>
          <w:rFonts w:ascii="Calibri" w:hAnsi="Calibri"/>
          <w:b w:val="0"/>
          <w:color w:val="222222"/>
          <w:sz w:val="20"/>
        </w:rPr>
        <w:t>• 2. ISPE, *Risk- and Science-Based Media and Buffer Mixing Validations* — lifecycle and risk-based qualification approach: https://ispe.org/pharmaceutical-engineering/march-april-2024/risk-and-science-based-media-and-buffer-mixing</w:t>
      </w:r>
    </w:p>
    <w:p>
      <w:pPr>
        <w:spacing w:before="0" w:after="40"/>
      </w:pPr>
      <w:r>
        <w:rPr>
          <w:rFonts w:ascii="Calibri" w:hAnsi="Calibri"/>
          <w:b w:val="0"/>
          <w:color w:val="222222"/>
          <w:sz w:val="20"/>
        </w:rPr>
        <w:t>• 3. Ram et al., *Mixing in process vessels used in biopharmaceutical manufacturing* — vessel geometry and hydrofoil mixing characterization: https://pubmed.ncbi.nlm.nih.gov/10753450/</w:t>
      </w:r>
    </w:p>
    <w:p>
      <w:pPr>
        <w:spacing w:before="0" w:after="40"/>
      </w:pPr>
      <w:r>
        <w:rPr>
          <w:rFonts w:ascii="Calibri" w:hAnsi="Calibri"/>
          <w:b w:val="0"/>
          <w:color w:val="222222"/>
          <w:sz w:val="20"/>
        </w:rPr>
        <w:t>• 4. *Development and Scale-Up of the Mixing Process in Biopharmaceutical Processing* — hydrodynamic and scale-up considerations: https://link.springer.com/chapter/10.1007/978-3-030-31415-6_22</w:t>
      </w:r>
    </w:p>
    <w:p>
      <w:pPr>
        <w:spacing w:before="0" w:after="40"/>
      </w:pPr>
      <w:r>
        <w:rPr>
          <w:rFonts w:ascii="Calibri" w:hAnsi="Calibri"/>
          <w:b w:val="0"/>
          <w:color w:val="222222"/>
          <w:sz w:val="20"/>
        </w:rPr>
        <w:t>• 5. Emerson, *Buffer &amp; Media Prep* — industry context for formulation and instrumentation: https://www.emerson.com/en/corporate/industries/life-sciences/biotechnology/buffer-and-media-prep</w:t>
      </w:r>
    </w:p>
    <w:p>
      <w:pPr>
        <w:spacing w:before="0" w:after="40"/>
      </w:pPr>
      <w:r>
        <w:rPr>
          <w:rFonts w:ascii="Calibri" w:hAnsi="Calibri"/>
          <w:b w:val="0"/>
          <w:color w:val="222222"/>
          <w:sz w:val="20"/>
        </w:rPr>
        <w:t>• 6. Genetic Engineering &amp; Biotechnology News, *Mitigating Risks Associated with Cell Culture Media Preparation and Handling* — process-risk context: https://www.genengnews.com/topics/bioprocessing/mitigating-risks-associated-with-cell-culture-media-preparation-and-handling/</w:t>
      </w:r>
    </w:p>
    <w:p>
      <w:pPr>
        <w:spacing w:before="0" w:after="40"/>
      </w:pPr>
      <w:r>
        <w:rPr>
          <w:rFonts w:ascii="Calibri" w:hAnsi="Calibri"/>
          <w:b w:val="0"/>
          <w:color w:val="222222"/>
          <w:sz w:val="20"/>
        </w:rPr>
        <w:t>• 7. Metenova, *What to consider when designing a vessel with a bottom-mounted magnetic mixer* — maintenance and integration considerations: https://www.metenova.com/blog/to-consider-when-designing-a-vessel</w:t>
      </w:r>
    </w:p>
    <w:p>
      <w:pPr>
        <w:spacing w:before="0" w:after="40"/>
      </w:pPr>
      <w:r>
        <w:rPr>
          <w:rFonts w:ascii="Calibri" w:hAnsi="Calibri"/>
          <w:b w:val="0"/>
          <w:color w:val="222222"/>
          <w:sz w:val="20"/>
        </w:rPr>
        <w:t>• 8. Thermo Fisher Scientific, *Characterization of Scalable Mixing Parameters and Slurry Suspension* — example use of power input, blend time, and suspension testing: https://documents.thermofisher.com/TFS-Assets/BPD/posters/mixing-operations-scientific-poster.pdf</w:t>
      </w:r>
    </w:p>
    <w:p>
      <w:pPr>
        <w:spacing w:before="0" w:after="40"/>
      </w:pPr>
      <w:r>
        <w:rPr>
          <w:rFonts w:ascii="Calibri" w:hAnsi="Calibri"/>
          <w:b w:val="0"/>
          <w:color w:val="222222"/>
          <w:sz w:val="20"/>
        </w:rPr>
        <w:t>• Vendor and trade references provide application context only. Final design acceptance should rely on project requirements, recognized hygienic-design standards, supplier calculations, representative trials, and approved qualification evidence.</w:t>
      </w:r>
    </w:p>
    <w:sectPr w:rsidR="00FC693F" w:rsidRPr="0006063C" w:rsidSect="00034616">
      <w:headerReference w:type="default" r:id="rId9"/>
      <w:footerReference w:type="default" r:id="rId10"/>
      <w:pgSz w:w="12240" w:h="15840"/>
      <w:pgMar w:top="1224"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b w:val="0"/>
        <w:color w:val="5B6770"/>
        <w:sz w:val="16"/>
      </w:rPr>
      <w:t>Edit in Word, then Save as PDF if a locked copy is needed.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val="0"/>
        <w:color w:val="5B6770"/>
        <w:sz w:val="16"/>
      </w:rPr>
      <w:t>Media Preparation Vessel Mixing Evaluation • Basis: user DIR code 3-3-3-3-3-2-3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