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color w:val="1F4E79"/>
          <w:sz w:val="40"/>
        </w:rPr>
        <w:t>HIC Chromatography Column Sizing</w:t>
      </w:r>
    </w:p>
    <w:p>
      <w:pPr>
        <w:spacing w:before="0" w:after="160"/>
      </w:pPr>
      <w:r>
        <w:rPr>
          <w:rFonts w:ascii="Calibri" w:hAnsi="Calibri"/>
          <w:b w:val="0"/>
          <w:color w:val="5B6770"/>
          <w:sz w:val="20"/>
        </w:rPr>
        <w:t>Preliminary column sizing</w:t>
      </w:r>
    </w:p>
    <w:tbl>
      <w:tblPr>
        <w:tblStyle w:val="TableGrid"/>
        <w:tblW w:type="auto" w:w="0"/>
        <w:tblLook w:firstColumn="1" w:firstRow="1" w:lastColumn="0" w:lastRow="0" w:noHBand="0" w:noVBand="1" w:val="04A0"/>
      </w:tblPr>
      <w:tblGrid>
        <w:gridCol w:w="3408"/>
        <w:gridCol w:w="3408"/>
        <w:gridCol w:w="3408"/>
      </w:tblGrid>
      <w:tr>
        <w:tc>
          <w:tcPr>
            <w:tcW w:type="dxa" w:w="3408"/>
            <w:shd w:val="clear" w:color="auto" w:fill="E8EFF7"/>
          </w:tcPr>
          <w:p>
            <w:pPr>
              <w:spacing w:before="40" w:after="40"/>
            </w:pPr>
            <w:r>
              <w:rPr>
                <w:rFonts w:ascii="Calibri" w:hAnsi="Calibri"/>
                <w:b/>
                <w:color w:val="1F4E79"/>
                <w:sz w:val="18"/>
              </w:rPr>
            </w:r>
            <w:r>
              <w:rPr>
                <w:rFonts w:ascii="Calibri" w:hAnsi="Calibri"/>
                <w:b w:val="0"/>
                <w:color w:val="222222"/>
                <w:sz w:val="18"/>
              </w:rPr>
              <w:t>Validated DIR: 2-3-3-2-3-1</w:t>
            </w:r>
          </w:p>
        </w:tc>
        <w:tc>
          <w:tcPr>
            <w:tcW w:type="dxa" w:w="3408"/>
            <w:shd w:val="clear" w:color="auto" w:fill="E8EFF7"/>
          </w:tcPr>
          <w:p>
            <w:pPr>
              <w:spacing w:before="40" w:after="40"/>
            </w:pPr>
            <w:r>
              <w:rPr>
                <w:rFonts w:ascii="Calibri" w:hAnsi="Calibri"/>
                <w:b/>
                <w:color w:val="1F4E79"/>
                <w:sz w:val="18"/>
              </w:rPr>
            </w:r>
            <w:r>
              <w:rPr>
                <w:rFonts w:ascii="Calibri" w:hAnsi="Calibri"/>
                <w:b w:val="0"/>
                <w:color w:val="222222"/>
                <w:sz w:val="18"/>
              </w:rPr>
              <w:t>Application: biopharmaceutical</w:t>
            </w:r>
          </w:p>
        </w:tc>
        <w:tc>
          <w:tcPr>
            <w:tcW w:type="dxa" w:w="3408"/>
            <w:shd w:val="clear" w:color="auto" w:fill="E8EFF7"/>
          </w:tcPr>
          <w:p>
            <w:pPr>
              <w:spacing w:before="40" w:after="40"/>
            </w:pPr>
            <w:r>
              <w:rPr>
                <w:rFonts w:ascii="Calibri" w:hAnsi="Calibri"/>
                <w:b/>
                <w:color w:val="1F4E79"/>
                <w:sz w:val="18"/>
              </w:rPr>
            </w:r>
            <w:r>
              <w:rPr>
                <w:rFonts w:ascii="Calibri" w:hAnsi="Calibri"/>
                <w:b w:val="0"/>
                <w:color w:val="222222"/>
                <w:sz w:val="18"/>
              </w:rPr>
              <w:t>Sized item: column</w:t>
            </w:r>
          </w:p>
        </w:tc>
      </w:tr>
    </w:tbl>
    <w:p/>
    <w:tbl>
      <w:tblPr>
        <w:tblStyle w:val="TableGrid"/>
        <w:tblW w:type="auto" w:w="0"/>
        <w:tblLook w:firstColumn="1" w:firstRow="1" w:lastColumn="0" w:lastRow="0" w:noHBand="0" w:noVBand="1" w:val="04A0"/>
      </w:tblPr>
      <w:tblGrid>
        <w:gridCol w:w="10224"/>
      </w:tblGrid>
      <w:tr>
        <w:tc>
          <w:tcPr>
            <w:tcW w:type="dxa" w:w="10224"/>
            <w:shd w:val="clear" w:color="auto" w:fill="E8EFF7"/>
            <w:shd w:val="clear" w:color="auto" w:fill="E8EFF7"/>
          </w:tcPr>
          <w:p>
            <w:pPr>
              <w:spacing w:before="40" w:after="40"/>
            </w:pPr>
            <w:r>
              <w:rPr>
                <w:rFonts w:ascii="Calibri" w:hAnsi="Calibri"/>
                <w:b/>
                <w:color w:val="1F4E79"/>
                <w:sz w:val="18"/>
              </w:rPr>
            </w:r>
            <w:r>
              <w:rPr>
                <w:rFonts w:ascii="Calibri" w:hAnsi="Calibri"/>
                <w:b w:val="0"/>
                <w:color w:val="222222"/>
                <w:sz w:val="18"/>
              </w:rPr>
              <w:t>Sized-item concept</w:t>
            </w:r>
          </w:p>
        </w:tc>
      </w:tr>
      <w:tr>
        <w:tc>
          <w:tcPr>
            <w:tcW w:type="dxa" w:w="10224"/>
            <w:shd w:val="clear" w:color="auto" w:fill="E8EFF7"/>
            <w:shd w:val="clear" w:color="auto" w:fill="E8EFF7"/>
          </w:tcPr>
          <w:p>
            <w:pPr>
              <w:spacing w:before="40" w:after="40"/>
            </w:pPr>
            <w:r/>
            <w:r>
              <w:rPr>
                <w:rFonts w:ascii="Calibri" w:hAnsi="Calibri"/>
                <w:b w:val="0"/>
                <w:color w:val="222222"/>
                <w:sz w:val="18"/>
              </w:rPr>
              <w:t>Reusable fixed sanitary in-place-packable HIC column; 400 L screening packed-resin volume, 30 cm selected bed height, and 1.303 m calculated unrounded internal diameter; final commercial-scale or custom vendor model TBD</w:t>
            </w:r>
          </w:p>
        </w:tc>
      </w:tr>
    </w:tbl>
    <w:p/>
    <w:p>
      <w:pPr>
        <w:spacing w:before="160" w:after="80"/>
      </w:pPr>
      <w:r>
        <w:rPr>
          <w:rFonts w:ascii="Calibri" w:hAnsi="Calibri"/>
          <w:b/>
          <w:color w:val="1F4E79"/>
          <w:sz w:val="26"/>
        </w:rPr>
        <w:t>Key specifications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shd w:val="clear" w:color="auto" w:fill="1F4E79"/>
          </w:tcPr>
          <w:p>
            <w:pPr>
              <w:spacing w:before="40" w:after="40"/>
            </w:pPr>
            <w:r/>
            <w:r>
              <w:rPr>
                <w:rFonts w:ascii="Calibri" w:hAnsi="Calibri"/>
                <w:b/>
                <w:color w:val="FFFFFF"/>
                <w:sz w:val="18"/>
              </w:rPr>
              <w:t>Item</w:t>
            </w:r>
          </w:p>
        </w:tc>
        <w:tc>
          <w:tcPr>
            <w:tcW w:type="dxa" w:w="3408"/>
            <w:shd w:val="clear" w:color="auto" w:fill="1F4E79"/>
          </w:tcPr>
          <w:p>
            <w:pPr>
              <w:spacing w:before="40" w:after="40"/>
            </w:pPr>
            <w:r/>
            <w:r>
              <w:rPr>
                <w:rFonts w:ascii="Calibri" w:hAnsi="Calibri"/>
                <w:b/>
                <w:color w:val="FFFFFF"/>
                <w:sz w:val="18"/>
              </w:rPr>
              <w:t>Value</w:t>
            </w:r>
          </w:p>
        </w:tc>
        <w:tc>
          <w:tcPr>
            <w:tcW w:type="dxa" w:w="3408"/>
            <w:shd w:val="clear" w:color="auto" w:fill="1F4E79"/>
          </w:tcPr>
          <w:p>
            <w:pPr>
              <w:spacing w:before="40" w:after="40"/>
            </w:pPr>
            <w:r/>
            <w:r>
              <w:rPr>
                <w:rFonts w:ascii="Calibri" w:hAnsi="Calibri"/>
                <w:b/>
                <w:color w:val="FFFFFF"/>
                <w:sz w:val="18"/>
              </w:rPr>
              <w:t>Unit</w:t>
            </w:r>
          </w:p>
        </w:tc>
      </w:tr>
      <w:tr>
        <w:tc>
          <w:tcPr>
            <w:tcW w:type="dxa" w:w="3408"/>
          </w:tcPr>
          <w:p>
            <w:pPr>
              <w:spacing w:before="40" w:after="40"/>
            </w:pPr>
            <w:r/>
            <w:r>
              <w:rPr>
                <w:rFonts w:ascii="Calibri" w:hAnsi="Calibri"/>
                <w:b w:val="0"/>
                <w:color w:val="222222"/>
                <w:sz w:val="18"/>
              </w:rPr>
              <w:t>Target protein load</w:t>
            </w:r>
          </w:p>
        </w:tc>
        <w:tc>
          <w:tcPr>
            <w:tcW w:type="dxa" w:w="3408"/>
          </w:tcPr>
          <w:p>
            <w:pPr>
              <w:spacing w:before="40" w:after="40"/>
            </w:pPr>
            <w:r/>
            <w:r>
              <w:rPr>
                <w:rFonts w:ascii="Calibri" w:hAnsi="Calibri"/>
                <w:b w:val="0"/>
                <w:color w:val="222222"/>
                <w:sz w:val="18"/>
              </w:rPr>
              <w:t>10</w:t>
            </w:r>
          </w:p>
        </w:tc>
        <w:tc>
          <w:tcPr>
            <w:tcW w:type="dxa" w:w="3408"/>
          </w:tcPr>
          <w:p>
            <w:pPr>
              <w:spacing w:before="40" w:after="40"/>
            </w:pPr>
            <w:r/>
            <w:r>
              <w:rPr>
                <w:rFonts w:ascii="Calibri" w:hAnsi="Calibri"/>
                <w:b w:val="0"/>
                <w:color w:val="222222"/>
                <w:sz w:val="18"/>
              </w:rPr>
              <w:t>kg/cycle</w:t>
            </w:r>
          </w:p>
        </w:tc>
      </w:tr>
      <w:tr>
        <w:tc>
          <w:tcPr>
            <w:tcW w:type="dxa" w:w="3408"/>
            <w:shd w:val="clear" w:color="auto" w:fill="F5F8FC"/>
          </w:tcPr>
          <w:p>
            <w:pPr>
              <w:spacing w:before="40" w:after="40"/>
            </w:pPr>
            <w:r/>
            <w:r>
              <w:rPr>
                <w:rFonts w:ascii="Calibri" w:hAnsi="Calibri"/>
                <w:b w:val="0"/>
                <w:color w:val="222222"/>
                <w:sz w:val="18"/>
              </w:rPr>
              <w:t>Selected screening packed-resin volume</w:t>
            </w:r>
          </w:p>
        </w:tc>
        <w:tc>
          <w:tcPr>
            <w:tcW w:type="dxa" w:w="3408"/>
            <w:shd w:val="clear" w:color="auto" w:fill="F5F8FC"/>
          </w:tcPr>
          <w:p>
            <w:pPr>
              <w:spacing w:before="40" w:after="40"/>
            </w:pPr>
            <w:r/>
            <w:r>
              <w:rPr>
                <w:rFonts w:ascii="Calibri" w:hAnsi="Calibri"/>
                <w:b w:val="0"/>
                <w:color w:val="222222"/>
                <w:sz w:val="18"/>
              </w:rPr>
              <w:t>400</w:t>
            </w:r>
          </w:p>
        </w:tc>
        <w:tc>
          <w:tcPr>
            <w:tcW w:type="dxa" w:w="3408"/>
            <w:shd w:val="clear" w:color="auto" w:fill="F5F8FC"/>
          </w:tcPr>
          <w:p>
            <w:pPr>
              <w:spacing w:before="40" w:after="40"/>
            </w:pPr>
            <w:r/>
            <w:r>
              <w:rPr>
                <w:rFonts w:ascii="Calibri" w:hAnsi="Calibri"/>
                <w:b w:val="0"/>
                <w:color w:val="222222"/>
                <w:sz w:val="18"/>
              </w:rPr>
              <w:t>L</w:t>
            </w:r>
          </w:p>
        </w:tc>
      </w:tr>
      <w:tr>
        <w:tc>
          <w:tcPr>
            <w:tcW w:type="dxa" w:w="3408"/>
          </w:tcPr>
          <w:p>
            <w:pPr>
              <w:spacing w:before="40" w:after="40"/>
            </w:pPr>
            <w:r/>
            <w:r>
              <w:rPr>
                <w:rFonts w:ascii="Calibri" w:hAnsi="Calibri"/>
                <w:b w:val="0"/>
                <w:color w:val="222222"/>
                <w:sz w:val="18"/>
              </w:rPr>
              <w:t>Selected packed-bed height</w:t>
            </w:r>
          </w:p>
        </w:tc>
        <w:tc>
          <w:tcPr>
            <w:tcW w:type="dxa" w:w="3408"/>
          </w:tcPr>
          <w:p>
            <w:pPr>
              <w:spacing w:before="40" w:after="40"/>
            </w:pPr>
            <w:r/>
            <w:r>
              <w:rPr>
                <w:rFonts w:ascii="Calibri" w:hAnsi="Calibri"/>
                <w:b w:val="0"/>
                <w:color w:val="222222"/>
                <w:sz w:val="18"/>
              </w:rPr>
              <w:t>30</w:t>
            </w:r>
          </w:p>
        </w:tc>
        <w:tc>
          <w:tcPr>
            <w:tcW w:type="dxa" w:w="3408"/>
          </w:tcPr>
          <w:p>
            <w:pPr>
              <w:spacing w:before="40" w:after="40"/>
            </w:pPr>
            <w:r/>
            <w:r>
              <w:rPr>
                <w:rFonts w:ascii="Calibri" w:hAnsi="Calibri"/>
                <w:b w:val="0"/>
                <w:color w:val="222222"/>
                <w:sz w:val="18"/>
              </w:rPr>
              <w:t>cm</w:t>
            </w:r>
          </w:p>
        </w:tc>
      </w:tr>
      <w:tr>
        <w:tc>
          <w:tcPr>
            <w:tcW w:type="dxa" w:w="3408"/>
            <w:shd w:val="clear" w:color="auto" w:fill="F5F8FC"/>
          </w:tcPr>
          <w:p>
            <w:pPr>
              <w:spacing w:before="40" w:after="40"/>
            </w:pPr>
            <w:r/>
            <w:r>
              <w:rPr>
                <w:rFonts w:ascii="Calibri" w:hAnsi="Calibri"/>
                <w:b w:val="0"/>
                <w:color w:val="222222"/>
                <w:sz w:val="18"/>
              </w:rPr>
              <w:t>Calculated internal diameter</w:t>
            </w:r>
          </w:p>
        </w:tc>
        <w:tc>
          <w:tcPr>
            <w:tcW w:type="dxa" w:w="3408"/>
            <w:shd w:val="clear" w:color="auto" w:fill="F5F8FC"/>
          </w:tcPr>
          <w:p>
            <w:pPr>
              <w:spacing w:before="40" w:after="40"/>
            </w:pPr>
            <w:r/>
            <w:r>
              <w:rPr>
                <w:rFonts w:ascii="Calibri" w:hAnsi="Calibri"/>
                <w:b w:val="0"/>
                <w:color w:val="222222"/>
                <w:sz w:val="18"/>
              </w:rPr>
              <w:t>1.303</w:t>
            </w:r>
          </w:p>
        </w:tc>
        <w:tc>
          <w:tcPr>
            <w:tcW w:type="dxa" w:w="3408"/>
            <w:shd w:val="clear" w:color="auto" w:fill="F5F8FC"/>
          </w:tcPr>
          <w:p>
            <w:pPr>
              <w:spacing w:before="40" w:after="40"/>
            </w:pPr>
            <w:r/>
            <w:r>
              <w:rPr>
                <w:rFonts w:ascii="Calibri" w:hAnsi="Calibri"/>
                <w:b w:val="0"/>
                <w:color w:val="222222"/>
                <w:sz w:val="18"/>
              </w:rPr>
              <w:t>m</w:t>
            </w:r>
          </w:p>
        </w:tc>
      </w:tr>
      <w:tr>
        <w:tc>
          <w:tcPr>
            <w:tcW w:type="dxa" w:w="3408"/>
          </w:tcPr>
          <w:p>
            <w:pPr>
              <w:spacing w:before="40" w:after="40"/>
            </w:pPr>
            <w:r/>
            <w:r>
              <w:rPr>
                <w:rFonts w:ascii="Calibri" w:hAnsi="Calibri"/>
                <w:b w:val="0"/>
                <w:color w:val="222222"/>
                <w:sz w:val="18"/>
              </w:rPr>
              <w:t>Selected loading residence time</w:t>
            </w:r>
          </w:p>
        </w:tc>
        <w:tc>
          <w:tcPr>
            <w:tcW w:type="dxa" w:w="3408"/>
          </w:tcPr>
          <w:p>
            <w:pPr>
              <w:spacing w:before="40" w:after="40"/>
            </w:pPr>
            <w:r/>
            <w:r>
              <w:rPr>
                <w:rFonts w:ascii="Calibri" w:hAnsi="Calibri"/>
                <w:b w:val="0"/>
                <w:color w:val="222222"/>
                <w:sz w:val="18"/>
              </w:rPr>
              <w:t>6</w:t>
            </w:r>
          </w:p>
        </w:tc>
        <w:tc>
          <w:tcPr>
            <w:tcW w:type="dxa" w:w="3408"/>
          </w:tcPr>
          <w:p>
            <w:pPr>
              <w:spacing w:before="40" w:after="40"/>
            </w:pPr>
            <w:r/>
            <w:r>
              <w:rPr>
                <w:rFonts w:ascii="Calibri" w:hAnsi="Calibri"/>
                <w:b w:val="0"/>
                <w:color w:val="222222"/>
                <w:sz w:val="18"/>
              </w:rPr>
              <w:t>min</w:t>
            </w:r>
          </w:p>
        </w:tc>
      </w:tr>
      <w:tr>
        <w:tc>
          <w:tcPr>
            <w:tcW w:type="dxa" w:w="3408"/>
            <w:shd w:val="clear" w:color="auto" w:fill="F5F8FC"/>
          </w:tcPr>
          <w:p>
            <w:pPr>
              <w:spacing w:before="40" w:after="40"/>
            </w:pPr>
            <w:r/>
            <w:r>
              <w:rPr>
                <w:rFonts w:ascii="Calibri" w:hAnsi="Calibri"/>
                <w:b w:val="0"/>
                <w:color w:val="222222"/>
                <w:sz w:val="18"/>
              </w:rPr>
              <w:t>Screening loading flow</w:t>
            </w:r>
          </w:p>
        </w:tc>
        <w:tc>
          <w:tcPr>
            <w:tcW w:type="dxa" w:w="3408"/>
            <w:shd w:val="clear" w:color="auto" w:fill="F5F8FC"/>
          </w:tcPr>
          <w:p>
            <w:pPr>
              <w:spacing w:before="40" w:after="40"/>
            </w:pPr>
            <w:r/>
            <w:r>
              <w:rPr>
                <w:rFonts w:ascii="Calibri" w:hAnsi="Calibri"/>
                <w:b w:val="0"/>
                <w:color w:val="222222"/>
                <w:sz w:val="18"/>
              </w:rPr>
              <w:t>66.67</w:t>
            </w:r>
          </w:p>
        </w:tc>
        <w:tc>
          <w:tcPr>
            <w:tcW w:type="dxa" w:w="3408"/>
            <w:shd w:val="clear" w:color="auto" w:fill="F5F8FC"/>
          </w:tcPr>
          <w:p>
            <w:pPr>
              <w:spacing w:before="40" w:after="40"/>
            </w:pPr>
            <w:r/>
            <w:r>
              <w:rPr>
                <w:rFonts w:ascii="Calibri" w:hAnsi="Calibri"/>
                <w:b w:val="0"/>
                <w:color w:val="222222"/>
                <w:sz w:val="18"/>
              </w:rPr>
              <w:t>L/min</w:t>
            </w:r>
          </w:p>
        </w:tc>
      </w:tr>
      <w:tr>
        <w:tc>
          <w:tcPr>
            <w:tcW w:type="dxa" w:w="3408"/>
          </w:tcPr>
          <w:p>
            <w:pPr>
              <w:spacing w:before="40" w:after="40"/>
            </w:pPr>
            <w:r/>
            <w:r>
              <w:rPr>
                <w:rFonts w:ascii="Calibri" w:hAnsi="Calibri"/>
                <w:b w:val="0"/>
                <w:color w:val="222222"/>
                <w:sz w:val="18"/>
              </w:rPr>
              <w:t>Three-minute boundary flow</w:t>
            </w:r>
          </w:p>
        </w:tc>
        <w:tc>
          <w:tcPr>
            <w:tcW w:type="dxa" w:w="3408"/>
          </w:tcPr>
          <w:p>
            <w:pPr>
              <w:spacing w:before="40" w:after="40"/>
            </w:pPr>
            <w:r/>
            <w:r>
              <w:rPr>
                <w:rFonts w:ascii="Calibri" w:hAnsi="Calibri"/>
                <w:b w:val="0"/>
                <w:color w:val="222222"/>
                <w:sz w:val="18"/>
              </w:rPr>
              <w:t>133.33</w:t>
            </w:r>
          </w:p>
        </w:tc>
        <w:tc>
          <w:tcPr>
            <w:tcW w:type="dxa" w:w="3408"/>
          </w:tcPr>
          <w:p>
            <w:pPr>
              <w:spacing w:before="40" w:after="40"/>
            </w:pPr>
            <w:r/>
            <w:r>
              <w:rPr>
                <w:rFonts w:ascii="Calibri" w:hAnsi="Calibri"/>
                <w:b w:val="0"/>
                <w:color w:val="222222"/>
                <w:sz w:val="18"/>
              </w:rPr>
              <w:t>L/min</w:t>
            </w:r>
          </w:p>
        </w:tc>
      </w:tr>
      <w:tr>
        <w:tc>
          <w:tcPr>
            <w:tcW w:type="dxa" w:w="3408"/>
            <w:shd w:val="clear" w:color="auto" w:fill="F5F8FC"/>
          </w:tcPr>
          <w:p>
            <w:pPr>
              <w:spacing w:before="40" w:after="40"/>
            </w:pPr>
            <w:r/>
            <w:r>
              <w:rPr>
                <w:rFonts w:ascii="Calibri" w:hAnsi="Calibri"/>
                <w:b w:val="0"/>
                <w:color w:val="222222"/>
                <w:sz w:val="18"/>
              </w:rPr>
              <w:t>Preliminary minimum hardware rating</w:t>
            </w:r>
          </w:p>
        </w:tc>
        <w:tc>
          <w:tcPr>
            <w:tcW w:type="dxa" w:w="3408"/>
            <w:shd w:val="clear" w:color="auto" w:fill="F5F8FC"/>
          </w:tcPr>
          <w:p>
            <w:pPr>
              <w:spacing w:before="40" w:after="40"/>
            </w:pPr>
            <w:r/>
            <w:r>
              <w:rPr>
                <w:rFonts w:ascii="Calibri" w:hAnsi="Calibri"/>
                <w:b w:val="0"/>
                <w:color w:val="222222"/>
                <w:sz w:val="18"/>
              </w:rPr>
              <w:t>5</w:t>
            </w:r>
          </w:p>
        </w:tc>
        <w:tc>
          <w:tcPr>
            <w:tcW w:type="dxa" w:w="3408"/>
            <w:shd w:val="clear" w:color="auto" w:fill="F5F8FC"/>
          </w:tcPr>
          <w:p>
            <w:pPr>
              <w:spacing w:before="40" w:after="40"/>
            </w:pPr>
            <w:r/>
            <w:r>
              <w:rPr>
                <w:rFonts w:ascii="Calibri" w:hAnsi="Calibri"/>
                <w:b w:val="0"/>
                <w:color w:val="222222"/>
                <w:sz w:val="18"/>
              </w:rPr>
              <w:t>barg</w:t>
            </w:r>
          </w:p>
        </w:tc>
      </w:tr>
      <w:tr>
        <w:tc>
          <w:tcPr>
            <w:tcW w:type="dxa" w:w="3408"/>
          </w:tcPr>
          <w:p>
            <w:pPr>
              <w:spacing w:before="40" w:after="40"/>
            </w:pPr>
            <w:r/>
            <w:r>
              <w:rPr>
                <w:rFonts w:ascii="Calibri" w:hAnsi="Calibri"/>
                <w:b w:val="0"/>
                <w:color w:val="222222"/>
                <w:sz w:val="18"/>
              </w:rPr>
              <w:t>Main process inlet and outlet</w:t>
            </w:r>
          </w:p>
        </w:tc>
        <w:tc>
          <w:tcPr>
            <w:tcW w:type="dxa" w:w="3408"/>
          </w:tcPr>
          <w:p>
            <w:pPr>
              <w:spacing w:before="40" w:after="40"/>
            </w:pPr>
            <w:r/>
            <w:r>
              <w:rPr>
                <w:rFonts w:ascii="Calibri" w:hAnsi="Calibri"/>
                <w:b w:val="0"/>
                <w:color w:val="222222"/>
                <w:sz w:val="18"/>
              </w:rPr>
              <w:t>2 (DN50)</w:t>
            </w:r>
          </w:p>
        </w:tc>
        <w:tc>
          <w:tcPr>
            <w:tcW w:type="dxa" w:w="3408"/>
          </w:tcPr>
          <w:p>
            <w:pPr>
              <w:spacing w:before="40" w:after="40"/>
            </w:pPr>
            <w:r/>
            <w:r>
              <w:rPr>
                <w:rFonts w:ascii="Calibri" w:hAnsi="Calibri"/>
                <w:b w:val="0"/>
                <w:color w:val="222222"/>
                <w:sz w:val="18"/>
              </w:rPr>
              <w:t>in</w:t>
            </w:r>
          </w:p>
        </w:tc>
      </w:tr>
      <w:tr>
        <w:tc>
          <w:tcPr>
            <w:tcW w:type="dxa" w:w="3408"/>
            <w:shd w:val="clear" w:color="auto" w:fill="F5F8FC"/>
          </w:tcPr>
          <w:p>
            <w:pPr>
              <w:spacing w:before="40" w:after="40"/>
            </w:pPr>
            <w:r/>
            <w:r>
              <w:rPr>
                <w:rFonts w:ascii="Calibri" w:hAnsi="Calibri"/>
                <w:b w:val="0"/>
                <w:color w:val="222222"/>
                <w:sz w:val="18"/>
              </w:rPr>
              <w:t>Estimated installed envelope</w:t>
            </w:r>
          </w:p>
        </w:tc>
        <w:tc>
          <w:tcPr>
            <w:tcW w:type="dxa" w:w="3408"/>
            <w:shd w:val="clear" w:color="auto" w:fill="F5F8FC"/>
          </w:tcPr>
          <w:p>
            <w:pPr>
              <w:spacing w:before="40" w:after="40"/>
            </w:pPr>
            <w:r/>
            <w:r>
              <w:rPr>
                <w:rFonts w:ascii="Calibri" w:hAnsi="Calibri"/>
                <w:b w:val="0"/>
                <w:color w:val="222222"/>
                <w:sz w:val="18"/>
              </w:rPr>
              <w:t>2.2 W × 2.2 D × 3.0 H</w:t>
            </w:r>
          </w:p>
        </w:tc>
        <w:tc>
          <w:tcPr>
            <w:tcW w:type="dxa" w:w="3408"/>
            <w:shd w:val="clear" w:color="auto" w:fill="F5F8FC"/>
          </w:tcPr>
          <w:p>
            <w:pPr>
              <w:spacing w:before="40" w:after="40"/>
            </w:pPr>
            <w:r/>
            <w:r>
              <w:rPr>
                <w:rFonts w:ascii="Calibri" w:hAnsi="Calibri"/>
                <w:b w:val="0"/>
                <w:color w:val="222222"/>
                <w:sz w:val="18"/>
              </w:rPr>
              <w:t>m</w:t>
            </w:r>
          </w:p>
        </w:tc>
      </w:tr>
    </w:tbl>
    <w:p/>
    <w:p>
      <w:pPr>
        <w:spacing w:before="0" w:after="120"/>
      </w:pPr>
      <w:r>
        <w:rPr>
          <w:rFonts w:ascii="Calibri" w:hAnsi="Calibri"/>
          <w:b w:val="0"/>
          <w:color w:val="222222"/>
          <w:sz w:val="20"/>
        </w:rPr>
        <w:t>Validated DIR `2-3-3-2-3-1`  |  System `HIC Chromatography`  |  Application `Biopharmaceutical`  |  Sized item `Column`  |  Document status `INITIAL DRAFT — pending process SME, resin supplier, and column vendor approval`</w:t>
      </w:r>
    </w:p>
    <w:p>
      <w:pPr>
        <w:spacing w:before="200" w:after="80"/>
      </w:pPr>
      <w:r>
        <w:rPr>
          <w:rFonts w:ascii="Calibri" w:hAnsi="Calibri"/>
          <w:b/>
          <w:color w:val="1F4E79"/>
          <w:sz w:val="24"/>
        </w:rPr>
        <w:t>Design basis from DIR</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shd w:val="clear" w:color="auto" w:fill="1F4E79"/>
          </w:tcPr>
          <w:p>
            <w:pPr>
              <w:spacing w:before="40" w:after="40"/>
            </w:pPr>
            <w:r/>
            <w:r>
              <w:rPr>
                <w:rFonts w:ascii="Calibri" w:hAnsi="Calibri"/>
                <w:b/>
                <w:color w:val="FFFFFF"/>
                <w:sz w:val="18"/>
              </w:rPr>
              <w:t>Requirement</w:t>
            </w:r>
          </w:p>
        </w:tc>
        <w:tc>
          <w:tcPr>
            <w:tcW w:type="dxa" w:w="3408"/>
            <w:shd w:val="clear" w:color="auto" w:fill="1F4E79"/>
          </w:tcPr>
          <w:p>
            <w:pPr>
              <w:spacing w:before="40" w:after="40"/>
            </w:pPr>
            <w:r/>
            <w:r>
              <w:rPr>
                <w:rFonts w:ascii="Calibri" w:hAnsi="Calibri"/>
                <w:b/>
                <w:color w:val="FFFFFF"/>
                <w:sz w:val="18"/>
              </w:rPr>
              <w:t>Validated basis</w:t>
            </w:r>
          </w:p>
        </w:tc>
        <w:tc>
          <w:tcPr>
            <w:tcW w:type="dxa" w:w="3408"/>
            <w:shd w:val="clear" w:color="auto" w:fill="1F4E79"/>
          </w:tcPr>
          <w:p>
            <w:pPr>
              <w:spacing w:before="40" w:after="40"/>
            </w:pPr>
            <w:r/>
            <w:r>
              <w:rPr>
                <w:rFonts w:ascii="Calibri" w:hAnsi="Calibri"/>
                <w:b/>
                <w:color w:val="FFFFFF"/>
                <w:sz w:val="18"/>
              </w:rPr>
              <w:t>Traceable status</w:t>
            </w:r>
          </w:p>
        </w:tc>
      </w:tr>
      <w:tr>
        <w:tc>
          <w:tcPr>
            <w:tcW w:type="dxa" w:w="3408"/>
          </w:tcPr>
          <w:p>
            <w:pPr>
              <w:spacing w:before="40" w:after="40"/>
            </w:pPr>
            <w:r/>
            <w:r>
              <w:rPr>
                <w:rFonts w:ascii="Calibri" w:hAnsi="Calibri"/>
                <w:b w:val="0"/>
                <w:color w:val="222222"/>
                <w:sz w:val="18"/>
              </w:rPr>
              <w:t>Target protein mass loaded</w:t>
            </w:r>
          </w:p>
        </w:tc>
        <w:tc>
          <w:tcPr>
            <w:tcW w:type="dxa" w:w="3408"/>
          </w:tcPr>
          <w:p>
            <w:pPr>
              <w:spacing w:before="40" w:after="40"/>
            </w:pPr>
            <w:r/>
            <w:r>
              <w:rPr>
                <w:rFonts w:ascii="Calibri" w:hAnsi="Calibri"/>
                <w:b w:val="0"/>
                <w:color w:val="222222"/>
                <w:sz w:val="18"/>
              </w:rPr>
              <w:t>&gt;1 to 10 kg/cycle; sizing value 10 kg/cycle</w:t>
            </w:r>
          </w:p>
        </w:tc>
        <w:tc>
          <w:tcPr>
            <w:tcW w:type="dxa" w:w="3408"/>
          </w:tcPr>
          <w:p>
            <w:pPr>
              <w:spacing w:before="40" w:after="40"/>
            </w:pPr>
            <w:r/>
            <w:r>
              <w:rPr>
                <w:rFonts w:ascii="Calibri" w:hAnsi="Calibri"/>
                <w:b w:val="0"/>
                <w:color w:val="222222"/>
                <w:sz w:val="18"/>
              </w:rPr>
              <w:t>Provided; interpretation requires process SME confirmation</w:t>
            </w:r>
          </w:p>
        </w:tc>
      </w:tr>
      <w:tr>
        <w:tc>
          <w:tcPr>
            <w:tcW w:type="dxa" w:w="3408"/>
            <w:shd w:val="clear" w:color="auto" w:fill="F5F8FC"/>
          </w:tcPr>
          <w:p>
            <w:pPr>
              <w:spacing w:before="40" w:after="40"/>
            </w:pPr>
            <w:r/>
            <w:r>
              <w:rPr>
                <w:rFonts w:ascii="Calibri" w:hAnsi="Calibri"/>
                <w:b w:val="0"/>
                <w:color w:val="222222"/>
                <w:sz w:val="18"/>
              </w:rPr>
              <w:t>Usable resin loading capacity</w:t>
            </w:r>
          </w:p>
        </w:tc>
        <w:tc>
          <w:tcPr>
            <w:tcW w:type="dxa" w:w="3408"/>
            <w:shd w:val="clear" w:color="auto" w:fill="F5F8FC"/>
          </w:tcPr>
          <w:p>
            <w:pPr>
              <w:spacing w:before="40" w:after="40"/>
            </w:pPr>
            <w:r/>
            <w:r>
              <w:rPr>
                <w:rFonts w:ascii="Calibri" w:hAnsi="Calibri"/>
                <w:b w:val="0"/>
                <w:color w:val="222222"/>
                <w:sz w:val="18"/>
              </w:rPr>
              <w:t>&gt;25 to 50 mg/mL packed resin</w:t>
            </w:r>
          </w:p>
        </w:tc>
        <w:tc>
          <w:tcPr>
            <w:tcW w:type="dxa" w:w="3408"/>
            <w:shd w:val="clear" w:color="auto" w:fill="F5F8FC"/>
          </w:tcPr>
          <w:p>
            <w:pPr>
              <w:spacing w:before="40" w:after="40"/>
            </w:pPr>
            <w:r/>
            <w:r>
              <w:rPr>
                <w:rFonts w:ascii="Calibri" w:hAnsi="Calibri"/>
                <w:b w:val="0"/>
                <w:color w:val="222222"/>
                <w:sz w:val="18"/>
              </w:rPr>
              <w:t>Validated DIR; treated as usable capacity without further utilization factor</w:t>
            </w:r>
          </w:p>
        </w:tc>
      </w:tr>
      <w:tr>
        <w:tc>
          <w:tcPr>
            <w:tcW w:type="dxa" w:w="3408"/>
          </w:tcPr>
          <w:p>
            <w:pPr>
              <w:spacing w:before="40" w:after="40"/>
            </w:pPr>
            <w:r/>
            <w:r>
              <w:rPr>
                <w:rFonts w:ascii="Calibri" w:hAnsi="Calibri"/>
                <w:b w:val="0"/>
                <w:color w:val="222222"/>
                <w:sz w:val="18"/>
              </w:rPr>
              <w:t>Nominal packed-bed height</w:t>
            </w:r>
          </w:p>
        </w:tc>
        <w:tc>
          <w:tcPr>
            <w:tcW w:type="dxa" w:w="3408"/>
          </w:tcPr>
          <w:p>
            <w:pPr>
              <w:spacing w:before="40" w:after="40"/>
            </w:pPr>
            <w:r/>
            <w:r>
              <w:rPr>
                <w:rFonts w:ascii="Calibri" w:hAnsi="Calibri"/>
                <w:b w:val="0"/>
                <w:color w:val="222222"/>
                <w:sz w:val="18"/>
              </w:rPr>
              <w:t>&gt;25 to 40 cm</w:t>
            </w:r>
          </w:p>
        </w:tc>
        <w:tc>
          <w:tcPr>
            <w:tcW w:type="dxa" w:w="3408"/>
          </w:tcPr>
          <w:p>
            <w:pPr>
              <w:spacing w:before="40" w:after="40"/>
            </w:pPr>
            <w:r/>
            <w:r>
              <w:rPr>
                <w:rFonts w:ascii="Calibri" w:hAnsi="Calibri"/>
                <w:b w:val="0"/>
                <w:color w:val="222222"/>
                <w:sz w:val="18"/>
              </w:rPr>
              <w:t>Validated DIR</w:t>
            </w:r>
          </w:p>
        </w:tc>
      </w:tr>
      <w:tr>
        <w:tc>
          <w:tcPr>
            <w:tcW w:type="dxa" w:w="3408"/>
            <w:shd w:val="clear" w:color="auto" w:fill="F5F8FC"/>
          </w:tcPr>
          <w:p>
            <w:pPr>
              <w:spacing w:before="40" w:after="40"/>
            </w:pPr>
            <w:r/>
            <w:r>
              <w:rPr>
                <w:rFonts w:ascii="Calibri" w:hAnsi="Calibri"/>
                <w:b w:val="0"/>
                <w:color w:val="222222"/>
                <w:sz w:val="18"/>
              </w:rPr>
              <w:t>Product-loading residence time</w:t>
            </w:r>
          </w:p>
        </w:tc>
        <w:tc>
          <w:tcPr>
            <w:tcW w:type="dxa" w:w="3408"/>
            <w:shd w:val="clear" w:color="auto" w:fill="F5F8FC"/>
          </w:tcPr>
          <w:p>
            <w:pPr>
              <w:spacing w:before="40" w:after="40"/>
            </w:pPr>
            <w:r/>
            <w:r>
              <w:rPr>
                <w:rFonts w:ascii="Calibri" w:hAnsi="Calibri"/>
                <w:b w:val="0"/>
                <w:color w:val="222222"/>
                <w:sz w:val="18"/>
              </w:rPr>
              <w:t>&gt;3 to 6 min</w:t>
            </w:r>
          </w:p>
        </w:tc>
        <w:tc>
          <w:tcPr>
            <w:tcW w:type="dxa" w:w="3408"/>
            <w:shd w:val="clear" w:color="auto" w:fill="F5F8FC"/>
          </w:tcPr>
          <w:p>
            <w:pPr>
              <w:spacing w:before="40" w:after="40"/>
            </w:pPr>
            <w:r/>
            <w:r>
              <w:rPr>
                <w:rFonts w:ascii="Calibri" w:hAnsi="Calibri"/>
                <w:b w:val="0"/>
                <w:color w:val="222222"/>
                <w:sz w:val="18"/>
              </w:rPr>
              <w:t>Validated DIR</w:t>
            </w:r>
          </w:p>
        </w:tc>
      </w:tr>
      <w:tr>
        <w:tc>
          <w:tcPr>
            <w:tcW w:type="dxa" w:w="3408"/>
          </w:tcPr>
          <w:p>
            <w:pPr>
              <w:spacing w:before="40" w:after="40"/>
            </w:pPr>
            <w:r/>
            <w:r>
              <w:rPr>
                <w:rFonts w:ascii="Calibri" w:hAnsi="Calibri"/>
                <w:b w:val="0"/>
                <w:color w:val="222222"/>
                <w:sz w:val="18"/>
              </w:rPr>
              <w:t>Column operating-pressure class</w:t>
            </w:r>
          </w:p>
        </w:tc>
        <w:tc>
          <w:tcPr>
            <w:tcW w:type="dxa" w:w="3408"/>
          </w:tcPr>
          <w:p>
            <w:pPr>
              <w:spacing w:before="40" w:after="40"/>
            </w:pPr>
            <w:r/>
            <w:r>
              <w:rPr>
                <w:rFonts w:ascii="Calibri" w:hAnsi="Calibri"/>
                <w:b w:val="0"/>
                <w:color w:val="222222"/>
                <w:sz w:val="18"/>
              </w:rPr>
              <w:t>&gt;3 to 5 bar</w:t>
            </w:r>
          </w:p>
        </w:tc>
        <w:tc>
          <w:tcPr>
            <w:tcW w:type="dxa" w:w="3408"/>
          </w:tcPr>
          <w:p>
            <w:pPr>
              <w:spacing w:before="40" w:after="40"/>
            </w:pPr>
            <w:r/>
            <w:r>
              <w:rPr>
                <w:rFonts w:ascii="Calibri" w:hAnsi="Calibri"/>
                <w:b w:val="0"/>
                <w:color w:val="222222"/>
                <w:sz w:val="18"/>
              </w:rPr>
              <w:t>Validated DIR; rating definition requires vendor confirmation</w:t>
            </w:r>
          </w:p>
        </w:tc>
      </w:tr>
      <w:tr>
        <w:tc>
          <w:tcPr>
            <w:tcW w:type="dxa" w:w="3408"/>
            <w:shd w:val="clear" w:color="auto" w:fill="F5F8FC"/>
          </w:tcPr>
          <w:p>
            <w:pPr>
              <w:spacing w:before="40" w:after="40"/>
            </w:pPr>
            <w:r/>
            <w:r>
              <w:rPr>
                <w:rFonts w:ascii="Calibri" w:hAnsi="Calibri"/>
                <w:b w:val="0"/>
                <w:color w:val="222222"/>
                <w:sz w:val="18"/>
              </w:rPr>
              <w:t>Use and installation</w:t>
            </w:r>
          </w:p>
        </w:tc>
        <w:tc>
          <w:tcPr>
            <w:tcW w:type="dxa" w:w="3408"/>
            <w:shd w:val="clear" w:color="auto" w:fill="F5F8FC"/>
          </w:tcPr>
          <w:p>
            <w:pPr>
              <w:spacing w:before="40" w:after="40"/>
            </w:pPr>
            <w:r/>
            <w:r>
              <w:rPr>
                <w:rFonts w:ascii="Calibri" w:hAnsi="Calibri"/>
                <w:b w:val="0"/>
                <w:color w:val="222222"/>
                <w:sz w:val="18"/>
              </w:rPr>
              <w:t>Reusable fixed sanitary column with in-place packing and cleaning</w:t>
            </w:r>
          </w:p>
        </w:tc>
        <w:tc>
          <w:tcPr>
            <w:tcW w:type="dxa" w:w="3408"/>
            <w:shd w:val="clear" w:color="auto" w:fill="F5F8FC"/>
          </w:tcPr>
          <w:p>
            <w:pPr>
              <w:spacing w:before="40" w:after="40"/>
            </w:pPr>
            <w:r/>
            <w:r>
              <w:rPr>
                <w:rFonts w:ascii="Calibri" w:hAnsi="Calibri"/>
                <w:b w:val="0"/>
                <w:color w:val="222222"/>
                <w:sz w:val="18"/>
              </w:rPr>
              <w:t>Validated DIR</w:t>
            </w:r>
          </w:p>
        </w:tc>
      </w:tr>
    </w:tbl>
    <w:p/>
    <w:p>
      <w:pPr>
        <w:spacing w:before="0" w:after="120"/>
      </w:pPr>
      <w:r>
        <w:rPr>
          <w:rFonts w:ascii="Calibri" w:hAnsi="Calibri"/>
          <w:b w:val="0"/>
          <w:color w:val="222222"/>
          <w:sz w:val="20"/>
        </w:rPr>
        <w:t>The preliminary sizing uses the conservative capacity endpoint of 25 mg/mL, a selected 30 cm packed-bed height, and a selected 6 min loading residence time. The resulting 400 L resin requirement has no quantified capacity margin at exactly 25 mg/mL. Because the validated requirement is greater than 25 mg/mL, actual margin should be positive if that requirement is demonstrated, but it cannot be credited until an exact usable capacity is confirmed.</w:t>
      </w:r>
    </w:p>
    <w:p>
      <w:pPr>
        <w:spacing w:before="200" w:after="80"/>
      </w:pPr>
      <w:r>
        <w:rPr>
          <w:rFonts w:ascii="Calibri" w:hAnsi="Calibri"/>
          <w:b/>
          <w:color w:val="1F4E79"/>
          <w:sz w:val="24"/>
        </w:rPr>
        <w:t>Sized-item concept and criteria</w:t>
      </w:r>
    </w:p>
    <w:p>
      <w:pPr>
        <w:spacing w:before="0" w:after="120"/>
      </w:pPr>
      <w:r>
        <w:rPr>
          <w:rFonts w:ascii="Calibri" w:hAnsi="Calibri"/>
          <w:b w:val="0"/>
          <w:color w:val="222222"/>
          <w:sz w:val="20"/>
        </w:rPr>
        <w:t>Reusable, fixed, sanitary, in-place-packable HIC column with approximately 400 L packed resin, 30 cm selected bed height, and 1.303 m calculated internal diameter. The diameter is an unrounded screening result rather than an available vendor model. Select the next suitable vendor configuration that provides at least 400 L at a DIR-compliant bed height and meets distributor, pressure, packing, drainage, cleanability, and maintenance requirements.</w:t>
      </w:r>
    </w:p>
    <w:p>
      <w:pPr>
        <w:spacing w:before="0" w:after="120"/>
      </w:pPr>
      <w:r>
        <w:rPr>
          <w:rFonts w:ascii="Calibri" w:hAnsi="Calibri"/>
          <w:b w:val="0"/>
          <w:color w:val="222222"/>
          <w:sz w:val="20"/>
        </w:rPr>
        <w:t>Preliminary construction criteria are 316L stainless-steel product-contact surfaces, hygienic drainable geometry, ASME BPE clamp-type interfaces, and EPDM or PTFE gaskets subject to chemical-compatibility review. The preliminary minimum hardware rating is 5 barg at design temperature; whether the validated pressure requirement applies to inlet pressure, differential pressure, MAWP, or another rating basis remains vendor-confirmation scope. No vacuum capability is assumed.</w:t>
      </w:r>
    </w:p>
    <w:p>
      <w:pPr>
        <w:spacing w:before="0" w:after="120"/>
      </w:pPr>
      <w:r>
        <w:rPr>
          <w:rFonts w:ascii="Calibri" w:hAnsi="Calibri"/>
          <w:b w:val="0"/>
          <w:color w:val="222222"/>
          <w:sz w:val="20"/>
        </w:rPr>
        <w:t>The calculated size is substantially larger than the cited Cytiva BPG catalog range of up to 450 mm ID and 121 L. The cited OPUS large-scale family has a catalog bed-height range of 10–30 cm and a 3 bar hardware maximum; those values are benchmarking information only and do not demonstrate compliance with the project pressure requirement. A commercial-scale or custom reusable column must therefore be confirmed without asserting a catalog model.</w:t>
      </w:r>
    </w:p>
    <w:p>
      <w:pPr>
        <w:spacing w:before="200" w:after="80"/>
      </w:pPr>
      <w:r>
        <w:rPr>
          <w:rFonts w:ascii="Calibri" w:hAnsi="Calibri"/>
          <w:b/>
          <w:color w:val="1F4E79"/>
          <w:sz w:val="24"/>
        </w:rPr>
        <w:t>Capacity</w:t>
      </w:r>
    </w:p>
    <w:tbl>
      <w:tblPr>
        <w:tblStyle w:val="TableGrid"/>
        <w:tblW w:type="auto" w:w="0"/>
        <w:tblLayout w:type="autofit"/>
        <w:tblLook w:firstColumn="1" w:firstRow="1" w:lastColumn="0" w:lastRow="0" w:noHBand="0" w:noVBand="1" w:val="04A0"/>
      </w:tblPr>
      <w:tblGrid>
        <w:gridCol w:w="5112"/>
        <w:gridCol w:w="5112"/>
      </w:tblGrid>
      <w:tr>
        <w:tc>
          <w:tcPr>
            <w:tcW w:type="dxa" w:w="5112"/>
            <w:shd w:val="clear" w:color="auto" w:fill="1F4E79"/>
          </w:tcPr>
          <w:p>
            <w:pPr>
              <w:spacing w:before="40" w:after="40"/>
            </w:pPr>
            <w:r/>
            <w:r>
              <w:rPr>
                <w:rFonts w:ascii="Calibri" w:hAnsi="Calibri"/>
                <w:b/>
                <w:color w:val="FFFFFF"/>
                <w:sz w:val="18"/>
              </w:rPr>
              <w:t>Item</w:t>
            </w:r>
          </w:p>
        </w:tc>
        <w:tc>
          <w:tcPr>
            <w:tcW w:type="dxa" w:w="5112"/>
            <w:shd w:val="clear" w:color="auto" w:fill="1F4E79"/>
          </w:tcPr>
          <w:p>
            <w:pPr>
              <w:spacing w:before="40" w:after="40"/>
            </w:pPr>
            <w:r/>
            <w:r>
              <w:rPr>
                <w:rFonts w:ascii="Calibri" w:hAnsi="Calibri"/>
                <w:b/>
                <w:color w:val="FFFFFF"/>
                <w:sz w:val="18"/>
              </w:rPr>
              <w:t>Basis</w:t>
            </w:r>
          </w:p>
        </w:tc>
      </w:tr>
      <w:tr>
        <w:tc>
          <w:tcPr>
            <w:tcW w:type="dxa" w:w="5112"/>
          </w:tcPr>
          <w:p>
            <w:pPr>
              <w:spacing w:before="40" w:after="40"/>
            </w:pPr>
            <w:r/>
            <w:r>
              <w:rPr>
                <w:rFonts w:ascii="Calibri" w:hAnsi="Calibri"/>
                <w:b w:val="0"/>
                <w:color w:val="222222"/>
                <w:sz w:val="18"/>
              </w:rPr>
              <w:t>Target load</w:t>
            </w:r>
          </w:p>
        </w:tc>
        <w:tc>
          <w:tcPr>
            <w:tcW w:type="dxa" w:w="5112"/>
          </w:tcPr>
          <w:p>
            <w:pPr>
              <w:spacing w:before="40" w:after="40"/>
            </w:pPr>
            <w:r/>
            <w:r>
              <w:rPr>
                <w:rFonts w:ascii="Calibri" w:hAnsi="Calibri"/>
                <w:b w:val="0"/>
                <w:color w:val="222222"/>
                <w:sz w:val="18"/>
              </w:rPr>
              <w:t>10 kg/cycle — Provided, interpretation unconfirmed.</w:t>
            </w:r>
          </w:p>
        </w:tc>
      </w:tr>
      <w:tr>
        <w:tc>
          <w:tcPr>
            <w:tcW w:type="dxa" w:w="5112"/>
            <w:shd w:val="clear" w:color="auto" w:fill="F5F8FC"/>
          </w:tcPr>
          <w:p>
            <w:pPr>
              <w:spacing w:before="40" w:after="40"/>
            </w:pPr>
            <w:r/>
            <w:r>
              <w:rPr>
                <w:rFonts w:ascii="Calibri" w:hAnsi="Calibri"/>
                <w:b w:val="0"/>
                <w:color w:val="222222"/>
                <w:sz w:val="18"/>
              </w:rPr>
              <w:t>DIR usable capacity range</w:t>
            </w:r>
          </w:p>
        </w:tc>
        <w:tc>
          <w:tcPr>
            <w:tcW w:type="dxa" w:w="5112"/>
            <w:shd w:val="clear" w:color="auto" w:fill="F5F8FC"/>
          </w:tcPr>
          <w:p>
            <w:pPr>
              <w:spacing w:before="40" w:after="40"/>
            </w:pPr>
            <w:r/>
            <w:r>
              <w:rPr>
                <w:rFonts w:ascii="Calibri" w:hAnsi="Calibri"/>
                <w:b w:val="0"/>
                <w:color w:val="222222"/>
                <w:sz w:val="18"/>
              </w:rPr>
              <w:t>&gt;25 to 50 mg/mL — Validated DIR.</w:t>
            </w:r>
          </w:p>
        </w:tc>
      </w:tr>
      <w:tr>
        <w:tc>
          <w:tcPr>
            <w:tcW w:type="dxa" w:w="5112"/>
          </w:tcPr>
          <w:p>
            <w:pPr>
              <w:spacing w:before="40" w:after="40"/>
            </w:pPr>
            <w:r/>
            <w:r>
              <w:rPr>
                <w:rFonts w:ascii="Calibri" w:hAnsi="Calibri"/>
                <w:b w:val="0"/>
                <w:color w:val="222222"/>
                <w:sz w:val="18"/>
              </w:rPr>
              <w:t>Calculated resin-volume range</w:t>
            </w:r>
          </w:p>
        </w:tc>
        <w:tc>
          <w:tcPr>
            <w:tcW w:type="dxa" w:w="5112"/>
          </w:tcPr>
          <w:p>
            <w:pPr>
              <w:spacing w:before="40" w:after="40"/>
            </w:pPr>
            <w:r/>
            <w:r>
              <w:rPr>
                <w:rFonts w:ascii="Calibri" w:hAnsi="Calibri"/>
                <w:b w:val="0"/>
                <w:color w:val="222222"/>
                <w:sz w:val="18"/>
              </w:rPr>
              <w:t>200 to 400 L — Calculated screening.</w:t>
            </w:r>
          </w:p>
        </w:tc>
      </w:tr>
      <w:tr>
        <w:tc>
          <w:tcPr>
            <w:tcW w:type="dxa" w:w="5112"/>
            <w:shd w:val="clear" w:color="auto" w:fill="F5F8FC"/>
          </w:tcPr>
          <w:p>
            <w:pPr>
              <w:spacing w:before="40" w:after="40"/>
            </w:pPr>
            <w:r/>
            <w:r>
              <w:rPr>
                <w:rFonts w:ascii="Calibri" w:hAnsi="Calibri"/>
                <w:b w:val="0"/>
                <w:color w:val="222222"/>
                <w:sz w:val="18"/>
              </w:rPr>
              <w:t>Selected screening resin volume</w:t>
            </w:r>
          </w:p>
        </w:tc>
        <w:tc>
          <w:tcPr>
            <w:tcW w:type="dxa" w:w="5112"/>
            <w:shd w:val="clear" w:color="auto" w:fill="F5F8FC"/>
          </w:tcPr>
          <w:p>
            <w:pPr>
              <w:spacing w:before="40" w:after="40"/>
            </w:pPr>
            <w:r/>
            <w:r>
              <w:rPr>
                <w:rFonts w:ascii="Calibri" w:hAnsi="Calibri"/>
                <w:b w:val="0"/>
                <w:color w:val="222222"/>
                <w:sz w:val="18"/>
              </w:rPr>
              <w:t>400 L — Calculated from 25 mg/mL.</w:t>
            </w:r>
          </w:p>
        </w:tc>
      </w:tr>
      <w:tr>
        <w:tc>
          <w:tcPr>
            <w:tcW w:type="dxa" w:w="5112"/>
          </w:tcPr>
          <w:p>
            <w:pPr>
              <w:spacing w:before="40" w:after="40"/>
            </w:pPr>
            <w:r/>
            <w:r>
              <w:rPr>
                <w:rFonts w:ascii="Calibri" w:hAnsi="Calibri"/>
                <w:b w:val="0"/>
                <w:color w:val="222222"/>
                <w:sz w:val="18"/>
              </w:rPr>
              <w:t>Selected packed-bed height</w:t>
            </w:r>
          </w:p>
        </w:tc>
        <w:tc>
          <w:tcPr>
            <w:tcW w:type="dxa" w:w="5112"/>
          </w:tcPr>
          <w:p>
            <w:pPr>
              <w:spacing w:before="40" w:after="40"/>
            </w:pPr>
            <w:r/>
            <w:r>
              <w:rPr>
                <w:rFonts w:ascii="Calibri" w:hAnsi="Calibri"/>
                <w:b w:val="0"/>
                <w:color w:val="222222"/>
                <w:sz w:val="18"/>
              </w:rPr>
              <w:t>30 cm — Screening assumption within the &gt;25 to 40 cm DIR range.</w:t>
            </w:r>
          </w:p>
        </w:tc>
      </w:tr>
      <w:tr>
        <w:tc>
          <w:tcPr>
            <w:tcW w:type="dxa" w:w="5112"/>
            <w:shd w:val="clear" w:color="auto" w:fill="F5F8FC"/>
          </w:tcPr>
          <w:p>
            <w:pPr>
              <w:spacing w:before="40" w:after="40"/>
            </w:pPr>
            <w:r/>
            <w:r>
              <w:rPr>
                <w:rFonts w:ascii="Calibri" w:hAnsi="Calibri"/>
                <w:b w:val="0"/>
                <w:color w:val="222222"/>
                <w:sz w:val="18"/>
              </w:rPr>
              <w:t>Calculated area</w:t>
            </w:r>
          </w:p>
        </w:tc>
        <w:tc>
          <w:tcPr>
            <w:tcW w:type="dxa" w:w="5112"/>
            <w:shd w:val="clear" w:color="auto" w:fill="F5F8FC"/>
          </w:tcPr>
          <w:p>
            <w:pPr>
              <w:spacing w:before="40" w:after="40"/>
            </w:pPr>
            <w:r/>
            <w:r>
              <w:rPr>
                <w:rFonts w:ascii="Calibri" w:hAnsi="Calibri"/>
                <w:b w:val="0"/>
                <w:color w:val="222222"/>
                <w:sz w:val="18"/>
              </w:rPr>
              <w:t>1.3333 m² — Calculated screening.</w:t>
            </w:r>
          </w:p>
        </w:tc>
      </w:tr>
      <w:tr>
        <w:tc>
          <w:tcPr>
            <w:tcW w:type="dxa" w:w="5112"/>
          </w:tcPr>
          <w:p>
            <w:pPr>
              <w:spacing w:before="40" w:after="40"/>
            </w:pPr>
            <w:r/>
            <w:r>
              <w:rPr>
                <w:rFonts w:ascii="Calibri" w:hAnsi="Calibri"/>
                <w:b w:val="0"/>
                <w:color w:val="222222"/>
                <w:sz w:val="18"/>
              </w:rPr>
              <w:t>Calculated internal diameter</w:t>
            </w:r>
          </w:p>
        </w:tc>
        <w:tc>
          <w:tcPr>
            <w:tcW w:type="dxa" w:w="5112"/>
          </w:tcPr>
          <w:p>
            <w:pPr>
              <w:spacing w:before="40" w:after="40"/>
            </w:pPr>
            <w:r/>
            <w:r>
              <w:rPr>
                <w:rFonts w:ascii="Calibri" w:hAnsi="Calibri"/>
                <w:b w:val="0"/>
                <w:color w:val="222222"/>
                <w:sz w:val="18"/>
              </w:rPr>
              <w:t>1.3029 m — Calculated screening; vendor rounding required.</w:t>
            </w:r>
          </w:p>
        </w:tc>
      </w:tr>
      <w:tr>
        <w:tc>
          <w:tcPr>
            <w:tcW w:type="dxa" w:w="5112"/>
            <w:shd w:val="clear" w:color="auto" w:fill="F5F8FC"/>
          </w:tcPr>
          <w:p>
            <w:pPr>
              <w:spacing w:before="40" w:after="40"/>
            </w:pPr>
            <w:r/>
            <w:r>
              <w:rPr>
                <w:rFonts w:ascii="Calibri" w:hAnsi="Calibri"/>
                <w:b w:val="0"/>
                <w:color w:val="222222"/>
                <w:sz w:val="18"/>
              </w:rPr>
              <w:t>Nominal usable mass capacity at 25 mg/mL</w:t>
            </w:r>
          </w:p>
        </w:tc>
        <w:tc>
          <w:tcPr>
            <w:tcW w:type="dxa" w:w="5112"/>
            <w:shd w:val="clear" w:color="auto" w:fill="F5F8FC"/>
          </w:tcPr>
          <w:p>
            <w:pPr>
              <w:spacing w:before="40" w:after="40"/>
            </w:pPr>
            <w:r/>
            <w:r>
              <w:rPr>
                <w:rFonts w:ascii="Calibri" w:hAnsi="Calibri"/>
                <w:b w:val="0"/>
                <w:color w:val="222222"/>
                <w:sz w:val="18"/>
              </w:rPr>
              <w:t>10.0 kg/cycle — Calculated; 0% margin at the conservative endpoint.</w:t>
            </w:r>
          </w:p>
        </w:tc>
      </w:tr>
      <w:tr>
        <w:tc>
          <w:tcPr>
            <w:tcW w:type="dxa" w:w="5112"/>
          </w:tcPr>
          <w:p>
            <w:pPr>
              <w:spacing w:before="40" w:after="40"/>
            </w:pPr>
            <w:r/>
            <w:r>
              <w:rPr>
                <w:rFonts w:ascii="Calibri" w:hAnsi="Calibri"/>
                <w:b w:val="0"/>
                <w:color w:val="222222"/>
                <w:sz w:val="18"/>
              </w:rPr>
              <w:t>Nominal usable mass capacity at 50 mg/mL</w:t>
            </w:r>
          </w:p>
        </w:tc>
        <w:tc>
          <w:tcPr>
            <w:tcW w:type="dxa" w:w="5112"/>
          </w:tcPr>
          <w:p>
            <w:pPr>
              <w:spacing w:before="40" w:after="40"/>
            </w:pPr>
            <w:r/>
            <w:r>
              <w:rPr>
                <w:rFonts w:ascii="Calibri" w:hAnsi="Calibri"/>
                <w:b w:val="0"/>
                <w:color w:val="222222"/>
                <w:sz w:val="18"/>
              </w:rPr>
              <w:t>20.0 kg/cycle — Calculated range endpoint, not credited for selection.</w:t>
            </w:r>
          </w:p>
        </w:tc>
      </w:tr>
      <w:tr>
        <w:tc>
          <w:tcPr>
            <w:tcW w:type="dxa" w:w="5112"/>
            <w:shd w:val="clear" w:color="auto" w:fill="F5F8FC"/>
          </w:tcPr>
          <w:p>
            <w:pPr>
              <w:spacing w:before="40" w:after="40"/>
            </w:pPr>
            <w:r/>
            <w:r>
              <w:rPr>
                <w:rFonts w:ascii="Calibri" w:hAnsi="Calibri"/>
                <w:b w:val="0"/>
                <w:color w:val="222222"/>
                <w:sz w:val="18"/>
              </w:rPr>
              <w:t>Loading flow at 6 min residence time</w:t>
            </w:r>
          </w:p>
        </w:tc>
        <w:tc>
          <w:tcPr>
            <w:tcW w:type="dxa" w:w="5112"/>
            <w:shd w:val="clear" w:color="auto" w:fill="F5F8FC"/>
          </w:tcPr>
          <w:p>
            <w:pPr>
              <w:spacing w:before="40" w:after="40"/>
            </w:pPr>
            <w:r/>
            <w:r>
              <w:rPr>
                <w:rFonts w:ascii="Calibri" w:hAnsi="Calibri"/>
                <w:b w:val="0"/>
                <w:color w:val="222222"/>
                <w:sz w:val="18"/>
              </w:rPr>
              <w:t>66.67 L/min — Calculated screening.</w:t>
            </w:r>
          </w:p>
        </w:tc>
      </w:tr>
      <w:tr>
        <w:tc>
          <w:tcPr>
            <w:tcW w:type="dxa" w:w="5112"/>
          </w:tcPr>
          <w:p>
            <w:pPr>
              <w:spacing w:before="40" w:after="40"/>
            </w:pPr>
            <w:r/>
            <w:r>
              <w:rPr>
                <w:rFonts w:ascii="Calibri" w:hAnsi="Calibri"/>
                <w:b w:val="0"/>
                <w:color w:val="222222"/>
                <w:sz w:val="18"/>
              </w:rPr>
              <w:t>Flow corresponding to 3 min</w:t>
            </w:r>
          </w:p>
        </w:tc>
        <w:tc>
          <w:tcPr>
            <w:tcW w:type="dxa" w:w="5112"/>
          </w:tcPr>
          <w:p>
            <w:pPr>
              <w:spacing w:before="40" w:after="40"/>
            </w:pPr>
            <w:r/>
            <w:r>
              <w:rPr>
                <w:rFonts w:ascii="Calibri" w:hAnsi="Calibri"/>
                <w:b w:val="0"/>
                <w:color w:val="222222"/>
                <w:sz w:val="18"/>
              </w:rPr>
              <w:t>133.33 L/min — Calculated boundary value. Because the DIR requirement is greater than 3 min, the actual allowable loading flow is less than 133.33 L/min.</w:t>
            </w:r>
          </w:p>
        </w:tc>
      </w:tr>
      <w:tr>
        <w:tc>
          <w:tcPr>
            <w:tcW w:type="dxa" w:w="5112"/>
            <w:shd w:val="clear" w:color="auto" w:fill="F5F8FC"/>
          </w:tcPr>
          <w:p>
            <w:pPr>
              <w:spacing w:before="40" w:after="40"/>
            </w:pPr>
            <w:r/>
            <w:r>
              <w:rPr>
                <w:rFonts w:ascii="Calibri" w:hAnsi="Calibri"/>
                <w:b w:val="0"/>
                <w:color w:val="222222"/>
                <w:sz w:val="18"/>
              </w:rPr>
              <w:t>Loading superficial velocity at 30 cm and 6 min</w:t>
            </w:r>
          </w:p>
        </w:tc>
        <w:tc>
          <w:tcPr>
            <w:tcW w:type="dxa" w:w="5112"/>
            <w:shd w:val="clear" w:color="auto" w:fill="F5F8FC"/>
          </w:tcPr>
          <w:p>
            <w:pPr>
              <w:spacing w:before="40" w:after="40"/>
            </w:pPr>
            <w:r/>
            <w:r>
              <w:rPr>
                <w:rFonts w:ascii="Calibri" w:hAnsi="Calibri"/>
                <w:b w:val="0"/>
                <w:color w:val="222222"/>
                <w:sz w:val="18"/>
              </w:rPr>
              <w:t>300 cm/h — Calculated screening.</w:t>
            </w:r>
          </w:p>
        </w:tc>
      </w:tr>
    </w:tbl>
    <w:p/>
    <w:p>
      <w:pPr>
        <w:spacing w:before="0" w:after="120"/>
      </w:pPr>
      <w:r>
        <w:rPr>
          <w:rFonts w:ascii="Calibri" w:hAnsi="Calibri"/>
          <w:b w:val="0"/>
          <w:color w:val="222222"/>
          <w:sz w:val="20"/>
        </w:rPr>
        <w:t>Processing time cannot be established because feed concentration, load volume, complete step recipe, cycle count, holds, transitions, and batch processing window are missing. Packed-bed pressure drop cannot be established because resin hydraulic properties and controlling high-salt and cleaning-fluid properties are unavailable.</w:t>
      </w:r>
    </w:p>
    <w:p>
      <w:pPr>
        <w:spacing w:before="200" w:after="80"/>
      </w:pPr>
      <w:r>
        <w:rPr>
          <w:rFonts w:ascii="Calibri" w:hAnsi="Calibri"/>
          <w:b/>
          <w:color w:val="1F4E79"/>
          <w:sz w:val="24"/>
        </w:rPr>
        <w:t>Connections for the sized item</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shd w:val="clear" w:color="auto" w:fill="1F4E79"/>
          </w:tcPr>
          <w:p>
            <w:pPr>
              <w:spacing w:before="40" w:after="40"/>
            </w:pPr>
            <w:r/>
            <w:r>
              <w:rPr>
                <w:rFonts w:ascii="Calibri" w:hAnsi="Calibri"/>
                <w:b/>
                <w:color w:val="FFFFFF"/>
                <w:sz w:val="18"/>
              </w:rPr>
              <w:t>Column-owned connection</w:t>
            </w:r>
          </w:p>
        </w:tc>
        <w:tc>
          <w:tcPr>
            <w:tcW w:type="dxa" w:w="2045"/>
            <w:shd w:val="clear" w:color="auto" w:fill="1F4E79"/>
          </w:tcPr>
          <w:p>
            <w:pPr>
              <w:spacing w:before="40" w:after="40"/>
            </w:pPr>
            <w:r/>
            <w:r>
              <w:rPr>
                <w:rFonts w:ascii="Calibri" w:hAnsi="Calibri"/>
                <w:b/>
                <w:color w:val="FFFFFF"/>
                <w:sz w:val="18"/>
              </w:rPr>
              <w:t>Qty.</w:t>
            </w:r>
          </w:p>
        </w:tc>
        <w:tc>
          <w:tcPr>
            <w:tcW w:type="dxa" w:w="2045"/>
            <w:shd w:val="clear" w:color="auto" w:fill="1F4E79"/>
          </w:tcPr>
          <w:p>
            <w:pPr>
              <w:spacing w:before="40" w:after="40"/>
            </w:pPr>
            <w:r/>
            <w:r>
              <w:rPr>
                <w:rFonts w:ascii="Calibri" w:hAnsi="Calibri"/>
                <w:b/>
                <w:color w:val="FFFFFF"/>
                <w:sz w:val="18"/>
              </w:rPr>
              <w:t>Preliminary size</w:t>
            </w:r>
          </w:p>
        </w:tc>
        <w:tc>
          <w:tcPr>
            <w:tcW w:type="dxa" w:w="2045"/>
            <w:shd w:val="clear" w:color="auto" w:fill="1F4E79"/>
          </w:tcPr>
          <w:p>
            <w:pPr>
              <w:spacing w:before="40" w:after="40"/>
            </w:pPr>
            <w:r/>
            <w:r>
              <w:rPr>
                <w:rFonts w:ascii="Calibri" w:hAnsi="Calibri"/>
                <w:b/>
                <w:color w:val="FFFFFF"/>
                <w:sz w:val="18"/>
              </w:rPr>
              <w:t>Service and basis</w:t>
            </w:r>
          </w:p>
        </w:tc>
        <w:tc>
          <w:tcPr>
            <w:tcW w:type="dxa" w:w="2045"/>
            <w:shd w:val="clear" w:color="auto" w:fill="1F4E79"/>
          </w:tcPr>
          <w:p>
            <w:pPr>
              <w:spacing w:before="40" w:after="40"/>
            </w:pPr>
            <w:r/>
            <w:r>
              <w:rPr>
                <w:rFonts w:ascii="Calibri" w:hAnsi="Calibri"/>
                <w:b/>
                <w:color w:val="FFFFFF"/>
                <w:sz w:val="18"/>
              </w:rPr>
              <w:t>Status</w:t>
            </w:r>
          </w:p>
        </w:tc>
      </w:tr>
      <w:tr>
        <w:tc>
          <w:tcPr>
            <w:tcW w:type="dxa" w:w="2045"/>
          </w:tcPr>
          <w:p>
            <w:pPr>
              <w:spacing w:before="40" w:after="40"/>
            </w:pPr>
            <w:r/>
            <w:r>
              <w:rPr>
                <w:rFonts w:ascii="Calibri" w:hAnsi="Calibri"/>
                <w:b w:val="0"/>
                <w:color w:val="222222"/>
                <w:sz w:val="18"/>
              </w:rPr>
              <w:t>Top process/mobile-phase inlet</w:t>
            </w:r>
          </w:p>
        </w:tc>
        <w:tc>
          <w:tcPr>
            <w:tcW w:type="dxa" w:w="2045"/>
          </w:tcPr>
          <w:p>
            <w:pPr>
              <w:spacing w:before="40" w:after="40"/>
            </w:pPr>
            <w:r/>
            <w:r>
              <w:rPr>
                <w:rFonts w:ascii="Calibri" w:hAnsi="Calibri"/>
                <w:b w:val="0"/>
                <w:color w:val="222222"/>
                <w:sz w:val="18"/>
              </w:rPr>
              <w:t>1</w:t>
            </w:r>
          </w:p>
        </w:tc>
        <w:tc>
          <w:tcPr>
            <w:tcW w:type="dxa" w:w="2045"/>
          </w:tcPr>
          <w:p>
            <w:pPr>
              <w:spacing w:before="40" w:after="40"/>
            </w:pPr>
            <w:r/>
            <w:r>
              <w:rPr>
                <w:rFonts w:ascii="Calibri" w:hAnsi="Calibri"/>
                <w:b w:val="0"/>
                <w:color w:val="222222"/>
                <w:sz w:val="18"/>
              </w:rPr>
              <w:t>2 in (DN50)</w:t>
            </w:r>
          </w:p>
        </w:tc>
        <w:tc>
          <w:tcPr>
            <w:tcW w:type="dxa" w:w="2045"/>
          </w:tcPr>
          <w:p>
            <w:pPr>
              <w:spacing w:before="40" w:after="40"/>
            </w:pPr>
            <w:r/>
            <w:r>
              <w:rPr>
                <w:rFonts w:ascii="Calibri" w:hAnsi="Calibri"/>
                <w:b w:val="0"/>
                <w:color w:val="222222"/>
                <w:sz w:val="18"/>
              </w:rPr>
              <w:t>Load, buffers, wash, elution, regeneration, CIP, and HETP/integrity-test liquid. At 133.33 L/min and 47.5 mm assumed bore, velocity is approximately 1.25 m/s. Estimated water-like local loss at K=2 is approximately 0.016 bar, excluding distributor and bed losses.</w:t>
            </w:r>
          </w:p>
        </w:tc>
        <w:tc>
          <w:tcPr>
            <w:tcW w:type="dxa" w:w="2045"/>
          </w:tcPr>
          <w:p>
            <w:pPr>
              <w:spacing w:before="40" w:after="40"/>
            </w:pPr>
            <w:r/>
            <w:r>
              <w:rPr>
                <w:rFonts w:ascii="Calibri" w:hAnsi="Calibri"/>
                <w:b w:val="0"/>
                <w:color w:val="222222"/>
                <w:sz w:val="18"/>
              </w:rPr>
              <w:t>Calculated screening; vendor confirm</w:t>
            </w:r>
          </w:p>
        </w:tc>
      </w:tr>
      <w:tr>
        <w:tc>
          <w:tcPr>
            <w:tcW w:type="dxa" w:w="2045"/>
            <w:shd w:val="clear" w:color="auto" w:fill="F5F8FC"/>
          </w:tcPr>
          <w:p>
            <w:pPr>
              <w:spacing w:before="40" w:after="40"/>
            </w:pPr>
            <w:r/>
            <w:r>
              <w:rPr>
                <w:rFonts w:ascii="Calibri" w:hAnsi="Calibri"/>
                <w:b w:val="0"/>
                <w:color w:val="222222"/>
                <w:sz w:val="18"/>
              </w:rPr>
              <w:t>Bottom process/product outlet and low-point drain</w:t>
            </w:r>
          </w:p>
        </w:tc>
        <w:tc>
          <w:tcPr>
            <w:tcW w:type="dxa" w:w="2045"/>
            <w:shd w:val="clear" w:color="auto" w:fill="F5F8FC"/>
          </w:tcPr>
          <w:p>
            <w:pPr>
              <w:spacing w:before="40" w:after="40"/>
            </w:pPr>
            <w:r/>
            <w:r>
              <w:rPr>
                <w:rFonts w:ascii="Calibri" w:hAnsi="Calibri"/>
                <w:b w:val="0"/>
                <w:color w:val="222222"/>
                <w:sz w:val="18"/>
              </w:rPr>
              <w:t>1</w:t>
            </w:r>
          </w:p>
        </w:tc>
        <w:tc>
          <w:tcPr>
            <w:tcW w:type="dxa" w:w="2045"/>
            <w:shd w:val="clear" w:color="auto" w:fill="F5F8FC"/>
          </w:tcPr>
          <w:p>
            <w:pPr>
              <w:spacing w:before="40" w:after="40"/>
            </w:pPr>
            <w:r/>
            <w:r>
              <w:rPr>
                <w:rFonts w:ascii="Calibri" w:hAnsi="Calibri"/>
                <w:b w:val="0"/>
                <w:color w:val="222222"/>
                <w:sz w:val="18"/>
              </w:rPr>
              <w:t>2 in (DN50)</w:t>
            </w:r>
          </w:p>
        </w:tc>
        <w:tc>
          <w:tcPr>
            <w:tcW w:type="dxa" w:w="2045"/>
            <w:shd w:val="clear" w:color="auto" w:fill="F5F8FC"/>
          </w:tcPr>
          <w:p>
            <w:pPr>
              <w:spacing w:before="40" w:after="40"/>
            </w:pPr>
            <w:r/>
            <w:r>
              <w:rPr>
                <w:rFonts w:ascii="Calibri" w:hAnsi="Calibri"/>
                <w:b w:val="0"/>
                <w:color w:val="222222"/>
                <w:sz w:val="18"/>
              </w:rPr>
              <w:t>Product, flow-through, process return, test discharge, and liquid drainage. Same preliminary hydraulic basis as the inlet; locate at the true low point without a retained pocket.</w:t>
            </w:r>
          </w:p>
        </w:tc>
        <w:tc>
          <w:tcPr>
            <w:tcW w:type="dxa" w:w="2045"/>
            <w:shd w:val="clear" w:color="auto" w:fill="F5F8FC"/>
          </w:tcPr>
          <w:p>
            <w:pPr>
              <w:spacing w:before="40" w:after="40"/>
            </w:pPr>
            <w:r/>
            <w:r>
              <w:rPr>
                <w:rFonts w:ascii="Calibri" w:hAnsi="Calibri"/>
                <w:b w:val="0"/>
                <w:color w:val="222222"/>
                <w:sz w:val="18"/>
              </w:rPr>
              <w:t>Calculated screening; vendor confirm</w:t>
            </w:r>
          </w:p>
        </w:tc>
      </w:tr>
      <w:tr>
        <w:tc>
          <w:tcPr>
            <w:tcW w:type="dxa" w:w="2045"/>
          </w:tcPr>
          <w:p>
            <w:pPr>
              <w:spacing w:before="40" w:after="40"/>
            </w:pPr>
            <w:r/>
            <w:r>
              <w:rPr>
                <w:rFonts w:ascii="Calibri" w:hAnsi="Calibri"/>
                <w:b w:val="0"/>
                <w:color w:val="222222"/>
                <w:sz w:val="18"/>
              </w:rPr>
              <w:t>Top vent/air displacement</w:t>
            </w:r>
          </w:p>
        </w:tc>
        <w:tc>
          <w:tcPr>
            <w:tcW w:type="dxa" w:w="2045"/>
          </w:tcPr>
          <w:p>
            <w:pPr>
              <w:spacing w:before="40" w:after="40"/>
            </w:pPr>
            <w:r/>
            <w:r>
              <w:rPr>
                <w:rFonts w:ascii="Calibri" w:hAnsi="Calibri"/>
                <w:b w:val="0"/>
                <w:color w:val="222222"/>
                <w:sz w:val="18"/>
              </w:rPr>
              <w:t>1</w:t>
            </w:r>
          </w:p>
        </w:tc>
        <w:tc>
          <w:tcPr>
            <w:tcW w:type="dxa" w:w="2045"/>
          </w:tcPr>
          <w:p>
            <w:pPr>
              <w:spacing w:before="40" w:after="40"/>
            </w:pPr>
            <w:r/>
            <w:r>
              <w:rPr>
                <w:rFonts w:ascii="Calibri" w:hAnsi="Calibri"/>
                <w:b w:val="0"/>
                <w:color w:val="222222"/>
                <w:sz w:val="18"/>
              </w:rPr>
              <w:t>1 in (DN25)</w:t>
            </w:r>
          </w:p>
        </w:tc>
        <w:tc>
          <w:tcPr>
            <w:tcW w:type="dxa" w:w="2045"/>
          </w:tcPr>
          <w:p>
            <w:pPr>
              <w:spacing w:before="40" w:after="40"/>
            </w:pPr>
            <w:r/>
            <w:r>
              <w:rPr>
                <w:rFonts w:ascii="Calibri" w:hAnsi="Calibri"/>
                <w:b w:val="0"/>
                <w:color w:val="222222"/>
                <w:sz w:val="18"/>
              </w:rPr>
              <w:t>Air removal during filling and gas admission during gravity draining. Approximate ambient-air velocity is 5.8 m/s at 133.33 L/min displacement through a 22 mm assumed bore.</w:t>
            </w:r>
          </w:p>
        </w:tc>
        <w:tc>
          <w:tcPr>
            <w:tcW w:type="dxa" w:w="2045"/>
          </w:tcPr>
          <w:p>
            <w:pPr>
              <w:spacing w:before="40" w:after="40"/>
            </w:pPr>
            <w:r/>
            <w:r>
              <w:rPr>
                <w:rFonts w:ascii="Calibri" w:hAnsi="Calibri"/>
                <w:b w:val="0"/>
                <w:color w:val="222222"/>
                <w:sz w:val="18"/>
              </w:rPr>
              <w:t>Calculated screening; vendor confirm</w:t>
            </w:r>
          </w:p>
        </w:tc>
      </w:tr>
      <w:tr>
        <w:tc>
          <w:tcPr>
            <w:tcW w:type="dxa" w:w="2045"/>
            <w:shd w:val="clear" w:color="auto" w:fill="F5F8FC"/>
          </w:tcPr>
          <w:p>
            <w:pPr>
              <w:spacing w:before="40" w:after="40"/>
            </w:pPr>
            <w:r/>
            <w:r>
              <w:rPr>
                <w:rFonts w:ascii="Calibri" w:hAnsi="Calibri"/>
                <w:b w:val="0"/>
                <w:color w:val="222222"/>
                <w:sz w:val="18"/>
              </w:rPr>
              <w:t>Upper flush pressure connection</w:t>
            </w:r>
          </w:p>
        </w:tc>
        <w:tc>
          <w:tcPr>
            <w:tcW w:type="dxa" w:w="2045"/>
            <w:shd w:val="clear" w:color="auto" w:fill="F5F8FC"/>
          </w:tcPr>
          <w:p>
            <w:pPr>
              <w:spacing w:before="40" w:after="40"/>
            </w:pPr>
            <w:r/>
            <w:r>
              <w:rPr>
                <w:rFonts w:ascii="Calibri" w:hAnsi="Calibri"/>
                <w:b w:val="0"/>
                <w:color w:val="222222"/>
                <w:sz w:val="18"/>
              </w:rPr>
              <w:t>1</w:t>
            </w:r>
          </w:p>
        </w:tc>
        <w:tc>
          <w:tcPr>
            <w:tcW w:type="dxa" w:w="2045"/>
            <w:shd w:val="clear" w:color="auto" w:fill="F5F8FC"/>
          </w:tcPr>
          <w:p>
            <w:pPr>
              <w:spacing w:before="40" w:after="40"/>
            </w:pPr>
            <w:r/>
            <w:r>
              <w:rPr>
                <w:rFonts w:ascii="Calibri" w:hAnsi="Calibri"/>
                <w:b w:val="0"/>
                <w:color w:val="222222"/>
                <w:sz w:val="18"/>
              </w:rPr>
              <w:t>1.5 in (DN40)</w:t>
            </w:r>
          </w:p>
        </w:tc>
        <w:tc>
          <w:tcPr>
            <w:tcW w:type="dxa" w:w="2045"/>
            <w:shd w:val="clear" w:color="auto" w:fill="F5F8FC"/>
          </w:tcPr>
          <w:p>
            <w:pPr>
              <w:spacing w:before="40" w:after="40"/>
            </w:pPr>
            <w:r/>
            <w:r>
              <w:rPr>
                <w:rFonts w:ascii="Calibri" w:hAnsi="Calibri"/>
                <w:b w:val="0"/>
                <w:color w:val="222222"/>
                <w:sz w:val="18"/>
              </w:rPr>
              <w:t>Flush sanitary diaphragm seal for inlet-side pressure. Preliminary instrument range 0–6 barg.</w:t>
            </w:r>
          </w:p>
        </w:tc>
        <w:tc>
          <w:tcPr>
            <w:tcW w:type="dxa" w:w="2045"/>
            <w:shd w:val="clear" w:color="auto" w:fill="F5F8FC"/>
          </w:tcPr>
          <w:p>
            <w:pPr>
              <w:spacing w:before="40" w:after="40"/>
            </w:pPr>
            <w:r/>
            <w:r>
              <w:rPr>
                <w:rFonts w:ascii="Calibri" w:hAnsi="Calibri"/>
                <w:b w:val="0"/>
                <w:color w:val="222222"/>
                <w:sz w:val="18"/>
              </w:rPr>
              <w:t>Assumption; vendor confirm</w:t>
            </w:r>
          </w:p>
        </w:tc>
      </w:tr>
      <w:tr>
        <w:tc>
          <w:tcPr>
            <w:tcW w:type="dxa" w:w="2045"/>
          </w:tcPr>
          <w:p>
            <w:pPr>
              <w:spacing w:before="40" w:after="40"/>
            </w:pPr>
            <w:r/>
            <w:r>
              <w:rPr>
                <w:rFonts w:ascii="Calibri" w:hAnsi="Calibri"/>
                <w:b w:val="0"/>
                <w:color w:val="222222"/>
                <w:sz w:val="18"/>
              </w:rPr>
              <w:t>Lower flush pressure connection</w:t>
            </w:r>
          </w:p>
        </w:tc>
        <w:tc>
          <w:tcPr>
            <w:tcW w:type="dxa" w:w="2045"/>
          </w:tcPr>
          <w:p>
            <w:pPr>
              <w:spacing w:before="40" w:after="40"/>
            </w:pPr>
            <w:r/>
            <w:r>
              <w:rPr>
                <w:rFonts w:ascii="Calibri" w:hAnsi="Calibri"/>
                <w:b w:val="0"/>
                <w:color w:val="222222"/>
                <w:sz w:val="18"/>
              </w:rPr>
              <w:t>1</w:t>
            </w:r>
          </w:p>
        </w:tc>
        <w:tc>
          <w:tcPr>
            <w:tcW w:type="dxa" w:w="2045"/>
          </w:tcPr>
          <w:p>
            <w:pPr>
              <w:spacing w:before="40" w:after="40"/>
            </w:pPr>
            <w:r/>
            <w:r>
              <w:rPr>
                <w:rFonts w:ascii="Calibri" w:hAnsi="Calibri"/>
                <w:b w:val="0"/>
                <w:color w:val="222222"/>
                <w:sz w:val="18"/>
              </w:rPr>
              <w:t>1.5 in (DN40)</w:t>
            </w:r>
          </w:p>
        </w:tc>
        <w:tc>
          <w:tcPr>
            <w:tcW w:type="dxa" w:w="2045"/>
          </w:tcPr>
          <w:p>
            <w:pPr>
              <w:spacing w:before="40" w:after="40"/>
            </w:pPr>
            <w:r/>
            <w:r>
              <w:rPr>
                <w:rFonts w:ascii="Calibri" w:hAnsi="Calibri"/>
                <w:b w:val="0"/>
                <w:color w:val="222222"/>
                <w:sz w:val="18"/>
              </w:rPr>
              <w:t>Flush sanitary diaphragm seal for outlet pressure and bed/distributor differential-pressure determination.</w:t>
            </w:r>
          </w:p>
        </w:tc>
        <w:tc>
          <w:tcPr>
            <w:tcW w:type="dxa" w:w="2045"/>
          </w:tcPr>
          <w:p>
            <w:pPr>
              <w:spacing w:before="40" w:after="40"/>
            </w:pPr>
            <w:r/>
            <w:r>
              <w:rPr>
                <w:rFonts w:ascii="Calibri" w:hAnsi="Calibri"/>
                <w:b w:val="0"/>
                <w:color w:val="222222"/>
                <w:sz w:val="18"/>
              </w:rPr>
              <w:t>Assumption; vendor confirm</w:t>
            </w:r>
          </w:p>
        </w:tc>
      </w:tr>
      <w:tr>
        <w:tc>
          <w:tcPr>
            <w:tcW w:type="dxa" w:w="2045"/>
            <w:shd w:val="clear" w:color="auto" w:fill="F5F8FC"/>
          </w:tcPr>
          <w:p>
            <w:pPr>
              <w:spacing w:before="40" w:after="40"/>
            </w:pPr>
            <w:r/>
            <w:r>
              <w:rPr>
                <w:rFonts w:ascii="Calibri" w:hAnsi="Calibri"/>
                <w:b w:val="0"/>
                <w:color w:val="222222"/>
                <w:sz w:val="18"/>
              </w:rPr>
              <w:t>Upper resin-slurry charging/packing port</w:t>
            </w:r>
          </w:p>
        </w:tc>
        <w:tc>
          <w:tcPr>
            <w:tcW w:type="dxa" w:w="2045"/>
            <w:shd w:val="clear" w:color="auto" w:fill="F5F8FC"/>
          </w:tcPr>
          <w:p>
            <w:pPr>
              <w:spacing w:before="40" w:after="40"/>
            </w:pPr>
            <w:r/>
            <w:r>
              <w:rPr>
                <w:rFonts w:ascii="Calibri" w:hAnsi="Calibri"/>
                <w:b w:val="0"/>
                <w:color w:val="222222"/>
                <w:sz w:val="18"/>
              </w:rPr>
              <w:t>1</w:t>
            </w:r>
          </w:p>
        </w:tc>
        <w:tc>
          <w:tcPr>
            <w:tcW w:type="dxa" w:w="2045"/>
            <w:shd w:val="clear" w:color="auto" w:fill="F5F8FC"/>
          </w:tcPr>
          <w:p>
            <w:pPr>
              <w:spacing w:before="40" w:after="40"/>
            </w:pPr>
            <w:r/>
            <w:r>
              <w:rPr>
                <w:rFonts w:ascii="Calibri" w:hAnsi="Calibri"/>
                <w:b w:val="0"/>
                <w:color w:val="222222"/>
                <w:sz w:val="18"/>
              </w:rPr>
              <w:t>3 in (DN80)</w:t>
            </w:r>
          </w:p>
        </w:tc>
        <w:tc>
          <w:tcPr>
            <w:tcW w:type="dxa" w:w="2045"/>
            <w:shd w:val="clear" w:color="auto" w:fill="F5F8FC"/>
          </w:tcPr>
          <w:p>
            <w:pPr>
              <w:spacing w:before="40" w:after="40"/>
            </w:pPr>
            <w:r/>
            <w:r>
              <w:rPr>
                <w:rFonts w:ascii="Calibri" w:hAnsi="Calibri"/>
                <w:b w:val="0"/>
                <w:color w:val="222222"/>
                <w:sz w:val="18"/>
              </w:rPr>
              <w:t>In-place resin charging. At 50% settled-resin fraction, 400 L packed resin corresponds to approximately 800 L slurry. A 200 L/min assumed transfer takes approximately 4 min and gives approximately 0.80 m/s in a 73 mm assumed bore.</w:t>
            </w:r>
          </w:p>
        </w:tc>
        <w:tc>
          <w:tcPr>
            <w:tcW w:type="dxa" w:w="2045"/>
            <w:shd w:val="clear" w:color="auto" w:fill="F5F8FC"/>
          </w:tcPr>
          <w:p>
            <w:pPr>
              <w:spacing w:before="40" w:after="40"/>
            </w:pPr>
            <w:r/>
            <w:r>
              <w:rPr>
                <w:rFonts w:ascii="Calibri" w:hAnsi="Calibri"/>
                <w:b w:val="0"/>
                <w:color w:val="222222"/>
                <w:sz w:val="18"/>
              </w:rPr>
              <w:t>Assumption; vendor confirm</w:t>
            </w:r>
          </w:p>
        </w:tc>
      </w:tr>
      <w:tr>
        <w:tc>
          <w:tcPr>
            <w:tcW w:type="dxa" w:w="2045"/>
          </w:tcPr>
          <w:p>
            <w:pPr>
              <w:spacing w:before="40" w:after="40"/>
            </w:pPr>
            <w:r/>
            <w:r>
              <w:rPr>
                <w:rFonts w:ascii="Calibri" w:hAnsi="Calibri"/>
                <w:b w:val="0"/>
                <w:color w:val="222222"/>
                <w:sz w:val="18"/>
              </w:rPr>
              <w:t>Lower resin-slurry discharge/unpacking port</w:t>
            </w:r>
          </w:p>
        </w:tc>
        <w:tc>
          <w:tcPr>
            <w:tcW w:type="dxa" w:w="2045"/>
          </w:tcPr>
          <w:p>
            <w:pPr>
              <w:spacing w:before="40" w:after="40"/>
            </w:pPr>
            <w:r/>
            <w:r>
              <w:rPr>
                <w:rFonts w:ascii="Calibri" w:hAnsi="Calibri"/>
                <w:b w:val="0"/>
                <w:color w:val="222222"/>
                <w:sz w:val="18"/>
              </w:rPr>
              <w:t>1</w:t>
            </w:r>
          </w:p>
        </w:tc>
        <w:tc>
          <w:tcPr>
            <w:tcW w:type="dxa" w:w="2045"/>
          </w:tcPr>
          <w:p>
            <w:pPr>
              <w:spacing w:before="40" w:after="40"/>
            </w:pPr>
            <w:r/>
            <w:r>
              <w:rPr>
                <w:rFonts w:ascii="Calibri" w:hAnsi="Calibri"/>
                <w:b w:val="0"/>
                <w:color w:val="222222"/>
                <w:sz w:val="18"/>
              </w:rPr>
              <w:t>3 in (DN80)</w:t>
            </w:r>
          </w:p>
        </w:tc>
        <w:tc>
          <w:tcPr>
            <w:tcW w:type="dxa" w:w="2045"/>
          </w:tcPr>
          <w:p>
            <w:pPr>
              <w:spacing w:before="40" w:after="40"/>
            </w:pPr>
            <w:r/>
            <w:r>
              <w:rPr>
                <w:rFonts w:ascii="Calibri" w:hAnsi="Calibri"/>
                <w:b w:val="0"/>
                <w:color w:val="222222"/>
                <w:sz w:val="18"/>
              </w:rPr>
              <w:t>Resin removal and coarse solids drainage; provide flush, full-bore, pocket-free arrangement.</w:t>
            </w:r>
          </w:p>
        </w:tc>
        <w:tc>
          <w:tcPr>
            <w:tcW w:type="dxa" w:w="2045"/>
          </w:tcPr>
          <w:p>
            <w:pPr>
              <w:spacing w:before="40" w:after="40"/>
            </w:pPr>
            <w:r/>
            <w:r>
              <w:rPr>
                <w:rFonts w:ascii="Calibri" w:hAnsi="Calibri"/>
                <w:b w:val="0"/>
                <w:color w:val="222222"/>
                <w:sz w:val="18"/>
              </w:rPr>
              <w:t>Assumption; vendor confirm</w:t>
            </w:r>
          </w:p>
        </w:tc>
      </w:tr>
      <w:tr>
        <w:tc>
          <w:tcPr>
            <w:tcW w:type="dxa" w:w="2045"/>
            <w:shd w:val="clear" w:color="auto" w:fill="F5F8FC"/>
          </w:tcPr>
          <w:p>
            <w:pPr>
              <w:spacing w:before="40" w:after="40"/>
            </w:pPr>
            <w:r/>
            <w:r>
              <w:rPr>
                <w:rFonts w:ascii="Calibri" w:hAnsi="Calibri"/>
                <w:b w:val="0"/>
                <w:color w:val="222222"/>
                <w:sz w:val="18"/>
              </w:rPr>
              <w:t>Outlet sample connection</w:t>
            </w:r>
          </w:p>
        </w:tc>
        <w:tc>
          <w:tcPr>
            <w:tcW w:type="dxa" w:w="2045"/>
            <w:shd w:val="clear" w:color="auto" w:fill="F5F8FC"/>
          </w:tcPr>
          <w:p>
            <w:pPr>
              <w:spacing w:before="40" w:after="40"/>
            </w:pPr>
            <w:r/>
            <w:r>
              <w:rPr>
                <w:rFonts w:ascii="Calibri" w:hAnsi="Calibri"/>
                <w:b w:val="0"/>
                <w:color w:val="222222"/>
                <w:sz w:val="18"/>
              </w:rPr>
              <w:t>1</w:t>
            </w:r>
          </w:p>
        </w:tc>
        <w:tc>
          <w:tcPr>
            <w:tcW w:type="dxa" w:w="2045"/>
            <w:shd w:val="clear" w:color="auto" w:fill="F5F8FC"/>
          </w:tcPr>
          <w:p>
            <w:pPr>
              <w:spacing w:before="40" w:after="40"/>
            </w:pPr>
            <w:r/>
            <w:r>
              <w:rPr>
                <w:rFonts w:ascii="Calibri" w:hAnsi="Calibri"/>
                <w:b w:val="0"/>
                <w:color w:val="222222"/>
                <w:sz w:val="18"/>
              </w:rPr>
              <w:t>0.5 in (DN15)</w:t>
            </w:r>
          </w:p>
        </w:tc>
        <w:tc>
          <w:tcPr>
            <w:tcW w:type="dxa" w:w="2045"/>
            <w:shd w:val="clear" w:color="auto" w:fill="F5F8FC"/>
          </w:tcPr>
          <w:p>
            <w:pPr>
              <w:spacing w:before="40" w:after="40"/>
            </w:pPr>
            <w:r/>
            <w:r>
              <w:rPr>
                <w:rFonts w:ascii="Calibri" w:hAnsi="Calibri"/>
                <w:b w:val="0"/>
                <w:color w:val="222222"/>
                <w:sz w:val="18"/>
              </w:rPr>
              <w:t>Optional hygienic sample valve for qualification, elution, or cleaning verification. Omit if sampling is provided immediately downstream on the chromatography skid.</w:t>
            </w:r>
          </w:p>
        </w:tc>
        <w:tc>
          <w:tcPr>
            <w:tcW w:type="dxa" w:w="2045"/>
            <w:shd w:val="clear" w:color="auto" w:fill="F5F8FC"/>
          </w:tcPr>
          <w:p>
            <w:pPr>
              <w:spacing w:before="40" w:after="40"/>
            </w:pPr>
            <w:r/>
            <w:r>
              <w:rPr>
                <w:rFonts w:ascii="Calibri" w:hAnsi="Calibri"/>
                <w:b w:val="0"/>
                <w:color w:val="222222"/>
                <w:sz w:val="18"/>
              </w:rPr>
              <w:t>Optional assumption; vendor confirm</w:t>
            </w:r>
          </w:p>
        </w:tc>
      </w:tr>
    </w:tbl>
    <w:p/>
    <w:p>
      <w:pPr>
        <w:spacing w:before="0" w:after="120"/>
      </w:pPr>
      <w:r>
        <w:rPr>
          <w:rFonts w:ascii="Calibri" w:hAnsi="Calibri"/>
          <w:b w:val="0"/>
          <w:color w:val="222222"/>
          <w:sz w:val="20"/>
        </w:rPr>
        <w:t>All preliminary connections use ASME BPE hygienic clamp ferrules, 316L wetted parts, and EPDM or PTFE gaskets. Connection pressure boundaries are preliminarily rated for at least 5 barg at design temperature. Clamp derating, distributor losses, fitting losses, cyclic duty, gasket compatibility, and final skid interfaces require confirmation. No dedicated clean-steam, compressed-air, or separate buffer nozzle is included. The common inlet and outlet serve normal process, test, and CIP liquids.</w:t>
      </w:r>
    </w:p>
    <w:p>
      <w:pPr>
        <w:spacing w:before="200" w:after="80"/>
      </w:pPr>
      <w:r>
        <w:rPr>
          <w:rFonts w:ascii="Calibri" w:hAnsi="Calibri"/>
          <w:b/>
          <w:color w:val="1F4E79"/>
          <w:sz w:val="24"/>
        </w:rPr>
        <w:t>Envelope / dimensions</w:t>
      </w:r>
    </w:p>
    <w:p>
      <w:pPr>
        <w:spacing w:before="0" w:after="120"/>
      </w:pPr>
      <w:r>
        <w:rPr>
          <w:rFonts w:ascii="Calibri" w:hAnsi="Calibri"/>
          <w:b w:val="0"/>
          <w:color w:val="222222"/>
          <w:sz w:val="20"/>
        </w:rPr>
        <w:t>Selected packed-bed geometry is approximately 1.303 m calculated ID × 0.30 m packed-bed height for 400 L — Calculated screening.</w:t>
      </w:r>
    </w:p>
    <w:p>
      <w:pPr>
        <w:spacing w:before="0" w:after="120"/>
      </w:pPr>
      <w:r>
        <w:rPr>
          <w:rFonts w:ascii="Calibri" w:hAnsi="Calibri"/>
          <w:b w:val="0"/>
          <w:color w:val="222222"/>
          <w:sz w:val="20"/>
        </w:rPr>
        <w:t>The supplied generic benchmark estimated an installed envelope of 2.2 m W × 2.2 m D × 3.0 m H — Estimate, with a recommended operating-space envelope of 4.2 m W × 4.2 m D × 4.5 m H — Estimate. That benchmark was generated from a 1.60 m ID × 0.20 m bed configuration providing approximately 402 L. The 20 cm benchmark bed height does not meet the validated DIR requirement of greater than 25 cm and is not the selected process geometry. Its envelope values are retained only as conservative facility-planning estimates and must be rebased by the selected column vendor.</w:t>
      </w:r>
    </w:p>
    <w:p>
      <w:pPr>
        <w:spacing w:before="0" w:after="120"/>
      </w:pPr>
      <w:r>
        <w:rPr>
          <w:rFonts w:ascii="Calibri" w:hAnsi="Calibri"/>
          <w:b w:val="0"/>
          <w:color w:val="222222"/>
          <w:sz w:val="20"/>
        </w:rPr>
        <w:t>Maintain approximately 1.0 m working clearance around the frame — Estimate and at least 1.5 m overhead maintenance clearance — Estimate for top-head, actuator, or distributor access. Confirm shipping splits, doorway and corridor access, lifting path, floor loading, support-point reactions, maximum operating weight, top-adapter travel, packing access, and maintenance withdrawal space.</w:t>
      </w:r>
    </w:p>
    <w:p>
      <w:pPr>
        <w:spacing w:before="200" w:after="80"/>
      </w:pPr>
      <w:r>
        <w:rPr>
          <w:rFonts w:ascii="Calibri" w:hAnsi="Calibri"/>
          <w:b/>
          <w:color w:val="1F4E79"/>
          <w:sz w:val="24"/>
        </w:rPr>
        <w:t>Calculation table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shd w:val="clear" w:color="auto" w:fill="1F4E79"/>
          </w:tcPr>
          <w:p>
            <w:pPr>
              <w:spacing w:before="40" w:after="40"/>
            </w:pPr>
            <w:r/>
            <w:r>
              <w:rPr>
                <w:rFonts w:ascii="Calibri" w:hAnsi="Calibri"/>
                <w:b/>
                <w:color w:val="FFFFFF"/>
                <w:sz w:val="18"/>
              </w:rPr>
              <w:t>Calculation</w:t>
            </w:r>
          </w:p>
        </w:tc>
        <w:tc>
          <w:tcPr>
            <w:tcW w:type="dxa" w:w="2045"/>
            <w:shd w:val="clear" w:color="auto" w:fill="1F4E79"/>
          </w:tcPr>
          <w:p>
            <w:pPr>
              <w:spacing w:before="40" w:after="40"/>
            </w:pPr>
            <w:r/>
            <w:r>
              <w:rPr>
                <w:rFonts w:ascii="Calibri" w:hAnsi="Calibri"/>
                <w:b/>
                <w:color w:val="FFFFFF"/>
                <w:sz w:val="18"/>
              </w:rPr>
              <w:t>Method</w:t>
            </w:r>
          </w:p>
        </w:tc>
        <w:tc>
          <w:tcPr>
            <w:tcW w:type="dxa" w:w="2045"/>
            <w:shd w:val="clear" w:color="auto" w:fill="1F4E79"/>
          </w:tcPr>
          <w:p>
            <w:pPr>
              <w:spacing w:before="40" w:after="40"/>
            </w:pPr>
            <w:r/>
            <w:r>
              <w:rPr>
                <w:rFonts w:ascii="Calibri" w:hAnsi="Calibri"/>
                <w:b/>
                <w:color w:val="FFFFFF"/>
                <w:sz w:val="18"/>
              </w:rPr>
              <w:t>Numerical result</w:t>
            </w:r>
          </w:p>
        </w:tc>
        <w:tc>
          <w:tcPr>
            <w:tcW w:type="dxa" w:w="2045"/>
            <w:shd w:val="clear" w:color="auto" w:fill="1F4E79"/>
          </w:tcPr>
          <w:p>
            <w:pPr>
              <w:spacing w:before="40" w:after="40"/>
            </w:pPr>
            <w:r/>
            <w:r>
              <w:rPr>
                <w:rFonts w:ascii="Calibri" w:hAnsi="Calibri"/>
                <w:b/>
                <w:color w:val="FFFFFF"/>
                <w:sz w:val="18"/>
              </w:rPr>
              <w:t>Unit</w:t>
            </w:r>
          </w:p>
        </w:tc>
        <w:tc>
          <w:tcPr>
            <w:tcW w:type="dxa" w:w="2045"/>
            <w:shd w:val="clear" w:color="auto" w:fill="1F4E79"/>
          </w:tcPr>
          <w:p>
            <w:pPr>
              <w:spacing w:before="40" w:after="40"/>
            </w:pPr>
            <w:r/>
            <w:r>
              <w:rPr>
                <w:rFonts w:ascii="Calibri" w:hAnsi="Calibri"/>
                <w:b/>
                <w:color w:val="FFFFFF"/>
                <w:sz w:val="18"/>
              </w:rPr>
              <w:t>Status</w:t>
            </w:r>
          </w:p>
        </w:tc>
      </w:tr>
      <w:tr>
        <w:tc>
          <w:tcPr>
            <w:tcW w:type="dxa" w:w="2045"/>
          </w:tcPr>
          <w:p>
            <w:pPr>
              <w:spacing w:before="40" w:after="40"/>
            </w:pPr>
            <w:r/>
            <w:r>
              <w:rPr>
                <w:rFonts w:ascii="Calibri" w:hAnsi="Calibri"/>
                <w:b w:val="0"/>
                <w:color w:val="222222"/>
                <w:sz w:val="18"/>
              </w:rPr>
              <w:t>Target mass conversion</w:t>
            </w:r>
          </w:p>
        </w:tc>
        <w:tc>
          <w:tcPr>
            <w:tcW w:type="dxa" w:w="2045"/>
          </w:tcPr>
          <w:p>
            <w:pPr>
              <w:spacing w:before="40" w:after="40"/>
            </w:pPr>
            <w:r/>
            <w:r>
              <w:rPr>
                <w:rFonts w:ascii="Calibri" w:hAnsi="Calibri"/>
                <w:b w:val="0"/>
                <w:color w:val="222222"/>
                <w:sz w:val="18"/>
              </w:rPr>
              <w:t>10 kg × 1,000,000 mg/kg</w:t>
            </w:r>
          </w:p>
        </w:tc>
        <w:tc>
          <w:tcPr>
            <w:tcW w:type="dxa" w:w="2045"/>
          </w:tcPr>
          <w:p>
            <w:pPr>
              <w:spacing w:before="40" w:after="40"/>
            </w:pPr>
            <w:r/>
            <w:r>
              <w:rPr>
                <w:rFonts w:ascii="Calibri" w:hAnsi="Calibri"/>
                <w:b w:val="0"/>
                <w:color w:val="222222"/>
                <w:sz w:val="18"/>
              </w:rPr>
              <w:t>10,000,000</w:t>
            </w:r>
          </w:p>
        </w:tc>
        <w:tc>
          <w:tcPr>
            <w:tcW w:type="dxa" w:w="2045"/>
          </w:tcPr>
          <w:p>
            <w:pPr>
              <w:spacing w:before="40" w:after="40"/>
            </w:pPr>
            <w:r/>
            <w:r>
              <w:rPr>
                <w:rFonts w:ascii="Calibri" w:hAnsi="Calibri"/>
                <w:b w:val="0"/>
                <w:color w:val="222222"/>
                <w:sz w:val="18"/>
              </w:rPr>
              <w:t>mg/cycle</w:t>
            </w:r>
          </w:p>
        </w:tc>
        <w:tc>
          <w:tcPr>
            <w:tcW w:type="dxa" w:w="2045"/>
          </w:tcPr>
          <w:p>
            <w:pPr>
              <w:spacing w:before="40" w:after="40"/>
            </w:pPr>
            <w:r/>
            <w:r>
              <w:rPr>
                <w:rFonts w:ascii="Calibri" w:hAnsi="Calibri"/>
                <w:b w:val="0"/>
                <w:color w:val="222222"/>
                <w:sz w:val="18"/>
              </w:rPr>
              <w:t>Calculated</w:t>
            </w:r>
          </w:p>
        </w:tc>
      </w:tr>
      <w:tr>
        <w:tc>
          <w:tcPr>
            <w:tcW w:type="dxa" w:w="2045"/>
            <w:shd w:val="clear" w:color="auto" w:fill="F5F8FC"/>
          </w:tcPr>
          <w:p>
            <w:pPr>
              <w:spacing w:before="40" w:after="40"/>
            </w:pPr>
            <w:r/>
            <w:r>
              <w:rPr>
                <w:rFonts w:ascii="Calibri" w:hAnsi="Calibri"/>
                <w:b w:val="0"/>
                <w:color w:val="222222"/>
                <w:sz w:val="18"/>
              </w:rPr>
              <w:t>Bed volume at 50 mg/mL</w:t>
            </w:r>
          </w:p>
        </w:tc>
        <w:tc>
          <w:tcPr>
            <w:tcW w:type="dxa" w:w="2045"/>
            <w:shd w:val="clear" w:color="auto" w:fill="F5F8FC"/>
          </w:tcPr>
          <w:p>
            <w:pPr>
              <w:spacing w:before="40" w:after="40"/>
            </w:pPr>
            <w:r/>
            <w:r>
              <w:rPr>
                <w:rFonts w:ascii="Calibri" w:hAnsi="Calibri"/>
                <w:b w:val="0"/>
                <w:color w:val="222222"/>
                <w:sz w:val="18"/>
              </w:rPr>
              <w:t>Mass / usable capacity</w:t>
            </w:r>
          </w:p>
        </w:tc>
        <w:tc>
          <w:tcPr>
            <w:tcW w:type="dxa" w:w="2045"/>
            <w:shd w:val="clear" w:color="auto" w:fill="F5F8FC"/>
          </w:tcPr>
          <w:p>
            <w:pPr>
              <w:spacing w:before="40" w:after="40"/>
            </w:pPr>
            <w:r/>
            <w:r>
              <w:rPr>
                <w:rFonts w:ascii="Calibri" w:hAnsi="Calibri"/>
                <w:b w:val="0"/>
                <w:color w:val="222222"/>
                <w:sz w:val="18"/>
              </w:rPr>
              <w:t>200</w:t>
            </w:r>
          </w:p>
        </w:tc>
        <w:tc>
          <w:tcPr>
            <w:tcW w:type="dxa" w:w="2045"/>
            <w:shd w:val="clear" w:color="auto" w:fill="F5F8FC"/>
          </w:tcPr>
          <w:p>
            <w:pPr>
              <w:spacing w:before="40" w:after="40"/>
            </w:pPr>
            <w:r/>
            <w:r>
              <w:rPr>
                <w:rFonts w:ascii="Calibri" w:hAnsi="Calibri"/>
                <w:b w:val="0"/>
                <w:color w:val="222222"/>
                <w:sz w:val="18"/>
              </w:rPr>
              <w:t>L</w:t>
            </w:r>
          </w:p>
        </w:tc>
        <w:tc>
          <w:tcPr>
            <w:tcW w:type="dxa" w:w="2045"/>
            <w:shd w:val="clear" w:color="auto" w:fill="F5F8FC"/>
          </w:tcPr>
          <w:p>
            <w:pPr>
              <w:spacing w:before="40" w:after="40"/>
            </w:pPr>
            <w:r/>
            <w:r>
              <w:rPr>
                <w:rFonts w:ascii="Calibri" w:hAnsi="Calibri"/>
                <w:b w:val="0"/>
                <w:color w:val="222222"/>
                <w:sz w:val="18"/>
              </w:rPr>
              <w:t>Calculated range endpoint</w:t>
            </w:r>
          </w:p>
        </w:tc>
      </w:tr>
      <w:tr>
        <w:tc>
          <w:tcPr>
            <w:tcW w:type="dxa" w:w="2045"/>
          </w:tcPr>
          <w:p>
            <w:pPr>
              <w:spacing w:before="40" w:after="40"/>
            </w:pPr>
            <w:r/>
            <w:r>
              <w:rPr>
                <w:rFonts w:ascii="Calibri" w:hAnsi="Calibri"/>
                <w:b w:val="0"/>
                <w:color w:val="222222"/>
                <w:sz w:val="18"/>
              </w:rPr>
              <w:t>Bed volume at 25 mg/mL</w:t>
            </w:r>
          </w:p>
        </w:tc>
        <w:tc>
          <w:tcPr>
            <w:tcW w:type="dxa" w:w="2045"/>
          </w:tcPr>
          <w:p>
            <w:pPr>
              <w:spacing w:before="40" w:after="40"/>
            </w:pPr>
            <w:r/>
            <w:r>
              <w:rPr>
                <w:rFonts w:ascii="Calibri" w:hAnsi="Calibri"/>
                <w:b w:val="0"/>
                <w:color w:val="222222"/>
                <w:sz w:val="18"/>
              </w:rPr>
              <w:t>Mass / usable capacity</w:t>
            </w:r>
          </w:p>
        </w:tc>
        <w:tc>
          <w:tcPr>
            <w:tcW w:type="dxa" w:w="2045"/>
          </w:tcPr>
          <w:p>
            <w:pPr>
              <w:spacing w:before="40" w:after="40"/>
            </w:pPr>
            <w:r/>
            <w:r>
              <w:rPr>
                <w:rFonts w:ascii="Calibri" w:hAnsi="Calibri"/>
                <w:b w:val="0"/>
                <w:color w:val="222222"/>
                <w:sz w:val="18"/>
              </w:rPr>
              <w:t>400</w:t>
            </w:r>
          </w:p>
        </w:tc>
        <w:tc>
          <w:tcPr>
            <w:tcW w:type="dxa" w:w="2045"/>
          </w:tcPr>
          <w:p>
            <w:pPr>
              <w:spacing w:before="40" w:after="40"/>
            </w:pPr>
            <w:r/>
            <w:r>
              <w:rPr>
                <w:rFonts w:ascii="Calibri" w:hAnsi="Calibri"/>
                <w:b w:val="0"/>
                <w:color w:val="222222"/>
                <w:sz w:val="18"/>
              </w:rPr>
              <w:t>L</w:t>
            </w:r>
          </w:p>
        </w:tc>
        <w:tc>
          <w:tcPr>
            <w:tcW w:type="dxa" w:w="2045"/>
          </w:tcPr>
          <w:p>
            <w:pPr>
              <w:spacing w:before="40" w:after="40"/>
            </w:pPr>
            <w:r/>
            <w:r>
              <w:rPr>
                <w:rFonts w:ascii="Calibri" w:hAnsi="Calibri"/>
                <w:b w:val="0"/>
                <w:color w:val="222222"/>
                <w:sz w:val="18"/>
              </w:rPr>
              <w:t>Calculated governing screen</w:t>
            </w:r>
          </w:p>
        </w:tc>
      </w:tr>
      <w:tr>
        <w:tc>
          <w:tcPr>
            <w:tcW w:type="dxa" w:w="2045"/>
            <w:shd w:val="clear" w:color="auto" w:fill="F5F8FC"/>
          </w:tcPr>
          <w:p>
            <w:pPr>
              <w:spacing w:before="40" w:after="40"/>
            </w:pPr>
            <w:r/>
            <w:r>
              <w:rPr>
                <w:rFonts w:ascii="Calibri" w:hAnsi="Calibri"/>
                <w:b w:val="0"/>
                <w:color w:val="222222"/>
                <w:sz w:val="18"/>
              </w:rPr>
              <w:t>Selected bed volume</w:t>
            </w:r>
          </w:p>
        </w:tc>
        <w:tc>
          <w:tcPr>
            <w:tcW w:type="dxa" w:w="2045"/>
            <w:shd w:val="clear" w:color="auto" w:fill="F5F8FC"/>
          </w:tcPr>
          <w:p>
            <w:pPr>
              <w:spacing w:before="40" w:after="40"/>
            </w:pPr>
            <w:r/>
            <w:r>
              <w:rPr>
                <w:rFonts w:ascii="Calibri" w:hAnsi="Calibri"/>
                <w:b w:val="0"/>
                <w:color w:val="222222"/>
                <w:sz w:val="18"/>
              </w:rPr>
              <w:t>Conservative calculated requirement</w:t>
            </w:r>
          </w:p>
        </w:tc>
        <w:tc>
          <w:tcPr>
            <w:tcW w:type="dxa" w:w="2045"/>
            <w:shd w:val="clear" w:color="auto" w:fill="F5F8FC"/>
          </w:tcPr>
          <w:p>
            <w:pPr>
              <w:spacing w:before="40" w:after="40"/>
            </w:pPr>
            <w:r/>
            <w:r>
              <w:rPr>
                <w:rFonts w:ascii="Calibri" w:hAnsi="Calibri"/>
                <w:b w:val="0"/>
                <w:color w:val="222222"/>
                <w:sz w:val="18"/>
              </w:rPr>
              <w:t>400</w:t>
            </w:r>
          </w:p>
        </w:tc>
        <w:tc>
          <w:tcPr>
            <w:tcW w:type="dxa" w:w="2045"/>
            <w:shd w:val="clear" w:color="auto" w:fill="F5F8FC"/>
          </w:tcPr>
          <w:p>
            <w:pPr>
              <w:spacing w:before="40" w:after="40"/>
            </w:pPr>
            <w:r/>
            <w:r>
              <w:rPr>
                <w:rFonts w:ascii="Calibri" w:hAnsi="Calibri"/>
                <w:b w:val="0"/>
                <w:color w:val="222222"/>
                <w:sz w:val="18"/>
              </w:rPr>
              <w:t>L</w:t>
            </w:r>
          </w:p>
        </w:tc>
        <w:tc>
          <w:tcPr>
            <w:tcW w:type="dxa" w:w="2045"/>
            <w:shd w:val="clear" w:color="auto" w:fill="F5F8FC"/>
          </w:tcPr>
          <w:p>
            <w:pPr>
              <w:spacing w:before="40" w:after="40"/>
            </w:pPr>
            <w:r/>
            <w:r>
              <w:rPr>
                <w:rFonts w:ascii="Calibri" w:hAnsi="Calibri"/>
                <w:b w:val="0"/>
                <w:color w:val="222222"/>
                <w:sz w:val="18"/>
              </w:rPr>
              <w:t>Screening selection</w:t>
            </w:r>
          </w:p>
        </w:tc>
      </w:tr>
      <w:tr>
        <w:tc>
          <w:tcPr>
            <w:tcW w:type="dxa" w:w="2045"/>
          </w:tcPr>
          <w:p>
            <w:pPr>
              <w:spacing w:before="40" w:after="40"/>
            </w:pPr>
            <w:r/>
            <w:r>
              <w:rPr>
                <w:rFonts w:ascii="Calibri" w:hAnsi="Calibri"/>
                <w:b w:val="0"/>
                <w:color w:val="222222"/>
                <w:sz w:val="18"/>
              </w:rPr>
              <w:t>Selected bed volume</w:t>
            </w:r>
          </w:p>
        </w:tc>
        <w:tc>
          <w:tcPr>
            <w:tcW w:type="dxa" w:w="2045"/>
          </w:tcPr>
          <w:p>
            <w:pPr>
              <w:spacing w:before="40" w:after="40"/>
            </w:pPr>
            <w:r/>
            <w:r>
              <w:rPr>
                <w:rFonts w:ascii="Calibri" w:hAnsi="Calibri"/>
                <w:b w:val="0"/>
                <w:color w:val="222222"/>
                <w:sz w:val="18"/>
              </w:rPr>
              <w:t>Unit conversion</w:t>
            </w:r>
          </w:p>
        </w:tc>
        <w:tc>
          <w:tcPr>
            <w:tcW w:type="dxa" w:w="2045"/>
          </w:tcPr>
          <w:p>
            <w:pPr>
              <w:spacing w:before="40" w:after="40"/>
            </w:pPr>
            <w:r/>
            <w:r>
              <w:rPr>
                <w:rFonts w:ascii="Calibri" w:hAnsi="Calibri"/>
                <w:b w:val="0"/>
                <w:color w:val="222222"/>
                <w:sz w:val="18"/>
              </w:rPr>
              <w:t>0.400</w:t>
            </w:r>
          </w:p>
        </w:tc>
        <w:tc>
          <w:tcPr>
            <w:tcW w:type="dxa" w:w="2045"/>
          </w:tcPr>
          <w:p>
            <w:pPr>
              <w:spacing w:before="40" w:after="40"/>
            </w:pPr>
            <w:r/>
            <w:r>
              <w:rPr>
                <w:rFonts w:ascii="Calibri" w:hAnsi="Calibri"/>
                <w:b w:val="0"/>
                <w:color w:val="222222"/>
                <w:sz w:val="18"/>
              </w:rPr>
              <w:t>m³</w:t>
            </w:r>
          </w:p>
        </w:tc>
        <w:tc>
          <w:tcPr>
            <w:tcW w:type="dxa" w:w="2045"/>
          </w:tcPr>
          <w:p>
            <w:pPr>
              <w:spacing w:before="40" w:after="40"/>
            </w:pPr>
            <w:r/>
            <w:r>
              <w:rPr>
                <w:rFonts w:ascii="Calibri" w:hAnsi="Calibri"/>
                <w:b w:val="0"/>
                <w:color w:val="222222"/>
                <w:sz w:val="18"/>
              </w:rPr>
              <w:t>Calculated</w:t>
            </w:r>
          </w:p>
        </w:tc>
      </w:tr>
      <w:tr>
        <w:tc>
          <w:tcPr>
            <w:tcW w:type="dxa" w:w="2045"/>
            <w:shd w:val="clear" w:color="auto" w:fill="F5F8FC"/>
          </w:tcPr>
          <w:p>
            <w:pPr>
              <w:spacing w:before="40" w:after="40"/>
            </w:pPr>
            <w:r/>
            <w:r>
              <w:rPr>
                <w:rFonts w:ascii="Calibri" w:hAnsi="Calibri"/>
                <w:b w:val="0"/>
                <w:color w:val="222222"/>
                <w:sz w:val="18"/>
              </w:rPr>
              <w:t>Column area</w:t>
            </w:r>
          </w:p>
        </w:tc>
        <w:tc>
          <w:tcPr>
            <w:tcW w:type="dxa" w:w="2045"/>
            <w:shd w:val="clear" w:color="auto" w:fill="F5F8FC"/>
          </w:tcPr>
          <w:p>
            <w:pPr>
              <w:spacing w:before="40" w:after="40"/>
            </w:pPr>
            <w:r/>
            <w:r>
              <w:rPr>
                <w:rFonts w:ascii="Calibri" w:hAnsi="Calibri"/>
                <w:b w:val="0"/>
                <w:color w:val="222222"/>
                <w:sz w:val="18"/>
              </w:rPr>
              <w:t>Bed volume / 0.30 m</w:t>
            </w:r>
          </w:p>
        </w:tc>
        <w:tc>
          <w:tcPr>
            <w:tcW w:type="dxa" w:w="2045"/>
            <w:shd w:val="clear" w:color="auto" w:fill="F5F8FC"/>
          </w:tcPr>
          <w:p>
            <w:pPr>
              <w:spacing w:before="40" w:after="40"/>
            </w:pPr>
            <w:r/>
            <w:r>
              <w:rPr>
                <w:rFonts w:ascii="Calibri" w:hAnsi="Calibri"/>
                <w:b w:val="0"/>
                <w:color w:val="222222"/>
                <w:sz w:val="18"/>
              </w:rPr>
              <w:t>1.3333</w:t>
            </w:r>
          </w:p>
        </w:tc>
        <w:tc>
          <w:tcPr>
            <w:tcW w:type="dxa" w:w="2045"/>
            <w:shd w:val="clear" w:color="auto" w:fill="F5F8FC"/>
          </w:tcPr>
          <w:p>
            <w:pPr>
              <w:spacing w:before="40" w:after="40"/>
            </w:pPr>
            <w:r/>
            <w:r>
              <w:rPr>
                <w:rFonts w:ascii="Calibri" w:hAnsi="Calibri"/>
                <w:b w:val="0"/>
                <w:color w:val="222222"/>
                <w:sz w:val="18"/>
              </w:rPr>
              <w:t>m²</w:t>
            </w:r>
          </w:p>
        </w:tc>
        <w:tc>
          <w:tcPr>
            <w:tcW w:type="dxa" w:w="2045"/>
            <w:shd w:val="clear" w:color="auto" w:fill="F5F8FC"/>
          </w:tcPr>
          <w:p>
            <w:pPr>
              <w:spacing w:before="40" w:after="40"/>
            </w:pPr>
            <w:r/>
            <w:r>
              <w:rPr>
                <w:rFonts w:ascii="Calibri" w:hAnsi="Calibri"/>
                <w:b w:val="0"/>
                <w:color w:val="222222"/>
                <w:sz w:val="18"/>
              </w:rPr>
              <w:t>Calculated screening</w:t>
            </w:r>
          </w:p>
        </w:tc>
      </w:tr>
      <w:tr>
        <w:tc>
          <w:tcPr>
            <w:tcW w:type="dxa" w:w="2045"/>
          </w:tcPr>
          <w:p>
            <w:pPr>
              <w:spacing w:before="40" w:after="40"/>
            </w:pPr>
            <w:r/>
            <w:r>
              <w:rPr>
                <w:rFonts w:ascii="Calibri" w:hAnsi="Calibri"/>
                <w:b w:val="0"/>
                <w:color w:val="222222"/>
                <w:sz w:val="18"/>
              </w:rPr>
              <w:t>Column internal diameter</w:t>
            </w:r>
          </w:p>
        </w:tc>
        <w:tc>
          <w:tcPr>
            <w:tcW w:type="dxa" w:w="2045"/>
          </w:tcPr>
          <w:p>
            <w:pPr>
              <w:spacing w:before="40" w:after="40"/>
            </w:pPr>
            <w:r/>
            <w:r>
              <w:rPr>
                <w:rFonts w:ascii="Calibri" w:hAnsi="Calibri"/>
                <w:b w:val="0"/>
                <w:color w:val="222222"/>
                <w:sz w:val="18"/>
              </w:rPr>
              <w:t>√(4A/π)</w:t>
            </w:r>
          </w:p>
        </w:tc>
        <w:tc>
          <w:tcPr>
            <w:tcW w:type="dxa" w:w="2045"/>
          </w:tcPr>
          <w:p>
            <w:pPr>
              <w:spacing w:before="40" w:after="40"/>
            </w:pPr>
            <w:r/>
            <w:r>
              <w:rPr>
                <w:rFonts w:ascii="Calibri" w:hAnsi="Calibri"/>
                <w:b w:val="0"/>
                <w:color w:val="222222"/>
                <w:sz w:val="18"/>
              </w:rPr>
              <w:t>1.3029</w:t>
            </w:r>
          </w:p>
        </w:tc>
        <w:tc>
          <w:tcPr>
            <w:tcW w:type="dxa" w:w="2045"/>
          </w:tcPr>
          <w:p>
            <w:pPr>
              <w:spacing w:before="40" w:after="40"/>
            </w:pPr>
            <w:r/>
            <w:r>
              <w:rPr>
                <w:rFonts w:ascii="Calibri" w:hAnsi="Calibri"/>
                <w:b w:val="0"/>
                <w:color w:val="222222"/>
                <w:sz w:val="18"/>
              </w:rPr>
              <w:t>m</w:t>
            </w:r>
          </w:p>
        </w:tc>
        <w:tc>
          <w:tcPr>
            <w:tcW w:type="dxa" w:w="2045"/>
          </w:tcPr>
          <w:p>
            <w:pPr>
              <w:spacing w:before="40" w:after="40"/>
            </w:pPr>
            <w:r/>
            <w:r>
              <w:rPr>
                <w:rFonts w:ascii="Calibri" w:hAnsi="Calibri"/>
                <w:b w:val="0"/>
                <w:color w:val="222222"/>
                <w:sz w:val="18"/>
              </w:rPr>
              <w:t>Calculated; unrounded</w:t>
            </w:r>
          </w:p>
        </w:tc>
      </w:tr>
      <w:tr>
        <w:tc>
          <w:tcPr>
            <w:tcW w:type="dxa" w:w="2045"/>
            <w:shd w:val="clear" w:color="auto" w:fill="F5F8FC"/>
          </w:tcPr>
          <w:p>
            <w:pPr>
              <w:spacing w:before="40" w:after="40"/>
            </w:pPr>
            <w:r/>
            <w:r>
              <w:rPr>
                <w:rFonts w:ascii="Calibri" w:hAnsi="Calibri"/>
                <w:b w:val="0"/>
                <w:color w:val="222222"/>
                <w:sz w:val="18"/>
              </w:rPr>
              <w:t>Nominal mass capacity</w:t>
            </w:r>
          </w:p>
        </w:tc>
        <w:tc>
          <w:tcPr>
            <w:tcW w:type="dxa" w:w="2045"/>
            <w:shd w:val="clear" w:color="auto" w:fill="F5F8FC"/>
          </w:tcPr>
          <w:p>
            <w:pPr>
              <w:spacing w:before="40" w:after="40"/>
            </w:pPr>
            <w:r/>
            <w:r>
              <w:rPr>
                <w:rFonts w:ascii="Calibri" w:hAnsi="Calibri"/>
                <w:b w:val="0"/>
                <w:color w:val="222222"/>
                <w:sz w:val="18"/>
              </w:rPr>
              <w:t>400 L × 25 mg/mL</w:t>
            </w:r>
          </w:p>
        </w:tc>
        <w:tc>
          <w:tcPr>
            <w:tcW w:type="dxa" w:w="2045"/>
            <w:shd w:val="clear" w:color="auto" w:fill="F5F8FC"/>
          </w:tcPr>
          <w:p>
            <w:pPr>
              <w:spacing w:before="40" w:after="40"/>
            </w:pPr>
            <w:r/>
            <w:r>
              <w:rPr>
                <w:rFonts w:ascii="Calibri" w:hAnsi="Calibri"/>
                <w:b w:val="0"/>
                <w:color w:val="222222"/>
                <w:sz w:val="18"/>
              </w:rPr>
              <w:t>10.0</w:t>
            </w:r>
          </w:p>
        </w:tc>
        <w:tc>
          <w:tcPr>
            <w:tcW w:type="dxa" w:w="2045"/>
            <w:shd w:val="clear" w:color="auto" w:fill="F5F8FC"/>
          </w:tcPr>
          <w:p>
            <w:pPr>
              <w:spacing w:before="40" w:after="40"/>
            </w:pPr>
            <w:r/>
            <w:r>
              <w:rPr>
                <w:rFonts w:ascii="Calibri" w:hAnsi="Calibri"/>
                <w:b w:val="0"/>
                <w:color w:val="222222"/>
                <w:sz w:val="18"/>
              </w:rPr>
              <w:t>kg/cycle</w:t>
            </w:r>
          </w:p>
        </w:tc>
        <w:tc>
          <w:tcPr>
            <w:tcW w:type="dxa" w:w="2045"/>
            <w:shd w:val="clear" w:color="auto" w:fill="F5F8FC"/>
          </w:tcPr>
          <w:p>
            <w:pPr>
              <w:spacing w:before="40" w:after="40"/>
            </w:pPr>
            <w:r/>
            <w:r>
              <w:rPr>
                <w:rFonts w:ascii="Calibri" w:hAnsi="Calibri"/>
                <w:b w:val="0"/>
                <w:color w:val="222222"/>
                <w:sz w:val="18"/>
              </w:rPr>
              <w:t>Calculated</w:t>
            </w:r>
          </w:p>
        </w:tc>
      </w:tr>
      <w:tr>
        <w:tc>
          <w:tcPr>
            <w:tcW w:type="dxa" w:w="2045"/>
          </w:tcPr>
          <w:p>
            <w:pPr>
              <w:spacing w:before="40" w:after="40"/>
            </w:pPr>
            <w:r/>
            <w:r>
              <w:rPr>
                <w:rFonts w:ascii="Calibri" w:hAnsi="Calibri"/>
                <w:b w:val="0"/>
                <w:color w:val="222222"/>
                <w:sz w:val="18"/>
              </w:rPr>
              <w:t>Capacity margin</w:t>
            </w:r>
          </w:p>
        </w:tc>
        <w:tc>
          <w:tcPr>
            <w:tcW w:type="dxa" w:w="2045"/>
          </w:tcPr>
          <w:p>
            <w:pPr>
              <w:spacing w:before="40" w:after="40"/>
            </w:pPr>
            <w:r/>
            <w:r>
              <w:rPr>
                <w:rFonts w:ascii="Calibri" w:hAnsi="Calibri"/>
                <w:b w:val="0"/>
                <w:color w:val="222222"/>
                <w:sz w:val="18"/>
              </w:rPr>
              <w:t>(Capacity − load) / load</w:t>
            </w:r>
          </w:p>
        </w:tc>
        <w:tc>
          <w:tcPr>
            <w:tcW w:type="dxa" w:w="2045"/>
          </w:tcPr>
          <w:p>
            <w:pPr>
              <w:spacing w:before="40" w:after="40"/>
            </w:pPr>
            <w:r/>
            <w:r>
              <w:rPr>
                <w:rFonts w:ascii="Calibri" w:hAnsi="Calibri"/>
                <w:b w:val="0"/>
                <w:color w:val="222222"/>
                <w:sz w:val="18"/>
              </w:rPr>
              <w:t>0</w:t>
            </w:r>
          </w:p>
        </w:tc>
        <w:tc>
          <w:tcPr>
            <w:tcW w:type="dxa" w:w="2045"/>
          </w:tcPr>
          <w:p>
            <w:pPr>
              <w:spacing w:before="40" w:after="40"/>
            </w:pPr>
            <w:r/>
            <w:r>
              <w:rPr>
                <w:rFonts w:ascii="Calibri" w:hAnsi="Calibri"/>
                <w:b w:val="0"/>
                <w:color w:val="222222"/>
                <w:sz w:val="18"/>
              </w:rPr>
              <w:t>%</w:t>
            </w:r>
          </w:p>
        </w:tc>
        <w:tc>
          <w:tcPr>
            <w:tcW w:type="dxa" w:w="2045"/>
          </w:tcPr>
          <w:p>
            <w:pPr>
              <w:spacing w:before="40" w:after="40"/>
            </w:pPr>
            <w:r/>
            <w:r>
              <w:rPr>
                <w:rFonts w:ascii="Calibri" w:hAnsi="Calibri"/>
                <w:b w:val="0"/>
                <w:color w:val="222222"/>
                <w:sz w:val="18"/>
              </w:rPr>
              <w:t>No credited margin at 25 mg/mL</w:t>
            </w:r>
          </w:p>
        </w:tc>
      </w:tr>
      <w:tr>
        <w:tc>
          <w:tcPr>
            <w:tcW w:type="dxa" w:w="2045"/>
            <w:shd w:val="clear" w:color="auto" w:fill="F5F8FC"/>
          </w:tcPr>
          <w:p>
            <w:pPr>
              <w:spacing w:before="40" w:after="40"/>
            </w:pPr>
            <w:r/>
            <w:r>
              <w:rPr>
                <w:rFonts w:ascii="Calibri" w:hAnsi="Calibri"/>
                <w:b w:val="0"/>
                <w:color w:val="222222"/>
                <w:sz w:val="18"/>
              </w:rPr>
              <w:t>Loading flow</w:t>
            </w:r>
          </w:p>
        </w:tc>
        <w:tc>
          <w:tcPr>
            <w:tcW w:type="dxa" w:w="2045"/>
            <w:shd w:val="clear" w:color="auto" w:fill="F5F8FC"/>
          </w:tcPr>
          <w:p>
            <w:pPr>
              <w:spacing w:before="40" w:after="40"/>
            </w:pPr>
            <w:r/>
            <w:r>
              <w:rPr>
                <w:rFonts w:ascii="Calibri" w:hAnsi="Calibri"/>
                <w:b w:val="0"/>
                <w:color w:val="222222"/>
                <w:sz w:val="18"/>
              </w:rPr>
              <w:t>400 L / 6 min</w:t>
            </w:r>
          </w:p>
        </w:tc>
        <w:tc>
          <w:tcPr>
            <w:tcW w:type="dxa" w:w="2045"/>
            <w:shd w:val="clear" w:color="auto" w:fill="F5F8FC"/>
          </w:tcPr>
          <w:p>
            <w:pPr>
              <w:spacing w:before="40" w:after="40"/>
            </w:pPr>
            <w:r/>
            <w:r>
              <w:rPr>
                <w:rFonts w:ascii="Calibri" w:hAnsi="Calibri"/>
                <w:b w:val="0"/>
                <w:color w:val="222222"/>
                <w:sz w:val="18"/>
              </w:rPr>
              <w:t>66.67</w:t>
            </w:r>
          </w:p>
        </w:tc>
        <w:tc>
          <w:tcPr>
            <w:tcW w:type="dxa" w:w="2045"/>
            <w:shd w:val="clear" w:color="auto" w:fill="F5F8FC"/>
          </w:tcPr>
          <w:p>
            <w:pPr>
              <w:spacing w:before="40" w:after="40"/>
            </w:pPr>
            <w:r/>
            <w:r>
              <w:rPr>
                <w:rFonts w:ascii="Calibri" w:hAnsi="Calibri"/>
                <w:b w:val="0"/>
                <w:color w:val="222222"/>
                <w:sz w:val="18"/>
              </w:rPr>
              <w:t>L/min</w:t>
            </w:r>
          </w:p>
        </w:tc>
        <w:tc>
          <w:tcPr>
            <w:tcW w:type="dxa" w:w="2045"/>
            <w:shd w:val="clear" w:color="auto" w:fill="F5F8FC"/>
          </w:tcPr>
          <w:p>
            <w:pPr>
              <w:spacing w:before="40" w:after="40"/>
            </w:pPr>
            <w:r/>
            <w:r>
              <w:rPr>
                <w:rFonts w:ascii="Calibri" w:hAnsi="Calibri"/>
                <w:b w:val="0"/>
                <w:color w:val="222222"/>
                <w:sz w:val="18"/>
              </w:rPr>
              <w:t>Calculated screening</w:t>
            </w:r>
          </w:p>
        </w:tc>
      </w:tr>
      <w:tr>
        <w:tc>
          <w:tcPr>
            <w:tcW w:type="dxa" w:w="2045"/>
          </w:tcPr>
          <w:p>
            <w:pPr>
              <w:spacing w:before="40" w:after="40"/>
            </w:pPr>
            <w:r/>
            <w:r>
              <w:rPr>
                <w:rFonts w:ascii="Calibri" w:hAnsi="Calibri"/>
                <w:b w:val="0"/>
                <w:color w:val="222222"/>
                <w:sz w:val="18"/>
              </w:rPr>
              <w:t>Three-minute boundary flow</w:t>
            </w:r>
          </w:p>
        </w:tc>
        <w:tc>
          <w:tcPr>
            <w:tcW w:type="dxa" w:w="2045"/>
          </w:tcPr>
          <w:p>
            <w:pPr>
              <w:spacing w:before="40" w:after="40"/>
            </w:pPr>
            <w:r/>
            <w:r>
              <w:rPr>
                <w:rFonts w:ascii="Calibri" w:hAnsi="Calibri"/>
                <w:b w:val="0"/>
                <w:color w:val="222222"/>
                <w:sz w:val="18"/>
              </w:rPr>
              <w:t>400 L / 3 min</w:t>
            </w:r>
          </w:p>
        </w:tc>
        <w:tc>
          <w:tcPr>
            <w:tcW w:type="dxa" w:w="2045"/>
          </w:tcPr>
          <w:p>
            <w:pPr>
              <w:spacing w:before="40" w:after="40"/>
            </w:pPr>
            <w:r/>
            <w:r>
              <w:rPr>
                <w:rFonts w:ascii="Calibri" w:hAnsi="Calibri"/>
                <w:b w:val="0"/>
                <w:color w:val="222222"/>
                <w:sz w:val="18"/>
              </w:rPr>
              <w:t>133.33</w:t>
            </w:r>
          </w:p>
        </w:tc>
        <w:tc>
          <w:tcPr>
            <w:tcW w:type="dxa" w:w="2045"/>
          </w:tcPr>
          <w:p>
            <w:pPr>
              <w:spacing w:before="40" w:after="40"/>
            </w:pPr>
            <w:r/>
            <w:r>
              <w:rPr>
                <w:rFonts w:ascii="Calibri" w:hAnsi="Calibri"/>
                <w:b w:val="0"/>
                <w:color w:val="222222"/>
                <w:sz w:val="18"/>
              </w:rPr>
              <w:t>L/min</w:t>
            </w:r>
          </w:p>
        </w:tc>
        <w:tc>
          <w:tcPr>
            <w:tcW w:type="dxa" w:w="2045"/>
          </w:tcPr>
          <w:p>
            <w:pPr>
              <w:spacing w:before="40" w:after="40"/>
            </w:pPr>
            <w:r/>
            <w:r>
              <w:rPr>
                <w:rFonts w:ascii="Calibri" w:hAnsi="Calibri"/>
                <w:b w:val="0"/>
                <w:color w:val="222222"/>
                <w:sz w:val="18"/>
              </w:rPr>
              <w:t>Boundary only; actual maximum is lower</w:t>
            </w:r>
          </w:p>
        </w:tc>
      </w:tr>
      <w:tr>
        <w:tc>
          <w:tcPr>
            <w:tcW w:type="dxa" w:w="2045"/>
            <w:shd w:val="clear" w:color="auto" w:fill="F5F8FC"/>
          </w:tcPr>
          <w:p>
            <w:pPr>
              <w:spacing w:before="40" w:after="40"/>
            </w:pPr>
            <w:r/>
            <w:r>
              <w:rPr>
                <w:rFonts w:ascii="Calibri" w:hAnsi="Calibri"/>
                <w:b w:val="0"/>
                <w:color w:val="222222"/>
                <w:sz w:val="18"/>
              </w:rPr>
              <w:t>Loading superficial velocity</w:t>
            </w:r>
          </w:p>
        </w:tc>
        <w:tc>
          <w:tcPr>
            <w:tcW w:type="dxa" w:w="2045"/>
            <w:shd w:val="clear" w:color="auto" w:fill="F5F8FC"/>
          </w:tcPr>
          <w:p>
            <w:pPr>
              <w:spacing w:before="40" w:after="40"/>
            </w:pPr>
            <w:r/>
            <w:r>
              <w:rPr>
                <w:rFonts w:ascii="Calibri" w:hAnsi="Calibri"/>
                <w:b w:val="0"/>
                <w:color w:val="222222"/>
                <w:sz w:val="18"/>
              </w:rPr>
              <w:t>0.30 m / 6 min</w:t>
            </w:r>
          </w:p>
        </w:tc>
        <w:tc>
          <w:tcPr>
            <w:tcW w:type="dxa" w:w="2045"/>
            <w:shd w:val="clear" w:color="auto" w:fill="F5F8FC"/>
          </w:tcPr>
          <w:p>
            <w:pPr>
              <w:spacing w:before="40" w:after="40"/>
            </w:pPr>
            <w:r/>
            <w:r>
              <w:rPr>
                <w:rFonts w:ascii="Calibri" w:hAnsi="Calibri"/>
                <w:b w:val="0"/>
                <w:color w:val="222222"/>
                <w:sz w:val="18"/>
              </w:rPr>
              <w:t>300</w:t>
            </w:r>
          </w:p>
        </w:tc>
        <w:tc>
          <w:tcPr>
            <w:tcW w:type="dxa" w:w="2045"/>
            <w:shd w:val="clear" w:color="auto" w:fill="F5F8FC"/>
          </w:tcPr>
          <w:p>
            <w:pPr>
              <w:spacing w:before="40" w:after="40"/>
            </w:pPr>
            <w:r/>
            <w:r>
              <w:rPr>
                <w:rFonts w:ascii="Calibri" w:hAnsi="Calibri"/>
                <w:b w:val="0"/>
                <w:color w:val="222222"/>
                <w:sz w:val="18"/>
              </w:rPr>
              <w:t>cm/h</w:t>
            </w:r>
          </w:p>
        </w:tc>
        <w:tc>
          <w:tcPr>
            <w:tcW w:type="dxa" w:w="2045"/>
            <w:shd w:val="clear" w:color="auto" w:fill="F5F8FC"/>
          </w:tcPr>
          <w:p>
            <w:pPr>
              <w:spacing w:before="40" w:after="40"/>
            </w:pPr>
            <w:r/>
            <w:r>
              <w:rPr>
                <w:rFonts w:ascii="Calibri" w:hAnsi="Calibri"/>
                <w:b w:val="0"/>
                <w:color w:val="222222"/>
                <w:sz w:val="18"/>
              </w:rPr>
              <w:t>Calculated screening</w:t>
            </w:r>
          </w:p>
        </w:tc>
      </w:tr>
      <w:tr>
        <w:tc>
          <w:tcPr>
            <w:tcW w:type="dxa" w:w="2045"/>
          </w:tcPr>
          <w:p>
            <w:pPr>
              <w:spacing w:before="40" w:after="40"/>
            </w:pPr>
            <w:r/>
            <w:r>
              <w:rPr>
                <w:rFonts w:ascii="Calibri" w:hAnsi="Calibri"/>
                <w:b w:val="0"/>
                <w:color w:val="222222"/>
                <w:sz w:val="18"/>
              </w:rPr>
              <w:t>2 in nozzle velocity</w:t>
            </w:r>
          </w:p>
        </w:tc>
        <w:tc>
          <w:tcPr>
            <w:tcW w:type="dxa" w:w="2045"/>
          </w:tcPr>
          <w:p>
            <w:pPr>
              <w:spacing w:before="40" w:after="40"/>
            </w:pPr>
            <w:r/>
            <w:r>
              <w:rPr>
                <w:rFonts w:ascii="Calibri" w:hAnsi="Calibri"/>
                <w:b w:val="0"/>
                <w:color w:val="222222"/>
                <w:sz w:val="18"/>
              </w:rPr>
              <w:t>133.33 L/min through 47.5 mm bore</w:t>
            </w:r>
          </w:p>
        </w:tc>
        <w:tc>
          <w:tcPr>
            <w:tcW w:type="dxa" w:w="2045"/>
          </w:tcPr>
          <w:p>
            <w:pPr>
              <w:spacing w:before="40" w:after="40"/>
            </w:pPr>
            <w:r/>
            <w:r>
              <w:rPr>
                <w:rFonts w:ascii="Calibri" w:hAnsi="Calibri"/>
                <w:b w:val="0"/>
                <w:color w:val="222222"/>
                <w:sz w:val="18"/>
              </w:rPr>
              <w:t>1.25</w:t>
            </w:r>
          </w:p>
        </w:tc>
        <w:tc>
          <w:tcPr>
            <w:tcW w:type="dxa" w:w="2045"/>
          </w:tcPr>
          <w:p>
            <w:pPr>
              <w:spacing w:before="40" w:after="40"/>
            </w:pPr>
            <w:r/>
            <w:r>
              <w:rPr>
                <w:rFonts w:ascii="Calibri" w:hAnsi="Calibri"/>
                <w:b w:val="0"/>
                <w:color w:val="222222"/>
                <w:sz w:val="18"/>
              </w:rPr>
              <w:t>m/s</w:t>
            </w:r>
          </w:p>
        </w:tc>
        <w:tc>
          <w:tcPr>
            <w:tcW w:type="dxa" w:w="2045"/>
          </w:tcPr>
          <w:p>
            <w:pPr>
              <w:spacing w:before="40" w:after="40"/>
            </w:pPr>
            <w:r/>
            <w:r>
              <w:rPr>
                <w:rFonts w:ascii="Calibri" w:hAnsi="Calibri"/>
                <w:b w:val="0"/>
                <w:color w:val="222222"/>
                <w:sz w:val="18"/>
              </w:rPr>
              <w:t>Calculated screening</w:t>
            </w:r>
          </w:p>
        </w:tc>
      </w:tr>
      <w:tr>
        <w:tc>
          <w:tcPr>
            <w:tcW w:type="dxa" w:w="2045"/>
            <w:shd w:val="clear" w:color="auto" w:fill="F5F8FC"/>
          </w:tcPr>
          <w:p>
            <w:pPr>
              <w:spacing w:before="40" w:after="40"/>
            </w:pPr>
            <w:r/>
            <w:r>
              <w:rPr>
                <w:rFonts w:ascii="Calibri" w:hAnsi="Calibri"/>
                <w:b w:val="0"/>
                <w:color w:val="222222"/>
                <w:sz w:val="18"/>
              </w:rPr>
              <w:t>2 in local nozzle loss</w:t>
            </w:r>
          </w:p>
        </w:tc>
        <w:tc>
          <w:tcPr>
            <w:tcW w:type="dxa" w:w="2045"/>
            <w:shd w:val="clear" w:color="auto" w:fill="F5F8FC"/>
          </w:tcPr>
          <w:p>
            <w:pPr>
              <w:spacing w:before="40" w:after="40"/>
            </w:pPr>
            <w:r/>
            <w:r>
              <w:rPr>
                <w:rFonts w:ascii="Calibri" w:hAnsi="Calibri"/>
                <w:b w:val="0"/>
                <w:color w:val="222222"/>
                <w:sz w:val="18"/>
              </w:rPr>
              <w:t>Kρv²/2 with K=2 and ρ=998 kg/m³</w:t>
            </w:r>
          </w:p>
        </w:tc>
        <w:tc>
          <w:tcPr>
            <w:tcW w:type="dxa" w:w="2045"/>
            <w:shd w:val="clear" w:color="auto" w:fill="F5F8FC"/>
          </w:tcPr>
          <w:p>
            <w:pPr>
              <w:spacing w:before="40" w:after="40"/>
            </w:pPr>
            <w:r/>
            <w:r>
              <w:rPr>
                <w:rFonts w:ascii="Calibri" w:hAnsi="Calibri"/>
                <w:b w:val="0"/>
                <w:color w:val="222222"/>
                <w:sz w:val="18"/>
              </w:rPr>
              <w:t>0.016</w:t>
            </w:r>
          </w:p>
        </w:tc>
        <w:tc>
          <w:tcPr>
            <w:tcW w:type="dxa" w:w="2045"/>
            <w:shd w:val="clear" w:color="auto" w:fill="F5F8FC"/>
          </w:tcPr>
          <w:p>
            <w:pPr>
              <w:spacing w:before="40" w:after="40"/>
            </w:pPr>
            <w:r/>
            <w:r>
              <w:rPr>
                <w:rFonts w:ascii="Calibri" w:hAnsi="Calibri"/>
                <w:b w:val="0"/>
                <w:color w:val="222222"/>
                <w:sz w:val="18"/>
              </w:rPr>
              <w:t>bar</w:t>
            </w:r>
          </w:p>
        </w:tc>
        <w:tc>
          <w:tcPr>
            <w:tcW w:type="dxa" w:w="2045"/>
            <w:shd w:val="clear" w:color="auto" w:fill="F5F8FC"/>
          </w:tcPr>
          <w:p>
            <w:pPr>
              <w:spacing w:before="40" w:after="40"/>
            </w:pPr>
            <w:r/>
            <w:r>
              <w:rPr>
                <w:rFonts w:ascii="Calibri" w:hAnsi="Calibri"/>
                <w:b w:val="0"/>
                <w:color w:val="222222"/>
                <w:sz w:val="18"/>
              </w:rPr>
              <w:t>Water-like estimate; excludes bed/distributor</w:t>
            </w:r>
          </w:p>
        </w:tc>
      </w:tr>
      <w:tr>
        <w:tc>
          <w:tcPr>
            <w:tcW w:type="dxa" w:w="2045"/>
          </w:tcPr>
          <w:p>
            <w:pPr>
              <w:spacing w:before="40" w:after="40"/>
            </w:pPr>
            <w:r/>
            <w:r>
              <w:rPr>
                <w:rFonts w:ascii="Calibri" w:hAnsi="Calibri"/>
                <w:b w:val="0"/>
                <w:color w:val="222222"/>
                <w:sz w:val="18"/>
              </w:rPr>
              <w:t>Vent air velocity</w:t>
            </w:r>
          </w:p>
        </w:tc>
        <w:tc>
          <w:tcPr>
            <w:tcW w:type="dxa" w:w="2045"/>
          </w:tcPr>
          <w:p>
            <w:pPr>
              <w:spacing w:before="40" w:after="40"/>
            </w:pPr>
            <w:r/>
            <w:r>
              <w:rPr>
                <w:rFonts w:ascii="Calibri" w:hAnsi="Calibri"/>
                <w:b w:val="0"/>
                <w:color w:val="222222"/>
                <w:sz w:val="18"/>
              </w:rPr>
              <w:t>133.33 L/min through 22 mm bore</w:t>
            </w:r>
          </w:p>
        </w:tc>
        <w:tc>
          <w:tcPr>
            <w:tcW w:type="dxa" w:w="2045"/>
          </w:tcPr>
          <w:p>
            <w:pPr>
              <w:spacing w:before="40" w:after="40"/>
            </w:pPr>
            <w:r/>
            <w:r>
              <w:rPr>
                <w:rFonts w:ascii="Calibri" w:hAnsi="Calibri"/>
                <w:b w:val="0"/>
                <w:color w:val="222222"/>
                <w:sz w:val="18"/>
              </w:rPr>
              <w:t>5.8</w:t>
            </w:r>
          </w:p>
        </w:tc>
        <w:tc>
          <w:tcPr>
            <w:tcW w:type="dxa" w:w="2045"/>
          </w:tcPr>
          <w:p>
            <w:pPr>
              <w:spacing w:before="40" w:after="40"/>
            </w:pPr>
            <w:r/>
            <w:r>
              <w:rPr>
                <w:rFonts w:ascii="Calibri" w:hAnsi="Calibri"/>
                <w:b w:val="0"/>
                <w:color w:val="222222"/>
                <w:sz w:val="18"/>
              </w:rPr>
              <w:t>m/s</w:t>
            </w:r>
          </w:p>
        </w:tc>
        <w:tc>
          <w:tcPr>
            <w:tcW w:type="dxa" w:w="2045"/>
          </w:tcPr>
          <w:p>
            <w:pPr>
              <w:spacing w:before="40" w:after="40"/>
            </w:pPr>
            <w:r/>
            <w:r>
              <w:rPr>
                <w:rFonts w:ascii="Calibri" w:hAnsi="Calibri"/>
                <w:b w:val="0"/>
                <w:color w:val="222222"/>
                <w:sz w:val="18"/>
              </w:rPr>
              <w:t>Ambient displacement estimate</w:t>
            </w:r>
          </w:p>
        </w:tc>
      </w:tr>
      <w:tr>
        <w:tc>
          <w:tcPr>
            <w:tcW w:type="dxa" w:w="2045"/>
            <w:shd w:val="clear" w:color="auto" w:fill="F5F8FC"/>
          </w:tcPr>
          <w:p>
            <w:pPr>
              <w:spacing w:before="40" w:after="40"/>
            </w:pPr>
            <w:r/>
            <w:r>
              <w:rPr>
                <w:rFonts w:ascii="Calibri" w:hAnsi="Calibri"/>
                <w:b w:val="0"/>
                <w:color w:val="222222"/>
                <w:sz w:val="18"/>
              </w:rPr>
              <w:t>Resin slurry volume</w:t>
            </w:r>
          </w:p>
        </w:tc>
        <w:tc>
          <w:tcPr>
            <w:tcW w:type="dxa" w:w="2045"/>
            <w:shd w:val="clear" w:color="auto" w:fill="F5F8FC"/>
          </w:tcPr>
          <w:p>
            <w:pPr>
              <w:spacing w:before="40" w:after="40"/>
            </w:pPr>
            <w:r/>
            <w:r>
              <w:rPr>
                <w:rFonts w:ascii="Calibri" w:hAnsi="Calibri"/>
                <w:b w:val="0"/>
                <w:color w:val="222222"/>
                <w:sz w:val="18"/>
              </w:rPr>
              <w:t>400 L / 0.50 settled fraction</w:t>
            </w:r>
          </w:p>
        </w:tc>
        <w:tc>
          <w:tcPr>
            <w:tcW w:type="dxa" w:w="2045"/>
            <w:shd w:val="clear" w:color="auto" w:fill="F5F8FC"/>
          </w:tcPr>
          <w:p>
            <w:pPr>
              <w:spacing w:before="40" w:after="40"/>
            </w:pPr>
            <w:r/>
            <w:r>
              <w:rPr>
                <w:rFonts w:ascii="Calibri" w:hAnsi="Calibri"/>
                <w:b w:val="0"/>
                <w:color w:val="222222"/>
                <w:sz w:val="18"/>
              </w:rPr>
              <w:t>800</w:t>
            </w:r>
          </w:p>
        </w:tc>
        <w:tc>
          <w:tcPr>
            <w:tcW w:type="dxa" w:w="2045"/>
            <w:shd w:val="clear" w:color="auto" w:fill="F5F8FC"/>
          </w:tcPr>
          <w:p>
            <w:pPr>
              <w:spacing w:before="40" w:after="40"/>
            </w:pPr>
            <w:r/>
            <w:r>
              <w:rPr>
                <w:rFonts w:ascii="Calibri" w:hAnsi="Calibri"/>
                <w:b w:val="0"/>
                <w:color w:val="222222"/>
                <w:sz w:val="18"/>
              </w:rPr>
              <w:t>L</w:t>
            </w:r>
          </w:p>
        </w:tc>
        <w:tc>
          <w:tcPr>
            <w:tcW w:type="dxa" w:w="2045"/>
            <w:shd w:val="clear" w:color="auto" w:fill="F5F8FC"/>
          </w:tcPr>
          <w:p>
            <w:pPr>
              <w:spacing w:before="40" w:after="40"/>
            </w:pPr>
            <w:r/>
            <w:r>
              <w:rPr>
                <w:rFonts w:ascii="Calibri" w:hAnsi="Calibri"/>
                <w:b w:val="0"/>
                <w:color w:val="222222"/>
                <w:sz w:val="18"/>
              </w:rPr>
              <w:t>Assumption-based estimate</w:t>
            </w:r>
          </w:p>
        </w:tc>
      </w:tr>
      <w:tr>
        <w:tc>
          <w:tcPr>
            <w:tcW w:type="dxa" w:w="2045"/>
          </w:tcPr>
          <w:p>
            <w:pPr>
              <w:spacing w:before="40" w:after="40"/>
            </w:pPr>
            <w:r/>
            <w:r>
              <w:rPr>
                <w:rFonts w:ascii="Calibri" w:hAnsi="Calibri"/>
                <w:b w:val="0"/>
                <w:color w:val="222222"/>
                <w:sz w:val="18"/>
              </w:rPr>
              <w:t>Resin slurry transfer time</w:t>
            </w:r>
          </w:p>
        </w:tc>
        <w:tc>
          <w:tcPr>
            <w:tcW w:type="dxa" w:w="2045"/>
          </w:tcPr>
          <w:p>
            <w:pPr>
              <w:spacing w:before="40" w:after="40"/>
            </w:pPr>
            <w:r/>
            <w:r>
              <w:rPr>
                <w:rFonts w:ascii="Calibri" w:hAnsi="Calibri"/>
                <w:b w:val="0"/>
                <w:color w:val="222222"/>
                <w:sz w:val="18"/>
              </w:rPr>
              <w:t>800 L / 200 L/min</w:t>
            </w:r>
          </w:p>
        </w:tc>
        <w:tc>
          <w:tcPr>
            <w:tcW w:type="dxa" w:w="2045"/>
          </w:tcPr>
          <w:p>
            <w:pPr>
              <w:spacing w:before="40" w:after="40"/>
            </w:pPr>
            <w:r/>
            <w:r>
              <w:rPr>
                <w:rFonts w:ascii="Calibri" w:hAnsi="Calibri"/>
                <w:b w:val="0"/>
                <w:color w:val="222222"/>
                <w:sz w:val="18"/>
              </w:rPr>
              <w:t>4.0</w:t>
            </w:r>
          </w:p>
        </w:tc>
        <w:tc>
          <w:tcPr>
            <w:tcW w:type="dxa" w:w="2045"/>
          </w:tcPr>
          <w:p>
            <w:pPr>
              <w:spacing w:before="40" w:after="40"/>
            </w:pPr>
            <w:r/>
            <w:r>
              <w:rPr>
                <w:rFonts w:ascii="Calibri" w:hAnsi="Calibri"/>
                <w:b w:val="0"/>
                <w:color w:val="222222"/>
                <w:sz w:val="18"/>
              </w:rPr>
              <w:t>min</w:t>
            </w:r>
          </w:p>
        </w:tc>
        <w:tc>
          <w:tcPr>
            <w:tcW w:type="dxa" w:w="2045"/>
          </w:tcPr>
          <w:p>
            <w:pPr>
              <w:spacing w:before="40" w:after="40"/>
            </w:pPr>
            <w:r/>
            <w:r>
              <w:rPr>
                <w:rFonts w:ascii="Calibri" w:hAnsi="Calibri"/>
                <w:b w:val="0"/>
                <w:color w:val="222222"/>
                <w:sz w:val="18"/>
              </w:rPr>
              <w:t>Assumption-based estimate</w:t>
            </w:r>
          </w:p>
        </w:tc>
      </w:tr>
    </w:tbl>
    <w:p/>
    <w:p>
      <w:pPr>
        <w:spacing w:before="200" w:after="80"/>
      </w:pPr>
      <w:r>
        <w:rPr>
          <w:rFonts w:ascii="Calibri" w:hAnsi="Calibri"/>
          <w:b/>
          <w:color w:val="1F4E79"/>
          <w:sz w:val="24"/>
        </w:rPr>
        <w:t>Assumptions, exclusions, vendor confirmation</w:t>
      </w:r>
    </w:p>
    <w:p>
      <w:pPr>
        <w:spacing w:before="0" w:after="120"/>
      </w:pPr>
      <w:r>
        <w:rPr>
          <w:rFonts w:ascii="Calibri" w:hAnsi="Calibri"/>
          <w:b w:val="0"/>
          <w:color w:val="222222"/>
          <w:sz w:val="20"/>
        </w:rPr>
        <w:t>Assumptions</w:t>
      </w:r>
    </w:p>
    <w:p>
      <w:pPr>
        <w:spacing w:before="0" w:after="40"/>
      </w:pPr>
      <w:r>
        <w:rPr>
          <w:rFonts w:ascii="Calibri" w:hAnsi="Calibri"/>
          <w:b w:val="0"/>
          <w:color w:val="222222"/>
          <w:sz w:val="20"/>
        </w:rPr>
        <w:t>• The supplied 10 kg value represents target protein loaded per chromatography cycle.</w:t>
      </w:r>
    </w:p>
    <w:p>
      <w:pPr>
        <w:spacing w:before="0" w:after="40"/>
      </w:pPr>
      <w:r>
        <w:rPr>
          <w:rFonts w:ascii="Calibri" w:hAnsi="Calibri"/>
          <w:b w:val="0"/>
          <w:color w:val="222222"/>
          <w:sz w:val="20"/>
        </w:rPr>
        <w:t>• The product is the capacity-controlling species in a bind-elute HIC operation.</w:t>
      </w:r>
    </w:p>
    <w:p>
      <w:pPr>
        <w:spacing w:before="0" w:after="40"/>
      </w:pPr>
      <w:r>
        <w:rPr>
          <w:rFonts w:ascii="Calibri" w:hAnsi="Calibri"/>
          <w:b w:val="0"/>
          <w:color w:val="222222"/>
          <w:sz w:val="20"/>
        </w:rPr>
        <w:t>• The DIR capacity is already an effective usable design capacity; no additional 0.80 utilization factor is applied.</w:t>
      </w:r>
    </w:p>
    <w:p>
      <w:pPr>
        <w:spacing w:before="0" w:after="40"/>
      </w:pPr>
      <w:r>
        <w:rPr>
          <w:rFonts w:ascii="Calibri" w:hAnsi="Calibri"/>
          <w:b w:val="0"/>
          <w:color w:val="222222"/>
          <w:sz w:val="20"/>
        </w:rPr>
        <w:t>• The selected screening bed height is 30 cm and loading residence time is 6 min.</w:t>
      </w:r>
    </w:p>
    <w:p>
      <w:pPr>
        <w:spacing w:before="0" w:after="40"/>
      </w:pPr>
      <w:r>
        <w:rPr>
          <w:rFonts w:ascii="Calibri" w:hAnsi="Calibri"/>
          <w:b w:val="0"/>
          <w:color w:val="222222"/>
          <w:sz w:val="20"/>
        </w:rPr>
        <w:t>• No added resin-volume margin, packing allowance, scale-up factor, heel, or standard-size rounding is included.</w:t>
      </w:r>
    </w:p>
    <w:p>
      <w:pPr>
        <w:spacing w:before="0" w:after="40"/>
      </w:pPr>
      <w:r>
        <w:rPr>
          <w:rFonts w:ascii="Calibri" w:hAnsi="Calibri"/>
          <w:b w:val="0"/>
          <w:color w:val="222222"/>
          <w:sz w:val="20"/>
        </w:rPr>
        <w:t>• Water at 20 °C, density 998 kg/m³, is used only for the stated local nozzle-loss estimate and is not a controlling HIC hydraulic case.</w:t>
      </w:r>
    </w:p>
    <w:p>
      <w:pPr>
        <w:spacing w:before="0" w:after="40"/>
      </w:pPr>
      <w:r>
        <w:rPr>
          <w:rFonts w:ascii="Calibri" w:hAnsi="Calibri"/>
          <w:b w:val="0"/>
          <w:color w:val="222222"/>
          <w:sz w:val="20"/>
        </w:rPr>
        <w:t>• Fluids are preliminarily treated as incompressible, Newtonian, single-phase liquids. Salt-induced precipitation and suspended solids are excluded from the screening calculation.</w:t>
      </w:r>
    </w:p>
    <w:p>
      <w:pPr>
        <w:spacing w:before="0" w:after="40"/>
      </w:pPr>
      <w:r>
        <w:rPr>
          <w:rFonts w:ascii="Calibri" w:hAnsi="Calibri"/>
          <w:b w:val="0"/>
          <w:color w:val="222222"/>
          <w:sz w:val="20"/>
        </w:rPr>
        <w:t>• The column is not assumed to be vacuum rated; it must be vented during draining and cooling.</w:t>
      </w:r>
    </w:p>
    <w:p>
      <w:pPr>
        <w:spacing w:before="0" w:after="120"/>
      </w:pPr>
      <w:r>
        <w:rPr>
          <w:rFonts w:ascii="Calibri" w:hAnsi="Calibri"/>
          <w:b w:val="0"/>
          <w:color w:val="222222"/>
          <w:sz w:val="20"/>
        </w:rPr>
        <w:t>Missing process inputs — remain distinct from vendor confirmation</w:t>
      </w:r>
    </w:p>
    <w:p>
      <w:pPr>
        <w:spacing w:before="0" w:after="40"/>
      </w:pPr>
      <w:r>
        <w:rPr>
          <w:rFonts w:ascii="Calibri" w:hAnsi="Calibri"/>
          <w:b w:val="0"/>
          <w:color w:val="222222"/>
          <w:sz w:val="20"/>
        </w:rPr>
        <w:t>• Confirmation that 10 kg is target protein mass per cycle rather than batch mass or mixed-protein solids.</w:t>
      </w:r>
    </w:p>
    <w:p>
      <w:pPr>
        <w:spacing w:before="0" w:after="40"/>
      </w:pPr>
      <w:r>
        <w:rPr>
          <w:rFonts w:ascii="Calibri" w:hAnsi="Calibri"/>
          <w:b w:val="0"/>
          <w:color w:val="222222"/>
          <w:sz w:val="20"/>
        </w:rPr>
        <w:t>• HIC binding mode and identity of the capacity-controlling species.</w:t>
      </w:r>
    </w:p>
    <w:p>
      <w:pPr>
        <w:spacing w:before="0" w:after="40"/>
      </w:pPr>
      <w:r>
        <w:rPr>
          <w:rFonts w:ascii="Calibri" w:hAnsi="Calibri"/>
          <w:b w:val="0"/>
          <w:color w:val="222222"/>
          <w:sz w:val="20"/>
        </w:rPr>
        <w:t>• Conditioned-feed product and impurity concentrations and load volume per cycle.</w:t>
      </w:r>
    </w:p>
    <w:p>
      <w:pPr>
        <w:spacing w:before="0" w:after="40"/>
      </w:pPr>
      <w:r>
        <w:rPr>
          <w:rFonts w:ascii="Calibri" w:hAnsi="Calibri"/>
          <w:b w:val="0"/>
          <w:color w:val="222222"/>
          <w:sz w:val="20"/>
        </w:rPr>
        <w:t>• Batch mass, cycles per batch, permitted partial cycle, and batch processing window.</w:t>
      </w:r>
    </w:p>
    <w:p>
      <w:pPr>
        <w:spacing w:before="0" w:after="40"/>
      </w:pPr>
      <w:r>
        <w:rPr>
          <w:rFonts w:ascii="Calibri" w:hAnsi="Calibri"/>
          <w:b w:val="0"/>
          <w:color w:val="222222"/>
          <w:sz w:val="20"/>
        </w:rPr>
        <w:t>• Exact effective usable capacity or condition-specific DBC and utilization basis.</w:t>
      </w:r>
    </w:p>
    <w:p>
      <w:pPr>
        <w:spacing w:before="0" w:after="40"/>
      </w:pPr>
      <w:r>
        <w:rPr>
          <w:rFonts w:ascii="Calibri" w:hAnsi="Calibri"/>
          <w:b w:val="0"/>
          <w:color w:val="222222"/>
          <w:sz w:val="20"/>
        </w:rPr>
        <w:t>• Exact selected loading residence time and complete recipe for equilibration, load, wash, elution, regeneration, cleaning, sanitization, and storage.</w:t>
      </w:r>
    </w:p>
    <w:p>
      <w:pPr>
        <w:spacing w:before="0" w:after="40"/>
      </w:pPr>
      <w:r>
        <w:rPr>
          <w:rFonts w:ascii="Calibri" w:hAnsi="Calibri"/>
          <w:b w:val="0"/>
          <w:color w:val="222222"/>
          <w:sz w:val="20"/>
        </w:rPr>
        <w:t>• Minimum and peak flow for every step, acceptable pressure drop, and project line-sizing criteria.</w:t>
      </w:r>
    </w:p>
    <w:p>
      <w:pPr>
        <w:spacing w:before="0" w:after="40"/>
      </w:pPr>
      <w:r>
        <w:rPr>
          <w:rFonts w:ascii="Calibri" w:hAnsi="Calibri"/>
          <w:b w:val="0"/>
          <w:color w:val="222222"/>
          <w:sz w:val="20"/>
        </w:rPr>
        <w:t>• High-salt and cleaning-fluid composition, density, viscosity, and temperature range.</w:t>
      </w:r>
    </w:p>
    <w:p>
      <w:pPr>
        <w:spacing w:before="0" w:after="40"/>
      </w:pPr>
      <w:r>
        <w:rPr>
          <w:rFonts w:ascii="Calibri" w:hAnsi="Calibri"/>
          <w:b w:val="0"/>
          <w:color w:val="222222"/>
          <w:sz w:val="20"/>
        </w:rPr>
        <w:t>• Design temperature, pressure-design basis, credible pump shutoff or blocked-outlet pressure, and vacuum scenarios.</w:t>
      </w:r>
    </w:p>
    <w:p>
      <w:pPr>
        <w:spacing w:before="0" w:after="40"/>
      </w:pPr>
      <w:r>
        <w:rPr>
          <w:rFonts w:ascii="Calibri" w:hAnsi="Calibri"/>
          <w:b w:val="0"/>
          <w:color w:val="222222"/>
          <w:sz w:val="20"/>
        </w:rPr>
        <w:t>• Final sanitary standard, gasket specification, skid interface sizes, surface finish, and equipment battery limits.</w:t>
      </w:r>
    </w:p>
    <w:p>
      <w:pPr>
        <w:spacing w:before="0" w:after="120"/>
      </w:pPr>
      <w:r>
        <w:rPr>
          <w:rFonts w:ascii="Calibri" w:hAnsi="Calibri"/>
          <w:b w:val="0"/>
          <w:color w:val="222222"/>
          <w:sz w:val="20"/>
        </w:rPr>
        <w:t>Exclusions</w:t>
      </w:r>
    </w:p>
    <w:p>
      <w:pPr>
        <w:spacing w:before="0" w:after="40"/>
      </w:pPr>
      <w:r>
        <w:rPr>
          <w:rFonts w:ascii="Calibri" w:hAnsi="Calibri"/>
          <w:b w:val="0"/>
          <w:color w:val="222222"/>
          <w:sz w:val="20"/>
        </w:rPr>
        <w:t>• Chromatography skid, pumps, buffer vessels, facility utility headers, downstream sample systems, and interconnecting host piping.</w:t>
      </w:r>
    </w:p>
    <w:p>
      <w:pPr>
        <w:spacing w:before="0" w:after="40"/>
      </w:pPr>
      <w:r>
        <w:rPr>
          <w:rFonts w:ascii="Calibri" w:hAnsi="Calibri"/>
          <w:b w:val="0"/>
          <w:color w:val="222222"/>
          <w:sz w:val="20"/>
        </w:rPr>
        <w:t>• Final cycle-time assessment, pressure-drop calculation, resin lifetime, cleaning validation, structural design, code compliance, seismic design, floor-loading design, and qualification protocol.</w:t>
      </w:r>
    </w:p>
    <w:p>
      <w:pPr>
        <w:spacing w:before="0" w:after="40"/>
      </w:pPr>
      <w:r>
        <w:rPr>
          <w:rFonts w:ascii="Calibri" w:hAnsi="Calibri"/>
          <w:b w:val="0"/>
          <w:color w:val="222222"/>
          <w:sz w:val="20"/>
        </w:rPr>
        <w:t>• A vendor model commitment or guarantee of process performance.</w:t>
      </w:r>
    </w:p>
    <w:p>
      <w:pPr>
        <w:spacing w:before="0" w:after="120"/>
      </w:pPr>
      <w:r>
        <w:rPr>
          <w:rFonts w:ascii="Calibri" w:hAnsi="Calibri"/>
          <w:b w:val="0"/>
          <w:color w:val="222222"/>
          <w:sz w:val="20"/>
        </w:rPr>
        <w:t>Vendor confirmation</w:t>
      </w:r>
    </w:p>
    <w:tbl>
      <w:tblPr>
        <w:tblStyle w:val="TableGrid"/>
        <w:tblW w:type="auto" w:w="0"/>
        <w:tblLayout w:type="autofit"/>
        <w:tblLook w:firstColumn="1" w:firstRow="1" w:lastColumn="0" w:lastRow="0" w:noHBand="0" w:noVBand="1" w:val="04A0"/>
      </w:tblPr>
      <w:tblGrid>
        <w:gridCol w:w="5112"/>
        <w:gridCol w:w="5112"/>
      </w:tblGrid>
      <w:tr>
        <w:tc>
          <w:tcPr>
            <w:tcW w:type="dxa" w:w="5112"/>
            <w:shd w:val="clear" w:color="auto" w:fill="1F4E79"/>
          </w:tcPr>
          <w:p>
            <w:pPr>
              <w:spacing w:before="40" w:after="40"/>
            </w:pPr>
            <w:r/>
            <w:r>
              <w:rPr>
                <w:rFonts w:ascii="Calibri" w:hAnsi="Calibri"/>
                <w:b/>
                <w:color w:val="FFFFFF"/>
                <w:sz w:val="18"/>
              </w:rPr>
              <w:t>Item</w:t>
            </w:r>
          </w:p>
        </w:tc>
        <w:tc>
          <w:tcPr>
            <w:tcW w:type="dxa" w:w="5112"/>
            <w:shd w:val="clear" w:color="auto" w:fill="1F4E79"/>
          </w:tcPr>
          <w:p>
            <w:pPr>
              <w:spacing w:before="40" w:after="40"/>
            </w:pPr>
            <w:r/>
            <w:r>
              <w:rPr>
                <w:rFonts w:ascii="Calibri" w:hAnsi="Calibri"/>
                <w:b/>
                <w:color w:val="FFFFFF"/>
                <w:sz w:val="18"/>
              </w:rPr>
              <w:t>Basis</w:t>
            </w:r>
          </w:p>
        </w:tc>
      </w:tr>
      <w:tr>
        <w:tc>
          <w:tcPr>
            <w:tcW w:type="dxa" w:w="5112"/>
          </w:tcPr>
          <w:p>
            <w:pPr>
              <w:spacing w:before="40" w:after="40"/>
            </w:pPr>
            <w:r/>
            <w:r>
              <w:rPr>
                <w:rFonts w:ascii="Calibri" w:hAnsi="Calibri"/>
                <w:b w:val="0"/>
                <w:color w:val="222222"/>
                <w:sz w:val="18"/>
              </w:rPr>
              <w:t>Resin supplier</w:t>
            </w:r>
          </w:p>
        </w:tc>
        <w:tc>
          <w:tcPr>
            <w:tcW w:type="dxa" w:w="5112"/>
          </w:tcPr>
          <w:p>
            <w:pPr>
              <w:spacing w:before="40" w:after="40"/>
            </w:pPr>
            <w:r/>
            <w:r>
              <w:rPr>
                <w:rFonts w:ascii="Calibri" w:hAnsi="Calibri"/>
                <w:b w:val="0"/>
                <w:color w:val="222222"/>
                <w:sz w:val="18"/>
              </w:rPr>
              <w:t>resin identity, DBC or breakthrough curve at actual feed conditions, test residence time, breakthrough criterion, particle size, swelling, compressibility, allowable bed height, packing procedure, pressure-flow behavior, velocity limits, cleaning compatibility, and lifetime.</w:t>
            </w:r>
          </w:p>
        </w:tc>
      </w:tr>
      <w:tr>
        <w:tc>
          <w:tcPr>
            <w:tcW w:type="dxa" w:w="5112"/>
            <w:shd w:val="clear" w:color="auto" w:fill="F5F8FC"/>
          </w:tcPr>
          <w:p>
            <w:pPr>
              <w:spacing w:before="40" w:after="40"/>
            </w:pPr>
            <w:r/>
            <w:r>
              <w:rPr>
                <w:rFonts w:ascii="Calibri" w:hAnsi="Calibri"/>
                <w:b w:val="0"/>
                <w:color w:val="222222"/>
                <w:sz w:val="18"/>
              </w:rPr>
              <w:t>Column vendor</w:t>
            </w:r>
          </w:p>
        </w:tc>
        <w:tc>
          <w:tcPr>
            <w:tcW w:type="dxa" w:w="5112"/>
            <w:shd w:val="clear" w:color="auto" w:fill="F5F8FC"/>
          </w:tcPr>
          <w:p>
            <w:pPr>
              <w:spacing w:before="40" w:after="40"/>
            </w:pPr>
            <w:r/>
            <w:r>
              <w:rPr>
                <w:rFonts w:ascii="Calibri" w:hAnsi="Calibri"/>
                <w:b w:val="0"/>
                <w:color w:val="222222"/>
                <w:sz w:val="18"/>
              </w:rPr>
              <w:t>available diameter and bed-volume increments, at least 400 L packed volume at a DIR-compliant height, distributor uniformity and turndown, adjustable-adapter range, packing pressure, allowable bed differential pressure, hardware MAWP, rating definition, transient limits, vacuum rating, nozzle sizes, drainability, cleanability, materials, surface finish, and gasket compatibility.</w:t>
            </w:r>
          </w:p>
        </w:tc>
      </w:tr>
      <w:tr>
        <w:tc>
          <w:tcPr>
            <w:tcW w:type="dxa" w:w="5112"/>
          </w:tcPr>
          <w:p>
            <w:pPr>
              <w:spacing w:before="40" w:after="40"/>
            </w:pPr>
            <w:r/>
            <w:r>
              <w:rPr>
                <w:rFonts w:ascii="Calibri" w:hAnsi="Calibri"/>
                <w:b w:val="0"/>
                <w:color w:val="222222"/>
                <w:sz w:val="18"/>
              </w:rPr>
              <w:t>Column vendor</w:t>
            </w:r>
          </w:p>
        </w:tc>
        <w:tc>
          <w:tcPr>
            <w:tcW w:type="dxa" w:w="5112"/>
          </w:tcPr>
          <w:p>
            <w:pPr>
              <w:spacing w:before="40" w:after="40"/>
            </w:pPr>
            <w:r/>
            <w:r>
              <w:rPr>
                <w:rFonts w:ascii="Calibri" w:hAnsi="Calibri"/>
                <w:b w:val="0"/>
                <w:color w:val="222222"/>
                <w:sz w:val="18"/>
              </w:rPr>
              <w:t>certified installed and shipping envelope, maximum operating and shipping weights, center of gravity, support loads, access clearances, actuator services, lifting provisions, and maintenance withdrawal requirements.</w:t>
            </w:r>
          </w:p>
        </w:tc>
      </w:tr>
      <w:tr>
        <w:tc>
          <w:tcPr>
            <w:tcW w:type="dxa" w:w="5112"/>
            <w:shd w:val="clear" w:color="auto" w:fill="F5F8FC"/>
          </w:tcPr>
          <w:p>
            <w:pPr>
              <w:spacing w:before="40" w:after="40"/>
            </w:pPr>
            <w:r/>
            <w:r>
              <w:rPr>
                <w:rFonts w:ascii="Calibri" w:hAnsi="Calibri"/>
                <w:b w:val="0"/>
                <w:color w:val="222222"/>
                <w:sz w:val="18"/>
              </w:rPr>
              <w:t>Column and skid vendors jointly</w:t>
            </w:r>
          </w:p>
        </w:tc>
        <w:tc>
          <w:tcPr>
            <w:tcW w:type="dxa" w:w="5112"/>
            <w:shd w:val="clear" w:color="auto" w:fill="F5F8FC"/>
          </w:tcPr>
          <w:p>
            <w:pPr>
              <w:spacing w:before="40" w:after="40"/>
            </w:pPr>
            <w:r/>
            <w:r>
              <w:rPr>
                <w:rFonts w:ascii="Calibri" w:hAnsi="Calibri"/>
                <w:b w:val="0"/>
                <w:color w:val="222222"/>
                <w:sz w:val="18"/>
              </w:rPr>
              <w:t>final inlet/outlet interface sizes, pressure losses, pump shutoff protection, pressure-instrument locations, control philosophy, and allowable pressure at every operating and cleaning condition.</w:t>
            </w:r>
          </w:p>
        </w:tc>
      </w:tr>
    </w:tbl>
    <w:p/>
    <w:p>
      <w:pPr>
        <w:spacing w:before="0" w:after="120"/>
      </w:pPr>
      <w:r>
        <w:rPr>
          <w:rFonts w:ascii="Calibri" w:hAnsi="Calibri"/>
          <w:b w:val="0"/>
          <w:color w:val="222222"/>
          <w:sz w:val="20"/>
        </w:rPr>
        <w:t>This datasheet is an initial screening draft and is pending process SME, resin supplier, and column vendor approval.</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shd w:val="clear" w:color="auto" w:fill="1F4E79"/>
          </w:tcPr>
          <w:p>
            <w:pPr>
              <w:spacing w:before="40" w:after="40"/>
            </w:pPr>
            <w:r/>
            <w:r>
              <w:rPr>
                <w:rFonts w:ascii="Calibri" w:hAnsi="Calibri"/>
                <w:b/>
                <w:color w:val="FFFFFF"/>
                <w:sz w:val="18"/>
              </w:rPr>
              <w:t>Item</w:t>
            </w:r>
          </w:p>
        </w:tc>
        <w:tc>
          <w:tcPr>
            <w:tcW w:type="dxa" w:w="2045"/>
            <w:shd w:val="clear" w:color="auto" w:fill="1F4E79"/>
          </w:tcPr>
          <w:p>
            <w:pPr>
              <w:spacing w:before="40" w:after="40"/>
            </w:pPr>
            <w:r/>
            <w:r>
              <w:rPr>
                <w:rFonts w:ascii="Calibri" w:hAnsi="Calibri"/>
                <w:b/>
                <w:color w:val="FFFFFF"/>
                <w:sz w:val="18"/>
              </w:rPr>
              <w:t>Method/formula</w:t>
            </w:r>
          </w:p>
        </w:tc>
        <w:tc>
          <w:tcPr>
            <w:tcW w:type="dxa" w:w="2045"/>
            <w:shd w:val="clear" w:color="auto" w:fill="1F4E79"/>
          </w:tcPr>
          <w:p>
            <w:pPr>
              <w:spacing w:before="40" w:after="40"/>
            </w:pPr>
            <w:r/>
            <w:r>
              <w:rPr>
                <w:rFonts w:ascii="Calibri" w:hAnsi="Calibri"/>
                <w:b/>
                <w:color w:val="FFFFFF"/>
                <w:sz w:val="18"/>
              </w:rPr>
              <w:t>Result</w:t>
            </w:r>
          </w:p>
        </w:tc>
        <w:tc>
          <w:tcPr>
            <w:tcW w:type="dxa" w:w="2045"/>
            <w:shd w:val="clear" w:color="auto" w:fill="1F4E79"/>
          </w:tcPr>
          <w:p>
            <w:pPr>
              <w:spacing w:before="40" w:after="40"/>
            </w:pPr>
            <w:r/>
            <w:r>
              <w:rPr>
                <w:rFonts w:ascii="Calibri" w:hAnsi="Calibri"/>
                <w:b/>
                <w:color w:val="FFFFFF"/>
                <w:sz w:val="18"/>
              </w:rPr>
              <w:t>Unit</w:t>
            </w:r>
          </w:p>
        </w:tc>
        <w:tc>
          <w:tcPr>
            <w:tcW w:type="dxa" w:w="2045"/>
            <w:shd w:val="clear" w:color="auto" w:fill="1F4E79"/>
          </w:tcPr>
          <w:p>
            <w:pPr>
              <w:spacing w:before="40" w:after="40"/>
            </w:pPr>
            <w:r/>
            <w:r>
              <w:rPr>
                <w:rFonts w:ascii="Calibri" w:hAnsi="Calibri"/>
                <w:b/>
                <w:color w:val="FFFFFF"/>
                <w:sz w:val="18"/>
              </w:rPr>
              <w:t>Basis</w:t>
            </w:r>
          </w:p>
        </w:tc>
      </w:tr>
      <w:tr>
        <w:tc>
          <w:tcPr>
            <w:tcW w:type="dxa" w:w="2045"/>
          </w:tcPr>
          <w:p>
            <w:pPr>
              <w:spacing w:before="40" w:after="40"/>
            </w:pPr>
            <w:r/>
            <w:r>
              <w:rPr>
                <w:rFonts w:ascii="Calibri" w:hAnsi="Calibri"/>
                <w:b w:val="0"/>
                <w:color w:val="222222"/>
                <w:sz w:val="18"/>
              </w:rPr>
              <w:t>Target protein mass conversion</w:t>
            </w:r>
          </w:p>
        </w:tc>
        <w:tc>
          <w:tcPr>
            <w:tcW w:type="dxa" w:w="2045"/>
          </w:tcPr>
          <w:p>
            <w:pPr>
              <w:spacing w:before="40" w:after="40"/>
            </w:pPr>
            <w:r/>
            <w:r>
              <w:rPr>
                <w:rFonts w:ascii="Calibri" w:hAnsi="Calibri"/>
                <w:b w:val="0"/>
                <w:color w:val="222222"/>
                <w:sz w:val="18"/>
              </w:rPr>
              <w:t>Target mass multiplied by milligrams per kilogram; ={target_mass_kg}*{mg_per_kg}</w:t>
            </w:r>
          </w:p>
        </w:tc>
        <w:tc>
          <w:tcPr>
            <w:tcW w:type="dxa" w:w="2045"/>
          </w:tcPr>
          <w:p>
            <w:pPr>
              <w:spacing w:before="40" w:after="40"/>
            </w:pPr>
            <w:r/>
            <w:r>
              <w:rPr>
                <w:rFonts w:ascii="Calibri" w:hAnsi="Calibri"/>
                <w:b w:val="0"/>
                <w:color w:val="222222"/>
                <w:sz w:val="18"/>
              </w:rPr>
              <w:t>={target_mass_kg}*{mg_per_kg}</w:t>
            </w:r>
          </w:p>
        </w:tc>
        <w:tc>
          <w:tcPr>
            <w:tcW w:type="dxa" w:w="2045"/>
          </w:tcPr>
          <w:p>
            <w:pPr>
              <w:spacing w:before="40" w:after="40"/>
            </w:pPr>
            <w:r/>
            <w:r>
              <w:rPr>
                <w:rFonts w:ascii="Calibri" w:hAnsi="Calibri"/>
                <w:b w:val="0"/>
                <w:color w:val="222222"/>
                <w:sz w:val="18"/>
              </w:rPr>
              <w:t>mg/cycle</w:t>
            </w:r>
          </w:p>
        </w:tc>
        <w:tc>
          <w:tcPr>
            <w:tcW w:type="dxa" w:w="2045"/>
          </w:tcPr>
          <w:p>
            <w:pPr>
              <w:spacing w:before="40" w:after="40"/>
            </w:pPr>
            <w:r/>
            <w:r>
              <w:rPr>
                <w:rFonts w:ascii="Calibri" w:hAnsi="Calibri"/>
                <w:b w:val="0"/>
                <w:color w:val="222222"/>
                <w:sz w:val="18"/>
              </w:rPr>
              <w:t>Traceable conversion of the per-cycle target load</w:t>
            </w:r>
          </w:p>
        </w:tc>
      </w:tr>
      <w:tr>
        <w:tc>
          <w:tcPr>
            <w:tcW w:type="dxa" w:w="2045"/>
            <w:shd w:val="clear" w:color="auto" w:fill="F5F8FC"/>
          </w:tcPr>
          <w:p>
            <w:pPr>
              <w:spacing w:before="40" w:after="40"/>
            </w:pPr>
            <w:r/>
            <w:r>
              <w:rPr>
                <w:rFonts w:ascii="Calibri" w:hAnsi="Calibri"/>
                <w:b w:val="0"/>
                <w:color w:val="222222"/>
                <w:sz w:val="18"/>
              </w:rPr>
              <w:t>Required bed volume at conservative usable capacity</w:t>
            </w:r>
          </w:p>
        </w:tc>
        <w:tc>
          <w:tcPr>
            <w:tcW w:type="dxa" w:w="2045"/>
            <w:shd w:val="clear" w:color="auto" w:fill="F5F8FC"/>
          </w:tcPr>
          <w:p>
            <w:pPr>
              <w:spacing w:before="40" w:after="40"/>
            </w:pPr>
            <w:r/>
            <w:r>
              <w:rPr>
                <w:rFonts w:ascii="Calibri" w:hAnsi="Calibri"/>
                <w:b w:val="0"/>
                <w:color w:val="222222"/>
                <w:sz w:val="18"/>
              </w:rPr>
              <w:t>Target mass divided by conservative usable capacity; ={target_mass_mg}/{usable_capacity_low}</w:t>
            </w:r>
          </w:p>
        </w:tc>
        <w:tc>
          <w:tcPr>
            <w:tcW w:type="dxa" w:w="2045"/>
            <w:shd w:val="clear" w:color="auto" w:fill="F5F8FC"/>
          </w:tcPr>
          <w:p>
            <w:pPr>
              <w:spacing w:before="40" w:after="40"/>
            </w:pPr>
            <w:r/>
            <w:r>
              <w:rPr>
                <w:rFonts w:ascii="Calibri" w:hAnsi="Calibri"/>
                <w:b w:val="0"/>
                <w:color w:val="222222"/>
                <w:sz w:val="18"/>
              </w:rPr>
              <w:t>={target_mass_mg}/{usable_capacity_low}</w:t>
            </w:r>
          </w:p>
        </w:tc>
        <w:tc>
          <w:tcPr>
            <w:tcW w:type="dxa" w:w="2045"/>
            <w:shd w:val="clear" w:color="auto" w:fill="F5F8FC"/>
          </w:tcPr>
          <w:p>
            <w:pPr>
              <w:spacing w:before="40" w:after="40"/>
            </w:pPr>
            <w:r/>
            <w:r>
              <w:rPr>
                <w:rFonts w:ascii="Calibri" w:hAnsi="Calibri"/>
                <w:b w:val="0"/>
                <w:color w:val="222222"/>
                <w:sz w:val="18"/>
              </w:rPr>
              <w:t>mL</w:t>
            </w:r>
          </w:p>
        </w:tc>
        <w:tc>
          <w:tcPr>
            <w:tcW w:type="dxa" w:w="2045"/>
            <w:shd w:val="clear" w:color="auto" w:fill="F5F8FC"/>
          </w:tcPr>
          <w:p>
            <w:pPr>
              <w:spacing w:before="40" w:after="40"/>
            </w:pPr>
            <w:r/>
            <w:r>
              <w:rPr>
                <w:rFonts w:ascii="Calibri" w:hAnsi="Calibri"/>
                <w:b w:val="0"/>
                <w:color w:val="222222"/>
                <w:sz w:val="18"/>
              </w:rPr>
              <w:t>Governing capacity volume before vendor-size rounding</w:t>
            </w:r>
          </w:p>
        </w:tc>
      </w:tr>
      <w:tr>
        <w:tc>
          <w:tcPr>
            <w:tcW w:type="dxa" w:w="2045"/>
          </w:tcPr>
          <w:p>
            <w:pPr>
              <w:spacing w:before="40" w:after="40"/>
            </w:pPr>
            <w:r/>
            <w:r>
              <w:rPr>
                <w:rFonts w:ascii="Calibri" w:hAnsi="Calibri"/>
                <w:b w:val="0"/>
                <w:color w:val="222222"/>
                <w:sz w:val="18"/>
              </w:rPr>
              <w:t>Selected screening packed-bed volume</w:t>
            </w:r>
          </w:p>
        </w:tc>
        <w:tc>
          <w:tcPr>
            <w:tcW w:type="dxa" w:w="2045"/>
          </w:tcPr>
          <w:p>
            <w:pPr>
              <w:spacing w:before="40" w:after="40"/>
            </w:pPr>
            <w:r/>
            <w:r>
              <w:rPr>
                <w:rFonts w:ascii="Calibri" w:hAnsi="Calibri"/>
                <w:b w:val="0"/>
                <w:color w:val="222222"/>
                <w:sz w:val="18"/>
              </w:rPr>
              <w:t>Conservative required volume converted from millilitres to litres; ={bed_volume_low_capacity_ml}/{ml_per_l}</w:t>
            </w:r>
          </w:p>
        </w:tc>
        <w:tc>
          <w:tcPr>
            <w:tcW w:type="dxa" w:w="2045"/>
          </w:tcPr>
          <w:p>
            <w:pPr>
              <w:spacing w:before="40" w:after="40"/>
            </w:pPr>
            <w:r/>
            <w:r>
              <w:rPr>
                <w:rFonts w:ascii="Calibri" w:hAnsi="Calibri"/>
                <w:b w:val="0"/>
                <w:color w:val="222222"/>
                <w:sz w:val="18"/>
              </w:rPr>
              <w:t>={bed_volume_low_capacity_ml}/{ml_per_l}</w:t>
            </w:r>
          </w:p>
        </w:tc>
        <w:tc>
          <w:tcPr>
            <w:tcW w:type="dxa" w:w="2045"/>
          </w:tcPr>
          <w:p>
            <w:pPr>
              <w:spacing w:before="40" w:after="40"/>
            </w:pPr>
            <w:r/>
            <w:r>
              <w:rPr>
                <w:rFonts w:ascii="Calibri" w:hAnsi="Calibri"/>
                <w:b w:val="0"/>
                <w:color w:val="222222"/>
                <w:sz w:val="18"/>
              </w:rPr>
              <w:t>L</w:t>
            </w:r>
          </w:p>
        </w:tc>
        <w:tc>
          <w:tcPr>
            <w:tcW w:type="dxa" w:w="2045"/>
          </w:tcPr>
          <w:p>
            <w:pPr>
              <w:spacing w:before="40" w:after="40"/>
            </w:pPr>
            <w:r/>
            <w:r>
              <w:rPr>
                <w:rFonts w:ascii="Calibri" w:hAnsi="Calibri"/>
                <w:b w:val="0"/>
                <w:color w:val="222222"/>
                <w:sz w:val="18"/>
              </w:rPr>
              <w:t>Must provide at least the calculated conservative capacity requirement</w:t>
            </w:r>
          </w:p>
        </w:tc>
      </w:tr>
      <w:tr>
        <w:tc>
          <w:tcPr>
            <w:tcW w:type="dxa" w:w="2045"/>
            <w:shd w:val="clear" w:color="auto" w:fill="F5F8FC"/>
          </w:tcPr>
          <w:p>
            <w:pPr>
              <w:spacing w:before="40" w:after="40"/>
            </w:pPr>
            <w:r/>
            <w:r>
              <w:rPr>
                <w:rFonts w:ascii="Calibri" w:hAnsi="Calibri"/>
                <w:b w:val="0"/>
                <w:color w:val="222222"/>
                <w:sz w:val="18"/>
              </w:rPr>
              <w:t>Required bed volume at upper usable capacity</w:t>
            </w:r>
          </w:p>
        </w:tc>
        <w:tc>
          <w:tcPr>
            <w:tcW w:type="dxa" w:w="2045"/>
            <w:shd w:val="clear" w:color="auto" w:fill="F5F8FC"/>
          </w:tcPr>
          <w:p>
            <w:pPr>
              <w:spacing w:before="40" w:after="40"/>
            </w:pPr>
            <w:r/>
            <w:r>
              <w:rPr>
                <w:rFonts w:ascii="Calibri" w:hAnsi="Calibri"/>
                <w:b w:val="0"/>
                <w:color w:val="222222"/>
                <w:sz w:val="18"/>
              </w:rPr>
              <w:t>Target mass divided by upper usable capacity and converted to litres; ={target_mass_mg}/{usable_capacity_high}/{ml_per_l}</w:t>
            </w:r>
          </w:p>
        </w:tc>
        <w:tc>
          <w:tcPr>
            <w:tcW w:type="dxa" w:w="2045"/>
            <w:shd w:val="clear" w:color="auto" w:fill="F5F8FC"/>
          </w:tcPr>
          <w:p>
            <w:pPr>
              <w:spacing w:before="40" w:after="40"/>
            </w:pPr>
            <w:r/>
            <w:r>
              <w:rPr>
                <w:rFonts w:ascii="Calibri" w:hAnsi="Calibri"/>
                <w:b w:val="0"/>
                <w:color w:val="222222"/>
                <w:sz w:val="18"/>
              </w:rPr>
              <w:t>={target_mass_mg}/{usable_capacity_high}/{ml_per_l}</w:t>
            </w:r>
          </w:p>
        </w:tc>
        <w:tc>
          <w:tcPr>
            <w:tcW w:type="dxa" w:w="2045"/>
            <w:shd w:val="clear" w:color="auto" w:fill="F5F8FC"/>
          </w:tcPr>
          <w:p>
            <w:pPr>
              <w:spacing w:before="40" w:after="40"/>
            </w:pPr>
            <w:r/>
            <w:r>
              <w:rPr>
                <w:rFonts w:ascii="Calibri" w:hAnsi="Calibri"/>
                <w:b w:val="0"/>
                <w:color w:val="222222"/>
                <w:sz w:val="18"/>
              </w:rPr>
              <w:t>L</w:t>
            </w:r>
          </w:p>
        </w:tc>
        <w:tc>
          <w:tcPr>
            <w:tcW w:type="dxa" w:w="2045"/>
            <w:shd w:val="clear" w:color="auto" w:fill="F5F8FC"/>
          </w:tcPr>
          <w:p>
            <w:pPr>
              <w:spacing w:before="40" w:after="40"/>
            </w:pPr>
            <w:r/>
            <w:r>
              <w:rPr>
                <w:rFonts w:ascii="Calibri" w:hAnsi="Calibri"/>
                <w:b w:val="0"/>
                <w:color w:val="222222"/>
                <w:sz w:val="18"/>
              </w:rPr>
              <w:t>Defines the lower end of the DIR capacity-volume range</w:t>
            </w:r>
          </w:p>
        </w:tc>
      </w:tr>
      <w:tr>
        <w:tc>
          <w:tcPr>
            <w:tcW w:type="dxa" w:w="2045"/>
          </w:tcPr>
          <w:p>
            <w:pPr>
              <w:spacing w:before="40" w:after="40"/>
            </w:pPr>
            <w:r/>
            <w:r>
              <w:rPr>
                <w:rFonts w:ascii="Calibri" w:hAnsi="Calibri"/>
                <w:b w:val="0"/>
                <w:color w:val="222222"/>
                <w:sz w:val="18"/>
              </w:rPr>
              <w:t>Selected packed-bed volume in cubic metres</w:t>
            </w:r>
          </w:p>
        </w:tc>
        <w:tc>
          <w:tcPr>
            <w:tcW w:type="dxa" w:w="2045"/>
          </w:tcPr>
          <w:p>
            <w:pPr>
              <w:spacing w:before="40" w:after="40"/>
            </w:pPr>
            <w:r/>
            <w:r>
              <w:rPr>
                <w:rFonts w:ascii="Calibri" w:hAnsi="Calibri"/>
                <w:b w:val="0"/>
                <w:color w:val="222222"/>
                <w:sz w:val="18"/>
              </w:rPr>
              <w:t>Selected volume divided by litres per cubic metre; ={bed_volume_selected}/{l_per_m3}</w:t>
            </w:r>
          </w:p>
        </w:tc>
        <w:tc>
          <w:tcPr>
            <w:tcW w:type="dxa" w:w="2045"/>
          </w:tcPr>
          <w:p>
            <w:pPr>
              <w:spacing w:before="40" w:after="40"/>
            </w:pPr>
            <w:r/>
            <w:r>
              <w:rPr>
                <w:rFonts w:ascii="Calibri" w:hAnsi="Calibri"/>
                <w:b w:val="0"/>
                <w:color w:val="222222"/>
                <w:sz w:val="18"/>
              </w:rPr>
              <w:t>={bed_volume_selected}/{l_per_m3}</w:t>
            </w:r>
          </w:p>
        </w:tc>
        <w:tc>
          <w:tcPr>
            <w:tcW w:type="dxa" w:w="2045"/>
          </w:tcPr>
          <w:p>
            <w:pPr>
              <w:spacing w:before="40" w:after="40"/>
            </w:pPr>
            <w:r/>
            <w:r>
              <w:rPr>
                <w:rFonts w:ascii="Calibri" w:hAnsi="Calibri"/>
                <w:b w:val="0"/>
                <w:color w:val="222222"/>
                <w:sz w:val="18"/>
              </w:rPr>
              <w:t>m³</w:t>
            </w:r>
          </w:p>
        </w:tc>
        <w:tc>
          <w:tcPr>
            <w:tcW w:type="dxa" w:w="2045"/>
          </w:tcPr>
          <w:p>
            <w:pPr>
              <w:spacing w:before="40" w:after="40"/>
            </w:pPr>
            <w:r/>
            <w:r>
              <w:rPr>
                <w:rFonts w:ascii="Calibri" w:hAnsi="Calibri"/>
                <w:b w:val="0"/>
                <w:color w:val="222222"/>
                <w:sz w:val="18"/>
              </w:rPr>
              <w:t>Unit conversion for geometry calculations</w:t>
            </w:r>
          </w:p>
        </w:tc>
      </w:tr>
      <w:tr>
        <w:tc>
          <w:tcPr>
            <w:tcW w:type="dxa" w:w="2045"/>
            <w:shd w:val="clear" w:color="auto" w:fill="F5F8FC"/>
          </w:tcPr>
          <w:p>
            <w:pPr>
              <w:spacing w:before="40" w:after="40"/>
            </w:pPr>
            <w:r/>
            <w:r>
              <w:rPr>
                <w:rFonts w:ascii="Calibri" w:hAnsi="Calibri"/>
                <w:b w:val="0"/>
                <w:color w:val="222222"/>
                <w:sz w:val="18"/>
              </w:rPr>
              <w:t>Required column cross-sectional area</w:t>
            </w:r>
          </w:p>
        </w:tc>
        <w:tc>
          <w:tcPr>
            <w:tcW w:type="dxa" w:w="2045"/>
            <w:shd w:val="clear" w:color="auto" w:fill="F5F8FC"/>
          </w:tcPr>
          <w:p>
            <w:pPr>
              <w:spacing w:before="40" w:after="40"/>
            </w:pPr>
            <w:r/>
            <w:r>
              <w:rPr>
                <w:rFonts w:ascii="Calibri" w:hAnsi="Calibri"/>
                <w:b w:val="0"/>
                <w:color w:val="222222"/>
                <w:sz w:val="18"/>
              </w:rPr>
              <w:t>Packed-bed volume divided by selected packed-bed height; ={bed_volume_m3}/{bed_height_selected}</w:t>
            </w:r>
          </w:p>
        </w:tc>
        <w:tc>
          <w:tcPr>
            <w:tcW w:type="dxa" w:w="2045"/>
            <w:shd w:val="clear" w:color="auto" w:fill="F5F8FC"/>
          </w:tcPr>
          <w:p>
            <w:pPr>
              <w:spacing w:before="40" w:after="40"/>
            </w:pPr>
            <w:r/>
            <w:r>
              <w:rPr>
                <w:rFonts w:ascii="Calibri" w:hAnsi="Calibri"/>
                <w:b w:val="0"/>
                <w:color w:val="222222"/>
                <w:sz w:val="18"/>
              </w:rPr>
              <w:t>={bed_volume_m3}/{bed_height_selected}</w:t>
            </w:r>
          </w:p>
        </w:tc>
        <w:tc>
          <w:tcPr>
            <w:tcW w:type="dxa" w:w="2045"/>
            <w:shd w:val="clear" w:color="auto" w:fill="F5F8FC"/>
          </w:tcPr>
          <w:p>
            <w:pPr>
              <w:spacing w:before="40" w:after="40"/>
            </w:pPr>
            <w:r/>
            <w:r>
              <w:rPr>
                <w:rFonts w:ascii="Calibri" w:hAnsi="Calibri"/>
                <w:b w:val="0"/>
                <w:color w:val="222222"/>
                <w:sz w:val="18"/>
              </w:rPr>
              <w:t>m²</w:t>
            </w:r>
          </w:p>
        </w:tc>
        <w:tc>
          <w:tcPr>
            <w:tcW w:type="dxa" w:w="2045"/>
            <w:shd w:val="clear" w:color="auto" w:fill="F5F8FC"/>
          </w:tcPr>
          <w:p>
            <w:pPr>
              <w:spacing w:before="40" w:after="40"/>
            </w:pPr>
            <w:r/>
            <w:r>
              <w:rPr>
                <w:rFonts w:ascii="Calibri" w:hAnsi="Calibri"/>
                <w:b w:val="0"/>
                <w:color w:val="222222"/>
                <w:sz w:val="18"/>
              </w:rPr>
              <w:t>Selected bed height must satisfy the validated DIR range</w:t>
            </w:r>
          </w:p>
        </w:tc>
      </w:tr>
      <w:tr>
        <w:tc>
          <w:tcPr>
            <w:tcW w:type="dxa" w:w="2045"/>
          </w:tcPr>
          <w:p>
            <w:pPr>
              <w:spacing w:before="40" w:after="40"/>
            </w:pPr>
            <w:r/>
            <w:r>
              <w:rPr>
                <w:rFonts w:ascii="Calibri" w:hAnsi="Calibri"/>
                <w:b w:val="0"/>
                <w:color w:val="222222"/>
                <w:sz w:val="18"/>
              </w:rPr>
              <w:t>Calculated column internal diameter</w:t>
            </w:r>
          </w:p>
        </w:tc>
        <w:tc>
          <w:tcPr>
            <w:tcW w:type="dxa" w:w="2045"/>
          </w:tcPr>
          <w:p>
            <w:pPr>
              <w:spacing w:before="40" w:after="40"/>
            </w:pPr>
            <w:r/>
            <w:r>
              <w:rPr>
                <w:rFonts w:ascii="Calibri" w:hAnsi="Calibri"/>
                <w:b w:val="0"/>
                <w:color w:val="222222"/>
                <w:sz w:val="18"/>
              </w:rPr>
              <w:t>Square root of four times area divided by pi; =SQRT(4*{column_area}/PI())</w:t>
            </w:r>
          </w:p>
        </w:tc>
        <w:tc>
          <w:tcPr>
            <w:tcW w:type="dxa" w:w="2045"/>
          </w:tcPr>
          <w:p>
            <w:pPr>
              <w:spacing w:before="40" w:after="40"/>
            </w:pPr>
            <w:r/>
            <w:r>
              <w:rPr>
                <w:rFonts w:ascii="Calibri" w:hAnsi="Calibri"/>
                <w:b w:val="0"/>
                <w:color w:val="222222"/>
                <w:sz w:val="18"/>
              </w:rPr>
              <w:t>=SQRT(4*{column_area}/PI())</w:t>
            </w:r>
          </w:p>
        </w:tc>
        <w:tc>
          <w:tcPr>
            <w:tcW w:type="dxa" w:w="2045"/>
          </w:tcPr>
          <w:p>
            <w:pPr>
              <w:spacing w:before="40" w:after="40"/>
            </w:pPr>
            <w:r/>
            <w:r>
              <w:rPr>
                <w:rFonts w:ascii="Calibri" w:hAnsi="Calibri"/>
                <w:b w:val="0"/>
                <w:color w:val="222222"/>
                <w:sz w:val="18"/>
              </w:rPr>
              <w:t>m</w:t>
            </w:r>
          </w:p>
        </w:tc>
        <w:tc>
          <w:tcPr>
            <w:tcW w:type="dxa" w:w="2045"/>
          </w:tcPr>
          <w:p>
            <w:pPr>
              <w:spacing w:before="40" w:after="40"/>
            </w:pPr>
            <w:r/>
            <w:r>
              <w:rPr>
                <w:rFonts w:ascii="Calibri" w:hAnsi="Calibri"/>
                <w:b w:val="0"/>
                <w:color w:val="222222"/>
                <w:sz w:val="18"/>
              </w:rPr>
              <w:t>Vendor-selected diameter must retain at least the required volume at a compliant bed height</w:t>
            </w:r>
          </w:p>
        </w:tc>
      </w:tr>
      <w:tr>
        <w:tc>
          <w:tcPr>
            <w:tcW w:type="dxa" w:w="2045"/>
            <w:shd w:val="clear" w:color="auto" w:fill="F5F8FC"/>
          </w:tcPr>
          <w:p>
            <w:pPr>
              <w:spacing w:before="40" w:after="40"/>
            </w:pPr>
            <w:r/>
            <w:r>
              <w:rPr>
                <w:rFonts w:ascii="Calibri" w:hAnsi="Calibri"/>
                <w:b w:val="0"/>
                <w:color w:val="222222"/>
                <w:sz w:val="18"/>
              </w:rPr>
              <w:t>Nominal usable mass capacity at conservative capacity</w:t>
            </w:r>
          </w:p>
        </w:tc>
        <w:tc>
          <w:tcPr>
            <w:tcW w:type="dxa" w:w="2045"/>
            <w:shd w:val="clear" w:color="auto" w:fill="F5F8FC"/>
          </w:tcPr>
          <w:p>
            <w:pPr>
              <w:spacing w:before="40" w:after="40"/>
            </w:pPr>
            <w:r/>
            <w:r>
              <w:rPr>
                <w:rFonts w:ascii="Calibri" w:hAnsi="Calibri"/>
                <w:b w:val="0"/>
                <w:color w:val="222222"/>
                <w:sz w:val="18"/>
              </w:rPr>
              <w:t>Bed volume multiplied by millilitres per litre and usable capacity, converted to kilograms; ={bed_volume_selected}*{ml_per_l}*{usable_capacity_low}/{mg_per_kg}</w:t>
            </w:r>
          </w:p>
        </w:tc>
        <w:tc>
          <w:tcPr>
            <w:tcW w:type="dxa" w:w="2045"/>
            <w:shd w:val="clear" w:color="auto" w:fill="F5F8FC"/>
          </w:tcPr>
          <w:p>
            <w:pPr>
              <w:spacing w:before="40" w:after="40"/>
            </w:pPr>
            <w:r/>
            <w:r>
              <w:rPr>
                <w:rFonts w:ascii="Calibri" w:hAnsi="Calibri"/>
                <w:b w:val="0"/>
                <w:color w:val="222222"/>
                <w:sz w:val="18"/>
              </w:rPr>
              <w:t>={bed_volume_selected}*{ml_per_l}*{usable_capacity_low}/{mg_per_kg}</w:t>
            </w:r>
          </w:p>
        </w:tc>
        <w:tc>
          <w:tcPr>
            <w:tcW w:type="dxa" w:w="2045"/>
            <w:shd w:val="clear" w:color="auto" w:fill="F5F8FC"/>
          </w:tcPr>
          <w:p>
            <w:pPr>
              <w:spacing w:before="40" w:after="40"/>
            </w:pPr>
            <w:r/>
            <w:r>
              <w:rPr>
                <w:rFonts w:ascii="Calibri" w:hAnsi="Calibri"/>
                <w:b w:val="0"/>
                <w:color w:val="222222"/>
                <w:sz w:val="18"/>
              </w:rPr>
              <w:t>kg/cycle</w:t>
            </w:r>
          </w:p>
        </w:tc>
        <w:tc>
          <w:tcPr>
            <w:tcW w:type="dxa" w:w="2045"/>
            <w:shd w:val="clear" w:color="auto" w:fill="F5F8FC"/>
          </w:tcPr>
          <w:p>
            <w:pPr>
              <w:spacing w:before="40" w:after="40"/>
            </w:pPr>
            <w:r/>
            <w:r>
              <w:rPr>
                <w:rFonts w:ascii="Calibri" w:hAnsi="Calibri"/>
                <w:b w:val="0"/>
                <w:color w:val="222222"/>
                <w:sz w:val="18"/>
              </w:rPr>
              <w:t>Must be greater than or equal to target mass per cycle</w:t>
            </w:r>
          </w:p>
        </w:tc>
      </w:tr>
      <w:tr>
        <w:tc>
          <w:tcPr>
            <w:tcW w:type="dxa" w:w="2045"/>
          </w:tcPr>
          <w:p>
            <w:pPr>
              <w:spacing w:before="40" w:after="40"/>
            </w:pPr>
            <w:r/>
            <w:r>
              <w:rPr>
                <w:rFonts w:ascii="Calibri" w:hAnsi="Calibri"/>
                <w:b w:val="0"/>
                <w:color w:val="222222"/>
                <w:sz w:val="18"/>
              </w:rPr>
              <w:t>Nominal conservative capacity margin</w:t>
            </w:r>
          </w:p>
        </w:tc>
        <w:tc>
          <w:tcPr>
            <w:tcW w:type="dxa" w:w="2045"/>
          </w:tcPr>
          <w:p>
            <w:pPr>
              <w:spacing w:before="40" w:after="40"/>
            </w:pPr>
            <w:r/>
            <w:r>
              <w:rPr>
                <w:rFonts w:ascii="Calibri" w:hAnsi="Calibri"/>
                <w:b w:val="0"/>
                <w:color w:val="222222"/>
                <w:sz w:val="18"/>
              </w:rPr>
              <w:t>Nominal capacity minus target load, divided by target load; =({nominal_mass_capacity_kg}-{target_mass_kg})/{target_mass_kg}*100</w:t>
            </w:r>
          </w:p>
        </w:tc>
        <w:tc>
          <w:tcPr>
            <w:tcW w:type="dxa" w:w="2045"/>
          </w:tcPr>
          <w:p>
            <w:pPr>
              <w:spacing w:before="40" w:after="40"/>
            </w:pPr>
            <w:r/>
            <w:r>
              <w:rPr>
                <w:rFonts w:ascii="Calibri" w:hAnsi="Calibri"/>
                <w:b w:val="0"/>
                <w:color w:val="222222"/>
                <w:sz w:val="18"/>
              </w:rPr>
              <w:t>=({nominal_mass_capacity_kg}-{target_mass_kg})/{target_mass_kg}*100</w:t>
            </w:r>
          </w:p>
        </w:tc>
        <w:tc>
          <w:tcPr>
            <w:tcW w:type="dxa" w:w="2045"/>
          </w:tcPr>
          <w:p>
            <w:pPr>
              <w:spacing w:before="40" w:after="40"/>
            </w:pPr>
            <w:r/>
            <w:r>
              <w:rPr>
                <w:rFonts w:ascii="Calibri" w:hAnsi="Calibri"/>
                <w:b w:val="0"/>
                <w:color w:val="222222"/>
                <w:sz w:val="18"/>
              </w:rPr>
              <w:t>%</w:t>
            </w:r>
          </w:p>
        </w:tc>
        <w:tc>
          <w:tcPr>
            <w:tcW w:type="dxa" w:w="2045"/>
          </w:tcPr>
          <w:p>
            <w:pPr>
              <w:spacing w:before="40" w:after="40"/>
            </w:pPr>
            <w:r/>
            <w:r>
              <w:rPr>
                <w:rFonts w:ascii="Calibri" w:hAnsi="Calibri"/>
                <w:b w:val="0"/>
                <w:color w:val="222222"/>
                <w:sz w:val="18"/>
              </w:rPr>
              <w:t>Project-required margin is not defined; zero margin is not suitable for design freeze</w:t>
            </w:r>
          </w:p>
        </w:tc>
      </w:tr>
      <w:tr>
        <w:tc>
          <w:tcPr>
            <w:tcW w:type="dxa" w:w="2045"/>
            <w:shd w:val="clear" w:color="auto" w:fill="F5F8FC"/>
          </w:tcPr>
          <w:p>
            <w:pPr>
              <w:spacing w:before="40" w:after="40"/>
            </w:pPr>
            <w:r/>
            <w:r>
              <w:rPr>
                <w:rFonts w:ascii="Calibri" w:hAnsi="Calibri"/>
                <w:b w:val="0"/>
                <w:color w:val="222222"/>
                <w:sz w:val="18"/>
              </w:rPr>
              <w:t>Screening loading flow</w:t>
            </w:r>
          </w:p>
        </w:tc>
        <w:tc>
          <w:tcPr>
            <w:tcW w:type="dxa" w:w="2045"/>
            <w:shd w:val="clear" w:color="auto" w:fill="F5F8FC"/>
          </w:tcPr>
          <w:p>
            <w:pPr>
              <w:spacing w:before="40" w:after="40"/>
            </w:pPr>
            <w:r/>
            <w:r>
              <w:rPr>
                <w:rFonts w:ascii="Calibri" w:hAnsi="Calibri"/>
                <w:b w:val="0"/>
                <w:color w:val="222222"/>
                <w:sz w:val="18"/>
              </w:rPr>
              <w:t>Selected packed-bed volume divided by selected residence time; ={bed_volume_selected}/{ebct_selected}</w:t>
            </w:r>
          </w:p>
        </w:tc>
        <w:tc>
          <w:tcPr>
            <w:tcW w:type="dxa" w:w="2045"/>
            <w:shd w:val="clear" w:color="auto" w:fill="F5F8FC"/>
          </w:tcPr>
          <w:p>
            <w:pPr>
              <w:spacing w:before="40" w:after="40"/>
            </w:pPr>
            <w:r/>
            <w:r>
              <w:rPr>
                <w:rFonts w:ascii="Calibri" w:hAnsi="Calibri"/>
                <w:b w:val="0"/>
                <w:color w:val="222222"/>
                <w:sz w:val="18"/>
              </w:rPr>
              <w:t>={bed_volume_selected}/{ebct_selected}</w:t>
            </w:r>
          </w:p>
        </w:tc>
        <w:tc>
          <w:tcPr>
            <w:tcW w:type="dxa" w:w="2045"/>
            <w:shd w:val="clear" w:color="auto" w:fill="F5F8FC"/>
          </w:tcPr>
          <w:p>
            <w:pPr>
              <w:spacing w:before="40" w:after="40"/>
            </w:pPr>
            <w:r/>
            <w:r>
              <w:rPr>
                <w:rFonts w:ascii="Calibri" w:hAnsi="Calibri"/>
                <w:b w:val="0"/>
                <w:color w:val="222222"/>
                <w:sz w:val="18"/>
              </w:rPr>
              <w:t>L/min</w:t>
            </w:r>
          </w:p>
        </w:tc>
        <w:tc>
          <w:tcPr>
            <w:tcW w:type="dxa" w:w="2045"/>
            <w:shd w:val="clear" w:color="auto" w:fill="F5F8FC"/>
          </w:tcPr>
          <w:p>
            <w:pPr>
              <w:spacing w:before="40" w:after="40"/>
            </w:pPr>
            <w:r/>
            <w:r>
              <w:rPr>
                <w:rFonts w:ascii="Calibri" w:hAnsi="Calibri"/>
                <w:b w:val="0"/>
                <w:color w:val="222222"/>
                <w:sz w:val="18"/>
              </w:rPr>
              <w:t>Selected residence time must remain within the validated range and match the capacity basis</w:t>
            </w:r>
          </w:p>
        </w:tc>
      </w:tr>
      <w:tr>
        <w:tc>
          <w:tcPr>
            <w:tcW w:type="dxa" w:w="2045"/>
          </w:tcPr>
          <w:p>
            <w:pPr>
              <w:spacing w:before="40" w:after="40"/>
            </w:pPr>
            <w:r/>
            <w:r>
              <w:rPr>
                <w:rFonts w:ascii="Calibri" w:hAnsi="Calibri"/>
                <w:b w:val="0"/>
                <w:color w:val="222222"/>
                <w:sz w:val="18"/>
              </w:rPr>
              <w:t>Flow at minimum residence-time boundary</w:t>
            </w:r>
          </w:p>
        </w:tc>
        <w:tc>
          <w:tcPr>
            <w:tcW w:type="dxa" w:w="2045"/>
          </w:tcPr>
          <w:p>
            <w:pPr>
              <w:spacing w:before="40" w:after="40"/>
            </w:pPr>
            <w:r/>
            <w:r>
              <w:rPr>
                <w:rFonts w:ascii="Calibri" w:hAnsi="Calibri"/>
                <w:b w:val="0"/>
                <w:color w:val="222222"/>
                <w:sz w:val="18"/>
              </w:rPr>
              <w:t>Selected packed-bed volume divided by the DIR minimum-time boundary; ={bed_volume_selected}/{ebct_min_boundary}</w:t>
            </w:r>
          </w:p>
        </w:tc>
        <w:tc>
          <w:tcPr>
            <w:tcW w:type="dxa" w:w="2045"/>
          </w:tcPr>
          <w:p>
            <w:pPr>
              <w:spacing w:before="40" w:after="40"/>
            </w:pPr>
            <w:r/>
            <w:r>
              <w:rPr>
                <w:rFonts w:ascii="Calibri" w:hAnsi="Calibri"/>
                <w:b w:val="0"/>
                <w:color w:val="222222"/>
                <w:sz w:val="18"/>
              </w:rPr>
              <w:t>={bed_volume_selected}/{ebct_min_boundary}</w:t>
            </w:r>
          </w:p>
        </w:tc>
        <w:tc>
          <w:tcPr>
            <w:tcW w:type="dxa" w:w="2045"/>
          </w:tcPr>
          <w:p>
            <w:pPr>
              <w:spacing w:before="40" w:after="40"/>
            </w:pPr>
            <w:r/>
            <w:r>
              <w:rPr>
                <w:rFonts w:ascii="Calibri" w:hAnsi="Calibri"/>
                <w:b w:val="0"/>
                <w:color w:val="222222"/>
                <w:sz w:val="18"/>
              </w:rPr>
              <w:t>L/min</w:t>
            </w:r>
          </w:p>
        </w:tc>
        <w:tc>
          <w:tcPr>
            <w:tcW w:type="dxa" w:w="2045"/>
          </w:tcPr>
          <w:p>
            <w:pPr>
              <w:spacing w:before="40" w:after="40"/>
            </w:pPr>
            <w:r/>
            <w:r>
              <w:rPr>
                <w:rFonts w:ascii="Calibri" w:hAnsi="Calibri"/>
                <w:b w:val="0"/>
                <w:color w:val="222222"/>
                <w:sz w:val="18"/>
              </w:rPr>
              <w:t>Boundary only; actual loading flow must be lower because residence time must be greater than the boundary</w:t>
            </w:r>
          </w:p>
        </w:tc>
      </w:tr>
      <w:tr>
        <w:tc>
          <w:tcPr>
            <w:tcW w:type="dxa" w:w="2045"/>
            <w:shd w:val="clear" w:color="auto" w:fill="F5F8FC"/>
          </w:tcPr>
          <w:p>
            <w:pPr>
              <w:spacing w:before="40" w:after="40"/>
            </w:pPr>
            <w:r/>
            <w:r>
              <w:rPr>
                <w:rFonts w:ascii="Calibri" w:hAnsi="Calibri"/>
                <w:b w:val="0"/>
                <w:color w:val="222222"/>
                <w:sz w:val="18"/>
              </w:rPr>
              <w:t>Loading superficial velocity</w:t>
            </w:r>
          </w:p>
        </w:tc>
        <w:tc>
          <w:tcPr>
            <w:tcW w:type="dxa" w:w="2045"/>
            <w:shd w:val="clear" w:color="auto" w:fill="F5F8FC"/>
          </w:tcPr>
          <w:p>
            <w:pPr>
              <w:spacing w:before="40" w:after="40"/>
            </w:pPr>
            <w:r/>
            <w:r>
              <w:rPr>
                <w:rFonts w:ascii="Calibri" w:hAnsi="Calibri"/>
                <w:b w:val="0"/>
                <w:color w:val="222222"/>
                <w:sz w:val="18"/>
              </w:rPr>
              <w:t>Selected bed height divided by residence time and converted from metres per minute to centimetres per hour; ={bed_height_selected}/{ebct_selected}*100*60</w:t>
            </w:r>
          </w:p>
        </w:tc>
        <w:tc>
          <w:tcPr>
            <w:tcW w:type="dxa" w:w="2045"/>
            <w:shd w:val="clear" w:color="auto" w:fill="F5F8FC"/>
          </w:tcPr>
          <w:p>
            <w:pPr>
              <w:spacing w:before="40" w:after="40"/>
            </w:pPr>
            <w:r/>
            <w:r>
              <w:rPr>
                <w:rFonts w:ascii="Calibri" w:hAnsi="Calibri"/>
                <w:b w:val="0"/>
                <w:color w:val="222222"/>
                <w:sz w:val="18"/>
              </w:rPr>
              <w:t>={bed_height_selected}/{ebct_selected}*100*60</w:t>
            </w:r>
          </w:p>
        </w:tc>
        <w:tc>
          <w:tcPr>
            <w:tcW w:type="dxa" w:w="2045"/>
            <w:shd w:val="clear" w:color="auto" w:fill="F5F8FC"/>
          </w:tcPr>
          <w:p>
            <w:pPr>
              <w:spacing w:before="40" w:after="40"/>
            </w:pPr>
            <w:r/>
            <w:r>
              <w:rPr>
                <w:rFonts w:ascii="Calibri" w:hAnsi="Calibri"/>
                <w:b w:val="0"/>
                <w:color w:val="222222"/>
                <w:sz w:val="18"/>
              </w:rPr>
              <w:t>cm/h</w:t>
            </w:r>
          </w:p>
        </w:tc>
        <w:tc>
          <w:tcPr>
            <w:tcW w:type="dxa" w:w="2045"/>
            <w:shd w:val="clear" w:color="auto" w:fill="F5F8FC"/>
          </w:tcPr>
          <w:p>
            <w:pPr>
              <w:spacing w:before="40" w:after="40"/>
            </w:pPr>
            <w:r/>
            <w:r>
              <w:rPr>
                <w:rFonts w:ascii="Calibri" w:hAnsi="Calibri"/>
                <w:b w:val="0"/>
                <w:color w:val="222222"/>
                <w:sz w:val="18"/>
              </w:rPr>
              <w:t>Must be within resin pressure-flow and performance limits</w:t>
            </w:r>
          </w:p>
        </w:tc>
      </w:tr>
      <w:tr>
        <w:tc>
          <w:tcPr>
            <w:tcW w:type="dxa" w:w="2045"/>
          </w:tcPr>
          <w:p>
            <w:pPr>
              <w:spacing w:before="40" w:after="40"/>
            </w:pPr>
            <w:r/>
            <w:r>
              <w:rPr>
                <w:rFonts w:ascii="Calibri" w:hAnsi="Calibri"/>
                <w:b w:val="0"/>
                <w:color w:val="222222"/>
                <w:sz w:val="18"/>
              </w:rPr>
              <w:t>Boundary process flow conversion</w:t>
            </w:r>
          </w:p>
        </w:tc>
        <w:tc>
          <w:tcPr>
            <w:tcW w:type="dxa" w:w="2045"/>
          </w:tcPr>
          <w:p>
            <w:pPr>
              <w:spacing w:before="40" w:after="40"/>
            </w:pPr>
            <w:r/>
            <w:r>
              <w:rPr>
                <w:rFonts w:ascii="Calibri" w:hAnsi="Calibri"/>
                <w:b w:val="0"/>
                <w:color w:val="222222"/>
                <w:sz w:val="18"/>
              </w:rPr>
              <w:t>Boundary flow converted from litres per minute to cubic metres per second; ={load_flow_boundary}/{l_per_m3}/60</w:t>
            </w:r>
          </w:p>
        </w:tc>
        <w:tc>
          <w:tcPr>
            <w:tcW w:type="dxa" w:w="2045"/>
          </w:tcPr>
          <w:p>
            <w:pPr>
              <w:spacing w:before="40" w:after="40"/>
            </w:pPr>
            <w:r/>
            <w:r>
              <w:rPr>
                <w:rFonts w:ascii="Calibri" w:hAnsi="Calibri"/>
                <w:b w:val="0"/>
                <w:color w:val="222222"/>
                <w:sz w:val="18"/>
              </w:rPr>
              <w:t>={load_flow_boundary}/{l_per_m3}/60</w:t>
            </w:r>
          </w:p>
        </w:tc>
        <w:tc>
          <w:tcPr>
            <w:tcW w:type="dxa" w:w="2045"/>
          </w:tcPr>
          <w:p>
            <w:pPr>
              <w:spacing w:before="40" w:after="40"/>
            </w:pPr>
            <w:r/>
            <w:r>
              <w:rPr>
                <w:rFonts w:ascii="Calibri" w:hAnsi="Calibri"/>
                <w:b w:val="0"/>
                <w:color w:val="222222"/>
                <w:sz w:val="18"/>
              </w:rPr>
              <w:t>m³/s</w:t>
            </w:r>
          </w:p>
        </w:tc>
        <w:tc>
          <w:tcPr>
            <w:tcW w:type="dxa" w:w="2045"/>
          </w:tcPr>
          <w:p>
            <w:pPr>
              <w:spacing w:before="40" w:after="40"/>
            </w:pPr>
            <w:r/>
            <w:r>
              <w:rPr>
                <w:rFonts w:ascii="Calibri" w:hAnsi="Calibri"/>
                <w:b w:val="0"/>
                <w:color w:val="222222"/>
                <w:sz w:val="18"/>
              </w:rPr>
              <w:t>Conversion used for connection screening</w:t>
            </w:r>
          </w:p>
        </w:tc>
      </w:tr>
      <w:tr>
        <w:tc>
          <w:tcPr>
            <w:tcW w:type="dxa" w:w="2045"/>
            <w:shd w:val="clear" w:color="auto" w:fill="F5F8FC"/>
          </w:tcPr>
          <w:p>
            <w:pPr>
              <w:spacing w:before="40" w:after="40"/>
            </w:pPr>
            <w:r/>
            <w:r>
              <w:rPr>
                <w:rFonts w:ascii="Calibri" w:hAnsi="Calibri"/>
                <w:b w:val="0"/>
                <w:color w:val="222222"/>
                <w:sz w:val="18"/>
              </w:rPr>
              <w:t>Main connection flow area</w:t>
            </w:r>
          </w:p>
        </w:tc>
        <w:tc>
          <w:tcPr>
            <w:tcW w:type="dxa" w:w="2045"/>
            <w:shd w:val="clear" w:color="auto" w:fill="F5F8FC"/>
          </w:tcPr>
          <w:p>
            <w:pPr>
              <w:spacing w:before="40" w:after="40"/>
            </w:pPr>
            <w:r/>
            <w:r>
              <w:rPr>
                <w:rFonts w:ascii="Calibri" w:hAnsi="Calibri"/>
                <w:b w:val="0"/>
                <w:color w:val="222222"/>
                <w:sz w:val="18"/>
              </w:rPr>
              <w:t>Pi times assumed bore squared divided by four; =PI()*{main_nozzle_id}^2/4</w:t>
            </w:r>
          </w:p>
        </w:tc>
        <w:tc>
          <w:tcPr>
            <w:tcW w:type="dxa" w:w="2045"/>
            <w:shd w:val="clear" w:color="auto" w:fill="F5F8FC"/>
          </w:tcPr>
          <w:p>
            <w:pPr>
              <w:spacing w:before="40" w:after="40"/>
            </w:pPr>
            <w:r/>
            <w:r>
              <w:rPr>
                <w:rFonts w:ascii="Calibri" w:hAnsi="Calibri"/>
                <w:b w:val="0"/>
                <w:color w:val="222222"/>
                <w:sz w:val="18"/>
              </w:rPr>
              <w:t>=PI()*{main_nozzle_id}^2/4</w:t>
            </w:r>
          </w:p>
        </w:tc>
        <w:tc>
          <w:tcPr>
            <w:tcW w:type="dxa" w:w="2045"/>
            <w:shd w:val="clear" w:color="auto" w:fill="F5F8FC"/>
          </w:tcPr>
          <w:p>
            <w:pPr>
              <w:spacing w:before="40" w:after="40"/>
            </w:pPr>
            <w:r/>
            <w:r>
              <w:rPr>
                <w:rFonts w:ascii="Calibri" w:hAnsi="Calibri"/>
                <w:b w:val="0"/>
                <w:color w:val="222222"/>
                <w:sz w:val="18"/>
              </w:rPr>
              <w:t>m²</w:t>
            </w:r>
          </w:p>
        </w:tc>
        <w:tc>
          <w:tcPr>
            <w:tcW w:type="dxa" w:w="2045"/>
            <w:shd w:val="clear" w:color="auto" w:fill="F5F8FC"/>
          </w:tcPr>
          <w:p>
            <w:pPr>
              <w:spacing w:before="40" w:after="40"/>
            </w:pPr>
            <w:r/>
            <w:r>
              <w:rPr>
                <w:rFonts w:ascii="Calibri" w:hAnsi="Calibri"/>
                <w:b w:val="0"/>
                <w:color w:val="222222"/>
                <w:sz w:val="18"/>
              </w:rPr>
              <w:t>Final bore must be based on the selected sanitary tube and ferrule schedule</w:t>
            </w:r>
          </w:p>
        </w:tc>
      </w:tr>
      <w:tr>
        <w:tc>
          <w:tcPr>
            <w:tcW w:type="dxa" w:w="2045"/>
          </w:tcPr>
          <w:p>
            <w:pPr>
              <w:spacing w:before="40" w:after="40"/>
            </w:pPr>
            <w:r/>
            <w:r>
              <w:rPr>
                <w:rFonts w:ascii="Calibri" w:hAnsi="Calibri"/>
                <w:b w:val="0"/>
                <w:color w:val="222222"/>
                <w:sz w:val="18"/>
              </w:rPr>
              <w:t>Main inlet and outlet velocity</w:t>
            </w:r>
          </w:p>
        </w:tc>
        <w:tc>
          <w:tcPr>
            <w:tcW w:type="dxa" w:w="2045"/>
          </w:tcPr>
          <w:p>
            <w:pPr>
              <w:spacing w:before="40" w:after="40"/>
            </w:pPr>
            <w:r/>
            <w:r>
              <w:rPr>
                <w:rFonts w:ascii="Calibri" w:hAnsi="Calibri"/>
                <w:b w:val="0"/>
                <w:color w:val="222222"/>
                <w:sz w:val="18"/>
              </w:rPr>
              <w:t>Boundary volumetric flow divided by connection flow area; ={boundary_flow_m3s}/{main_nozzle_area}</w:t>
            </w:r>
          </w:p>
        </w:tc>
        <w:tc>
          <w:tcPr>
            <w:tcW w:type="dxa" w:w="2045"/>
          </w:tcPr>
          <w:p>
            <w:pPr>
              <w:spacing w:before="40" w:after="40"/>
            </w:pPr>
            <w:r/>
            <w:r>
              <w:rPr>
                <w:rFonts w:ascii="Calibri" w:hAnsi="Calibri"/>
                <w:b w:val="0"/>
                <w:color w:val="222222"/>
                <w:sz w:val="18"/>
              </w:rPr>
              <w:t>={boundary_flow_m3s}/{main_nozzle_area}</w:t>
            </w:r>
          </w:p>
        </w:tc>
        <w:tc>
          <w:tcPr>
            <w:tcW w:type="dxa" w:w="2045"/>
          </w:tcPr>
          <w:p>
            <w:pPr>
              <w:spacing w:before="40" w:after="40"/>
            </w:pPr>
            <w:r/>
            <w:r>
              <w:rPr>
                <w:rFonts w:ascii="Calibri" w:hAnsi="Calibri"/>
                <w:b w:val="0"/>
                <w:color w:val="222222"/>
                <w:sz w:val="18"/>
              </w:rPr>
              <w:t>m/s</w:t>
            </w:r>
          </w:p>
        </w:tc>
        <w:tc>
          <w:tcPr>
            <w:tcW w:type="dxa" w:w="2045"/>
          </w:tcPr>
          <w:p>
            <w:pPr>
              <w:spacing w:before="40" w:after="40"/>
            </w:pPr>
            <w:r/>
            <w:r>
              <w:rPr>
                <w:rFonts w:ascii="Calibri" w:hAnsi="Calibri"/>
                <w:b w:val="0"/>
                <w:color w:val="222222"/>
                <w:sz w:val="18"/>
              </w:rPr>
              <w:t>Must not exceed the preliminary hygienic liquid-line velocity limit</w:t>
            </w:r>
          </w:p>
        </w:tc>
      </w:tr>
      <w:tr>
        <w:tc>
          <w:tcPr>
            <w:tcW w:type="dxa" w:w="2045"/>
            <w:shd w:val="clear" w:color="auto" w:fill="F5F8FC"/>
          </w:tcPr>
          <w:p>
            <w:pPr>
              <w:spacing w:before="40" w:after="40"/>
            </w:pPr>
            <w:r/>
            <w:r>
              <w:rPr>
                <w:rFonts w:ascii="Calibri" w:hAnsi="Calibri"/>
                <w:b w:val="0"/>
                <w:color w:val="222222"/>
                <w:sz w:val="18"/>
              </w:rPr>
              <w:t>Main connection local pressure loss</w:t>
            </w:r>
          </w:p>
        </w:tc>
        <w:tc>
          <w:tcPr>
            <w:tcW w:type="dxa" w:w="2045"/>
            <w:shd w:val="clear" w:color="auto" w:fill="F5F8FC"/>
          </w:tcPr>
          <w:p>
            <w:pPr>
              <w:spacing w:before="40" w:after="40"/>
            </w:pPr>
            <w:r/>
            <w:r>
              <w:rPr>
                <w:rFonts w:ascii="Calibri" w:hAnsi="Calibri"/>
                <w:b w:val="0"/>
                <w:color w:val="222222"/>
                <w:sz w:val="18"/>
              </w:rPr>
              <w:t>Local-loss coefficient times density times velocity squared divided by two and converted to bar; ={local_loss_k}*{reference_density}*{main_nozzle_velocity}^2/2/{pa_per_bar}</w:t>
            </w:r>
          </w:p>
        </w:tc>
        <w:tc>
          <w:tcPr>
            <w:tcW w:type="dxa" w:w="2045"/>
            <w:shd w:val="clear" w:color="auto" w:fill="F5F8FC"/>
          </w:tcPr>
          <w:p>
            <w:pPr>
              <w:spacing w:before="40" w:after="40"/>
            </w:pPr>
            <w:r/>
            <w:r>
              <w:rPr>
                <w:rFonts w:ascii="Calibri" w:hAnsi="Calibri"/>
                <w:b w:val="0"/>
                <w:color w:val="222222"/>
                <w:sz w:val="18"/>
              </w:rPr>
              <w:t>={local_loss_k}*{reference_density}*{main_nozzle_velocity}^2/2/{pa_per_bar}</w:t>
            </w:r>
          </w:p>
        </w:tc>
        <w:tc>
          <w:tcPr>
            <w:tcW w:type="dxa" w:w="2045"/>
            <w:shd w:val="clear" w:color="auto" w:fill="F5F8FC"/>
          </w:tcPr>
          <w:p>
            <w:pPr>
              <w:spacing w:before="40" w:after="40"/>
            </w:pPr>
            <w:r/>
            <w:r>
              <w:rPr>
                <w:rFonts w:ascii="Calibri" w:hAnsi="Calibri"/>
                <w:b w:val="0"/>
                <w:color w:val="222222"/>
                <w:sz w:val="18"/>
              </w:rPr>
              <w:t>bar</w:t>
            </w:r>
          </w:p>
        </w:tc>
        <w:tc>
          <w:tcPr>
            <w:tcW w:type="dxa" w:w="2045"/>
            <w:shd w:val="clear" w:color="auto" w:fill="F5F8FC"/>
          </w:tcPr>
          <w:p>
            <w:pPr>
              <w:spacing w:before="40" w:after="40"/>
            </w:pPr>
            <w:r/>
            <w:r>
              <w:rPr>
                <w:rFonts w:ascii="Calibri" w:hAnsi="Calibri"/>
                <w:b w:val="0"/>
                <w:color w:val="222222"/>
                <w:sz w:val="18"/>
              </w:rPr>
              <w:t>Reference-only loss; distributor, frit, bed, valves, reducers, and external piping remain excluded</w:t>
            </w:r>
          </w:p>
        </w:tc>
      </w:tr>
      <w:tr>
        <w:tc>
          <w:tcPr>
            <w:tcW w:type="dxa" w:w="2045"/>
          </w:tcPr>
          <w:p>
            <w:pPr>
              <w:spacing w:before="40" w:after="40"/>
            </w:pPr>
            <w:r/>
            <w:r>
              <w:rPr>
                <w:rFonts w:ascii="Calibri" w:hAnsi="Calibri"/>
                <w:b w:val="0"/>
                <w:color w:val="222222"/>
                <w:sz w:val="18"/>
              </w:rPr>
              <w:t>Vent flow area</w:t>
            </w:r>
          </w:p>
        </w:tc>
        <w:tc>
          <w:tcPr>
            <w:tcW w:type="dxa" w:w="2045"/>
          </w:tcPr>
          <w:p>
            <w:pPr>
              <w:spacing w:before="40" w:after="40"/>
            </w:pPr>
            <w:r/>
            <w:r>
              <w:rPr>
                <w:rFonts w:ascii="Calibri" w:hAnsi="Calibri"/>
                <w:b w:val="0"/>
                <w:color w:val="222222"/>
                <w:sz w:val="18"/>
              </w:rPr>
              <w:t>Pi times assumed vent bore squared divided by four; =PI()*{vent_id}^2/4</w:t>
            </w:r>
          </w:p>
        </w:tc>
        <w:tc>
          <w:tcPr>
            <w:tcW w:type="dxa" w:w="2045"/>
          </w:tcPr>
          <w:p>
            <w:pPr>
              <w:spacing w:before="40" w:after="40"/>
            </w:pPr>
            <w:r/>
            <w:r>
              <w:rPr>
                <w:rFonts w:ascii="Calibri" w:hAnsi="Calibri"/>
                <w:b w:val="0"/>
                <w:color w:val="222222"/>
                <w:sz w:val="18"/>
              </w:rPr>
              <w:t>=PI()*{vent_id}^2/4</w:t>
            </w:r>
          </w:p>
        </w:tc>
        <w:tc>
          <w:tcPr>
            <w:tcW w:type="dxa" w:w="2045"/>
          </w:tcPr>
          <w:p>
            <w:pPr>
              <w:spacing w:before="40" w:after="40"/>
            </w:pPr>
            <w:r/>
            <w:r>
              <w:rPr>
                <w:rFonts w:ascii="Calibri" w:hAnsi="Calibri"/>
                <w:b w:val="0"/>
                <w:color w:val="222222"/>
                <w:sz w:val="18"/>
              </w:rPr>
              <w:t>m²</w:t>
            </w:r>
          </w:p>
        </w:tc>
        <w:tc>
          <w:tcPr>
            <w:tcW w:type="dxa" w:w="2045"/>
          </w:tcPr>
          <w:p>
            <w:pPr>
              <w:spacing w:before="40" w:after="40"/>
            </w:pPr>
            <w:r/>
            <w:r>
              <w:rPr>
                <w:rFonts w:ascii="Calibri" w:hAnsi="Calibri"/>
                <w:b w:val="0"/>
                <w:color w:val="222222"/>
                <w:sz w:val="18"/>
              </w:rPr>
              <w:t>Vendor must verify gas-flow capacity and sanitary vent arrangement</w:t>
            </w:r>
          </w:p>
        </w:tc>
      </w:tr>
      <w:tr>
        <w:tc>
          <w:tcPr>
            <w:tcW w:type="dxa" w:w="2045"/>
            <w:shd w:val="clear" w:color="auto" w:fill="F5F8FC"/>
          </w:tcPr>
          <w:p>
            <w:pPr>
              <w:spacing w:before="40" w:after="40"/>
            </w:pPr>
            <w:r/>
            <w:r>
              <w:rPr>
                <w:rFonts w:ascii="Calibri" w:hAnsi="Calibri"/>
                <w:b w:val="0"/>
                <w:color w:val="222222"/>
                <w:sz w:val="18"/>
              </w:rPr>
              <w:t>Vent displacement-air velocity</w:t>
            </w:r>
          </w:p>
        </w:tc>
        <w:tc>
          <w:tcPr>
            <w:tcW w:type="dxa" w:w="2045"/>
            <w:shd w:val="clear" w:color="auto" w:fill="F5F8FC"/>
          </w:tcPr>
          <w:p>
            <w:pPr>
              <w:spacing w:before="40" w:after="40"/>
            </w:pPr>
            <w:r/>
            <w:r>
              <w:rPr>
                <w:rFonts w:ascii="Calibri" w:hAnsi="Calibri"/>
                <w:b w:val="0"/>
                <w:color w:val="222222"/>
                <w:sz w:val="18"/>
              </w:rPr>
              <w:t>Boundary displacement flow divided by vent area; ={boundary_flow_m3s}/{vent_area}</w:t>
            </w:r>
          </w:p>
        </w:tc>
        <w:tc>
          <w:tcPr>
            <w:tcW w:type="dxa" w:w="2045"/>
            <w:shd w:val="clear" w:color="auto" w:fill="F5F8FC"/>
          </w:tcPr>
          <w:p>
            <w:pPr>
              <w:spacing w:before="40" w:after="40"/>
            </w:pPr>
            <w:r/>
            <w:r>
              <w:rPr>
                <w:rFonts w:ascii="Calibri" w:hAnsi="Calibri"/>
                <w:b w:val="0"/>
                <w:color w:val="222222"/>
                <w:sz w:val="18"/>
              </w:rPr>
              <w:t>={boundary_flow_m3s}/{vent_area}</w:t>
            </w:r>
          </w:p>
        </w:tc>
        <w:tc>
          <w:tcPr>
            <w:tcW w:type="dxa" w:w="2045"/>
            <w:shd w:val="clear" w:color="auto" w:fill="F5F8FC"/>
          </w:tcPr>
          <w:p>
            <w:pPr>
              <w:spacing w:before="40" w:after="40"/>
            </w:pPr>
            <w:r/>
            <w:r>
              <w:rPr>
                <w:rFonts w:ascii="Calibri" w:hAnsi="Calibri"/>
                <w:b w:val="0"/>
                <w:color w:val="222222"/>
                <w:sz w:val="18"/>
              </w:rPr>
              <w:t>m/s</w:t>
            </w:r>
          </w:p>
        </w:tc>
        <w:tc>
          <w:tcPr>
            <w:tcW w:type="dxa" w:w="2045"/>
            <w:shd w:val="clear" w:color="auto" w:fill="F5F8FC"/>
          </w:tcPr>
          <w:p>
            <w:pPr>
              <w:spacing w:before="40" w:after="40"/>
            </w:pPr>
            <w:r/>
            <w:r>
              <w:rPr>
                <w:rFonts w:ascii="Calibri" w:hAnsi="Calibri"/>
                <w:b w:val="0"/>
                <w:color w:val="222222"/>
                <w:sz w:val="18"/>
              </w:rPr>
              <w:t>Screening only; verify filter, valve, pressure, and vacuum cases</w:t>
            </w:r>
          </w:p>
        </w:tc>
      </w:tr>
      <w:tr>
        <w:tc>
          <w:tcPr>
            <w:tcW w:type="dxa" w:w="2045"/>
          </w:tcPr>
          <w:p>
            <w:pPr>
              <w:spacing w:before="40" w:after="40"/>
            </w:pPr>
            <w:r/>
            <w:r>
              <w:rPr>
                <w:rFonts w:ascii="Calibri" w:hAnsi="Calibri"/>
                <w:b w:val="0"/>
                <w:color w:val="222222"/>
                <w:sz w:val="18"/>
              </w:rPr>
              <w:t>Estimated resin slurry volume</w:t>
            </w:r>
          </w:p>
        </w:tc>
        <w:tc>
          <w:tcPr>
            <w:tcW w:type="dxa" w:w="2045"/>
          </w:tcPr>
          <w:p>
            <w:pPr>
              <w:spacing w:before="40" w:after="40"/>
            </w:pPr>
            <w:r/>
            <w:r>
              <w:rPr>
                <w:rFonts w:ascii="Calibri" w:hAnsi="Calibri"/>
                <w:b w:val="0"/>
                <w:color w:val="222222"/>
                <w:sz w:val="18"/>
              </w:rPr>
              <w:t>Selected packed-resin volume divided by settled-resin fraction; ={bed_volume_selected}/{settled_resin_fraction}</w:t>
            </w:r>
          </w:p>
        </w:tc>
        <w:tc>
          <w:tcPr>
            <w:tcW w:type="dxa" w:w="2045"/>
          </w:tcPr>
          <w:p>
            <w:pPr>
              <w:spacing w:before="40" w:after="40"/>
            </w:pPr>
            <w:r/>
            <w:r>
              <w:rPr>
                <w:rFonts w:ascii="Calibri" w:hAnsi="Calibri"/>
                <w:b w:val="0"/>
                <w:color w:val="222222"/>
                <w:sz w:val="18"/>
              </w:rPr>
              <w:t>={bed_volume_selected}/{settled_resin_fraction}</w:t>
            </w:r>
          </w:p>
        </w:tc>
        <w:tc>
          <w:tcPr>
            <w:tcW w:type="dxa" w:w="2045"/>
          </w:tcPr>
          <w:p>
            <w:pPr>
              <w:spacing w:before="40" w:after="40"/>
            </w:pPr>
            <w:r/>
            <w:r>
              <w:rPr>
                <w:rFonts w:ascii="Calibri" w:hAnsi="Calibri"/>
                <w:b w:val="0"/>
                <w:color w:val="222222"/>
                <w:sz w:val="18"/>
              </w:rPr>
              <w:t>L</w:t>
            </w:r>
          </w:p>
        </w:tc>
        <w:tc>
          <w:tcPr>
            <w:tcW w:type="dxa" w:w="2045"/>
          </w:tcPr>
          <w:p>
            <w:pPr>
              <w:spacing w:before="40" w:after="40"/>
            </w:pPr>
            <w:r/>
            <w:r>
              <w:rPr>
                <w:rFonts w:ascii="Calibri" w:hAnsi="Calibri"/>
                <w:b w:val="0"/>
                <w:color w:val="222222"/>
                <w:sz w:val="18"/>
              </w:rPr>
              <w:t>Replace with resin supplier and packing-procedure data</w:t>
            </w:r>
          </w:p>
        </w:tc>
      </w:tr>
      <w:tr>
        <w:tc>
          <w:tcPr>
            <w:tcW w:type="dxa" w:w="2045"/>
            <w:shd w:val="clear" w:color="auto" w:fill="F5F8FC"/>
          </w:tcPr>
          <w:p>
            <w:pPr>
              <w:spacing w:before="40" w:after="40"/>
            </w:pPr>
            <w:r/>
            <w:r>
              <w:rPr>
                <w:rFonts w:ascii="Calibri" w:hAnsi="Calibri"/>
                <w:b w:val="0"/>
                <w:color w:val="222222"/>
                <w:sz w:val="18"/>
              </w:rPr>
              <w:t>Estimated slurry transfer duration</w:t>
            </w:r>
          </w:p>
        </w:tc>
        <w:tc>
          <w:tcPr>
            <w:tcW w:type="dxa" w:w="2045"/>
            <w:shd w:val="clear" w:color="auto" w:fill="F5F8FC"/>
          </w:tcPr>
          <w:p>
            <w:pPr>
              <w:spacing w:before="40" w:after="40"/>
            </w:pPr>
            <w:r/>
            <w:r>
              <w:rPr>
                <w:rFonts w:ascii="Calibri" w:hAnsi="Calibri"/>
                <w:b w:val="0"/>
                <w:color w:val="222222"/>
                <w:sz w:val="18"/>
              </w:rPr>
              <w:t>Estimated slurry volume divided by assumed slurry flow; ={slurry_volume}/{slurry_flow}</w:t>
            </w:r>
          </w:p>
        </w:tc>
        <w:tc>
          <w:tcPr>
            <w:tcW w:type="dxa" w:w="2045"/>
            <w:shd w:val="clear" w:color="auto" w:fill="F5F8FC"/>
          </w:tcPr>
          <w:p>
            <w:pPr>
              <w:spacing w:before="40" w:after="40"/>
            </w:pPr>
            <w:r/>
            <w:r>
              <w:rPr>
                <w:rFonts w:ascii="Calibri" w:hAnsi="Calibri"/>
                <w:b w:val="0"/>
                <w:color w:val="222222"/>
                <w:sz w:val="18"/>
              </w:rPr>
              <w:t>={slurry_volume}/{slurry_flow}</w:t>
            </w:r>
          </w:p>
        </w:tc>
        <w:tc>
          <w:tcPr>
            <w:tcW w:type="dxa" w:w="2045"/>
            <w:shd w:val="clear" w:color="auto" w:fill="F5F8FC"/>
          </w:tcPr>
          <w:p>
            <w:pPr>
              <w:spacing w:before="40" w:after="40"/>
            </w:pPr>
            <w:r/>
            <w:r>
              <w:rPr>
                <w:rFonts w:ascii="Calibri" w:hAnsi="Calibri"/>
                <w:b w:val="0"/>
                <w:color w:val="222222"/>
                <w:sz w:val="18"/>
              </w:rPr>
              <w:t>min</w:t>
            </w:r>
          </w:p>
        </w:tc>
        <w:tc>
          <w:tcPr>
            <w:tcW w:type="dxa" w:w="2045"/>
            <w:shd w:val="clear" w:color="auto" w:fill="F5F8FC"/>
          </w:tcPr>
          <w:p>
            <w:pPr>
              <w:spacing w:before="40" w:after="40"/>
            </w:pPr>
            <w:r/>
            <w:r>
              <w:rPr>
                <w:rFonts w:ascii="Calibri" w:hAnsi="Calibri"/>
                <w:b w:val="0"/>
                <w:color w:val="222222"/>
                <w:sz w:val="18"/>
              </w:rPr>
              <w:t>Must be compatible with resin shear, settling, hose, valve, and packing limits</w:t>
            </w:r>
          </w:p>
        </w:tc>
      </w:tr>
    </w:tbl>
    <w:p/>
    <w:sectPr w:rsidR="00FC693F" w:rsidRPr="0006063C" w:rsidSect="00034616">
      <w:headerReference w:type="default" r:id="rId9"/>
      <w:footerReference w:type="default" r:id="rId10"/>
      <w:pgSz w:w="12240" w:h="15840"/>
      <w:pgMar w:top="1224"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b w:val="0"/>
        <w:color w:val="5B6770"/>
        <w:sz w:val="16"/>
      </w:rPr>
      <w:t>Edit in Word, then Save as PDF if a locked copy is needed.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b w:val="0"/>
        <w:color w:val="5B6770"/>
        <w:sz w:val="16"/>
      </w:rPr>
      <w:t>HIC Chromatography Column Sizing • Basis: user DIR code 2-3-3-2-3-1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