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auto" w:line="240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>УДК: 004.75:519.2</w:t>
      </w:r>
    </w:p>
    <w:p>
      <w:pPr>
        <w:spacing w:before="0" w:after="0" w:lineRule="auto" w:line="240"/>
        <w:ind w:firstLine="0"/>
        <w:jc w:val="right"/>
      </w:pPr>
      <w:r>
        <w:rPr>
          <w:rFonts w:ascii="Times New Roman" w:hAnsi="Times New Roman" w:cs="Times New Roman" w:eastAsia="Times New Roman"/>
          <w:b/>
          <w:i/>
          <w:caps/>
          <w:sz w:val="22"/>
          <w:lang w:val="uk-UA" w:eastAsia="uk-UA"/>
        </w:rPr>
        <w:t>ПЕНЯК Б. О., ЛЮБІНСЬКИЙ Б. Б.</w:t>
      </w:r>
    </w:p>
    <w:p>
      <w:pPr>
        <w:spacing w:before="0" w:after="0" w:lineRule="auto" w:line="240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>Національний університет «Львівська політехніка» (Україна)</w:t>
      </w:r>
    </w:p>
    <w:p>
      <w:pPr>
        <w:spacing w:before="0" w:after="0" w:lineRule="auto" w:line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</w:r>
    </w:p>
    <w:p>
      <w:pPr>
        <w:spacing w:before="0" w:after="0" w:lineRule="auto" w:line="2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caps/>
          <w:sz w:val="22"/>
          <w:lang w:val="uk-UA" w:eastAsia="uk-UA"/>
        </w:rPr>
        <w:t xml:space="preserve">РЕСУРСНО</w:t>
        <w:noBreakHyphen/>
        <w:t xml:space="preserve">НОРМОВАНІ ЗАКОНИ МАСШТАБУВАННЯ BFT</w:t>
        <w:noBreakHyphen/>
        <w:t xml:space="preserve">КОНСЕНСУСУ</w:t>
      </w:r>
    </w:p>
    <w:p>
      <w:pPr>
        <w:spacing w:before="0" w:after="0" w:lineRule="auto" w:line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</w:r>
    </w:p>
    <w:p>
      <w:pPr>
        <w:spacing w:before="0" w:after="0" w:lineRule="auto" w:line="240"/>
        <w:ind w:firstLine="510"/>
        <w:jc w:val="both"/>
      </w:pP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 xml:space="preserve">Визначення розміру BFT</w:t>
        <w:noBreakHyphen/>
        <w:t xml:space="preserve">множини валідаторів для електронного урядування узгоджує спад пропускної здатності зі зростанням сили виявлення відмов при збільшенні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n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 xml:space="preserve">. Запропоновано ресурсно</w:t>
        <w:noBreakHyphen/>
        <w:t xml:space="preserve">нормоване вимірювання та двофакторну модель; у ненасиченому режимі з шумом нульового середнього однофакторний показник прямує до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γλ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 xml:space="preserve"> −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β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 xml:space="preserve"> (зміщення через пропущену змінну). На типовій CI для Besu/QBFT при фіксованій квоті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β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 xml:space="preserve"> = 1,651 ± 0,151; за майже випадкового детектора детекційне обмеження послаблено (не застосовується), і вікно [4, 4] визначає лише пропускна здатність.</w:t>
      </w:r>
    </w:p>
    <w:p>
      <w:pPr>
        <w:spacing w:before="0" w:after="0" w:lineRule="auto" w:line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</w:r>
    </w:p>
    <w:p>
      <w:pPr>
        <w:spacing w:before="0" w:after="0" w:lineRule="auto" w:line="240"/>
        <w:ind w:firstLine="51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Постановка проблеми. Permissioned візантійсько відмовостійкий (BFT) консенсус лежить в основі систем електронного урядування і ставить питання закупівлі: скільки валідаторів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має мати мережа? Пропускна здатність схиляє до малого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: кожен валідатор виконує кожну транзакцію, а протоколи родини PBFT обмінюються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O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>(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vertAlign w:val="superscript"/>
          <w:lang w:val="uk-UA" w:eastAsia="uk-UA"/>
        </w:rPr>
        <w:t>2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) повідомленнями на блок [1]. Надійність виявлення відмов схиляє до великого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. На етапі проєктування виділені багатохостові стенди часто недоступні, а типові CI</w:t>
        <w:noBreakHyphen/>
        <w:t xml:space="preserve">раннери розміщують багато валідаторів на малій кількості ядер. Без нормування однофакторні підгонки TPS(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) ∝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vertAlign w:val="superscript"/>
          <w:lang w:val="uk-UA" w:eastAsia="uk-UA"/>
        </w:rPr>
        <w:t>α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змішують вартість консенсусу з конкуренцією за ресурси хоста та з розкладом конкурентності генератора навантаження. Опубліковані показники тоді розходяться за величиною і іноді за знаком; попередні калібрування, екстрапольовані до шістдесяти валідаторів, відрізняються приблизно на порядок [2, 3].</w:t>
      </w:r>
    </w:p>
    <w:p>
      <w:pPr>
        <w:spacing w:before="0" w:after="0" w:lineRule="auto" w:line="240"/>
        <w:ind w:firstLine="51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>Вирішуються такі завдання: відокремити алгоритмічну вартість консенсусу від конкуренції за ресурси хоста; пояснити неідентифікованість однофакторного показника вздовж шляху конкурентності; сформулювати задачу визначення розміру множини валідаторів з імовірнісними обмеженнями на пропускну здатність і детекцію; відкалібрувати робочий процес на відтворюваній кампанії на типовій CI.</w:t>
      </w:r>
    </w:p>
    <w:p>
      <w:pPr>
        <w:spacing w:before="0" w:after="0" w:lineRule="auto" w:line="240"/>
        <w:ind w:firstLine="51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Суть дослідження. Введено протокол ресурсно</w:t>
        <w:noBreakHyphen/>
        <w:t xml:space="preserve">нормованого вимірювання (RNM): кожен контейнер валідатора отримує фіксовану CPU</w:t>
        <w:noBreakHyphen/>
        <w:t xml:space="preserve">квоту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q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незалежно від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, а нормована пропускна здатність дорівнює TPS /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q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>. За протоколом RNM двофакторна характеристика має вигляд</w:t>
      </w:r>
    </w:p>
    <w:p>
      <w:pPr>
        <w:spacing w:before="120" w:after="120" w:lineRule="auto" w:line="240"/>
        <w:ind w:firstLine="0"/>
        <w:jc w:val="center"/>
      </w:pPr>
      <w:r>
        <w:rPr>
          <w:rFonts w:ascii="Cambria Math" w:hAnsi="Cambria Math" w:cs="Cambria Math" w:eastAsia="Cambria Math"/>
          <w:b w:val="0"/>
          <w:i w:val="0"/>
          <w:sz w:val="22"/>
          <w:lang w:val="uk-UA" w:eastAsia="uk-UA"/>
        </w:rPr>
        <w:t>TPS(</w:t>
      </w:r>
      <w:r>
        <w:rPr>
          <w:rFonts w:ascii="Cambria Math" w:hAnsi="Cambria Math" w:cs="Cambria Math" w:eastAsia="Cambria Math"/>
          <w:b w:val="0"/>
          <w:i/>
          <w:sz w:val="22"/>
          <w:lang w:val="uk-UA" w:eastAsia="uk-UA"/>
        </w:rPr>
        <w:t>n</w:t>
      </w:r>
      <w:r>
        <w:rPr>
          <w:rFonts w:ascii="Cambria Math" w:hAnsi="Cambria Math" w:cs="Cambria Math" w:eastAsia="Cambria Math"/>
          <w:b w:val="0"/>
          <w:i w:val="0"/>
          <w:sz w:val="22"/>
          <w:lang w:val="uk-UA" w:eastAsia="uk-UA"/>
        </w:rPr>
        <w:t xml:space="preserve">, </w:t>
      </w:r>
      <w:r>
        <w:rPr>
          <w:rFonts w:ascii="Cambria Math" w:hAnsi="Cambria Math" w:cs="Cambria Math" w:eastAsia="Cambria Math"/>
          <w:b w:val="0"/>
          <w:i/>
          <w:sz w:val="22"/>
          <w:lang w:val="uk-UA" w:eastAsia="uk-UA"/>
        </w:rPr>
        <w:t>c</w:t>
      </w:r>
      <w:r>
        <w:rPr>
          <w:rFonts w:ascii="Cambria Math" w:hAnsi="Cambria Math" w:cs="Cambria Math" w:eastAsia="Cambria Math"/>
          <w:b w:val="0"/>
          <w:i w:val="0"/>
          <w:sz w:val="22"/>
          <w:lang w:val="uk-UA" w:eastAsia="uk-UA"/>
        </w:rPr>
        <w:t xml:space="preserve">) = </w:t>
      </w:r>
      <w:r>
        <w:rPr>
          <w:rFonts w:ascii="Cambria Math" w:hAnsi="Cambria Math" w:cs="Cambria Math" w:eastAsia="Cambria Math"/>
          <w:b w:val="0"/>
          <w:i/>
          <w:sz w:val="22"/>
          <w:lang w:val="uk-UA" w:eastAsia="uk-UA"/>
        </w:rPr>
        <w:t>T</w:t>
      </w:r>
      <w:r>
        <w:rPr>
          <w:rFonts w:ascii="Cambria Math" w:hAnsi="Cambria Math" w:cs="Cambria Math" w:eastAsia="Cambria Math"/>
          <w:b w:val="0"/>
          <w:i w:val="0"/>
          <w:sz w:val="22"/>
          <w:vertAlign w:val="subscript"/>
          <w:lang w:val="uk-UA" w:eastAsia="uk-UA"/>
        </w:rPr>
        <w:t>0</w:t>
      </w:r>
      <w:r>
        <w:rPr>
          <w:rFonts w:ascii="Cambria Math" w:hAnsi="Cambria Math" w:cs="Cambria Math" w:eastAsia="Cambria Math"/>
          <w:b w:val="0"/>
          <w:i w:val="0"/>
          <w:sz w:val="22"/>
          <w:lang w:val="uk-UA" w:eastAsia="uk-UA"/>
        </w:rPr>
        <w:t xml:space="preserve"> · </w:t>
      </w:r>
      <w:r>
        <w:rPr>
          <w:rFonts w:ascii="Cambria Math" w:hAnsi="Cambria Math" w:cs="Cambria Math" w:eastAsia="Cambria Math"/>
          <w:b w:val="0"/>
          <w:i/>
          <w:sz w:val="22"/>
          <w:lang w:val="uk-UA" w:eastAsia="uk-UA"/>
        </w:rPr>
        <w:t>g</w:t>
      </w:r>
      <w:r>
        <w:rPr>
          <w:rFonts w:ascii="Cambria Math" w:hAnsi="Cambria Math" w:cs="Cambria Math" w:eastAsia="Cambria Math"/>
          <w:b w:val="0"/>
          <w:i w:val="0"/>
          <w:sz w:val="22"/>
          <w:lang w:val="uk-UA" w:eastAsia="uk-UA"/>
        </w:rPr>
        <w:t>(</w:t>
      </w:r>
      <w:r>
        <w:rPr>
          <w:rFonts w:ascii="Cambria Math" w:hAnsi="Cambria Math" w:cs="Cambria Math" w:eastAsia="Cambria Math"/>
          <w:b w:val="0"/>
          <w:i/>
          <w:sz w:val="22"/>
          <w:lang w:val="uk-UA" w:eastAsia="uk-UA"/>
        </w:rPr>
        <w:t>c</w:t>
      </w:r>
      <w:r>
        <w:rPr>
          <w:rFonts w:ascii="Cambria Math" w:hAnsi="Cambria Math" w:cs="Cambria Math" w:eastAsia="Cambria Math"/>
          <w:b w:val="0"/>
          <w:i w:val="0"/>
          <w:sz w:val="22"/>
          <w:lang w:val="uk-UA" w:eastAsia="uk-UA"/>
        </w:rPr>
        <w:t xml:space="preserve">) · </w:t>
      </w:r>
      <w:r>
        <w:rPr>
          <w:rFonts w:ascii="Cambria Math" w:hAnsi="Cambria Math" w:cs="Cambria Math" w:eastAsia="Cambria Math"/>
          <w:b w:val="0"/>
          <w:i/>
          <w:sz w:val="22"/>
          <w:lang w:val="uk-UA" w:eastAsia="uk-UA"/>
        </w:rPr>
        <w:t>n</w:t>
      </w:r>
      <w:r>
        <w:rPr>
          <w:rFonts w:ascii="Cambria Math" w:hAnsi="Cambria Math" w:cs="Cambria Math" w:eastAsia="Cambria Math"/>
          <w:b w:val="0"/>
          <w:i w:val="0"/>
          <w:sz w:val="22"/>
          <w:vertAlign w:val="superscript"/>
          <w:lang w:val="uk-UA" w:eastAsia="uk-UA"/>
        </w:rPr>
        <w:t>−β</w:t>
      </w:r>
      <w:r>
        <w:rPr>
          <w:rFonts w:ascii="Cambria Math" w:hAnsi="Cambria Math" w:cs="Cambria Math" w:eastAsia="Cambria Math"/>
          <w:b w:val="0"/>
          <w:i w:val="0"/>
          <w:sz w:val="22"/>
          <w:lang w:val="uk-UA" w:eastAsia="uk-UA"/>
        </w:rPr>
        <w:t xml:space="preserve">,     </w:t>
      </w:r>
      <w:r>
        <w:rPr>
          <w:rFonts w:ascii="Cambria Math" w:hAnsi="Cambria Math" w:cs="Cambria Math" w:eastAsia="Cambria Math"/>
          <w:b w:val="0"/>
          <w:i/>
          <w:sz w:val="22"/>
          <w:lang w:val="uk-UA" w:eastAsia="uk-UA"/>
        </w:rPr>
        <w:t>g</w:t>
      </w:r>
      <w:r>
        <w:rPr>
          <w:rFonts w:ascii="Cambria Math" w:hAnsi="Cambria Math" w:cs="Cambria Math" w:eastAsia="Cambria Math"/>
          <w:b w:val="0"/>
          <w:i w:val="0"/>
          <w:sz w:val="22"/>
          <w:lang w:val="uk-UA" w:eastAsia="uk-UA"/>
        </w:rPr>
        <w:t>(</w:t>
      </w:r>
      <w:r>
        <w:rPr>
          <w:rFonts w:ascii="Cambria Math" w:hAnsi="Cambria Math" w:cs="Cambria Math" w:eastAsia="Cambria Math"/>
          <w:b w:val="0"/>
          <w:i/>
          <w:sz w:val="22"/>
          <w:lang w:val="uk-UA" w:eastAsia="uk-UA"/>
        </w:rPr>
        <w:t>c</w:t>
      </w:r>
      <w:r>
        <w:rPr>
          <w:rFonts w:ascii="Cambria Math" w:hAnsi="Cambria Math" w:cs="Cambria Math" w:eastAsia="Cambria Math"/>
          <w:b w:val="0"/>
          <w:i w:val="0"/>
          <w:sz w:val="22"/>
          <w:lang w:val="uk-UA" w:eastAsia="uk-UA"/>
        </w:rPr>
        <w:t xml:space="preserve">) = </w:t>
      </w:r>
      <w:r>
        <w:rPr>
          <w:rFonts w:ascii="Cambria Math" w:hAnsi="Cambria Math" w:cs="Cambria Math" w:eastAsia="Cambria Math"/>
          <w:b w:val="0"/>
          <w:i/>
          <w:sz w:val="22"/>
          <w:lang w:val="uk-UA" w:eastAsia="uk-UA"/>
        </w:rPr>
        <w:t>c</w:t>
      </w:r>
      <w:r>
        <w:rPr>
          <w:rFonts w:ascii="Cambria Math" w:hAnsi="Cambria Math" w:cs="Cambria Math" w:eastAsia="Cambria Math"/>
          <w:b w:val="0"/>
          <w:i w:val="0"/>
          <w:sz w:val="22"/>
          <w:vertAlign w:val="superscript"/>
          <w:lang w:val="uk-UA" w:eastAsia="uk-UA"/>
        </w:rPr>
        <w:t>γ</w:t>
      </w:r>
      <w:r>
        <w:rPr>
          <w:rFonts w:ascii="Cambria Math" w:hAnsi="Cambria Math" w:cs="Cambria Math" w:eastAsia="Cambria Math"/>
          <w:b w:val="0"/>
          <w:i w:val="0"/>
          <w:sz w:val="22"/>
          <w:lang w:val="uk-UA" w:eastAsia="uk-UA"/>
        </w:rPr>
        <w:t xml:space="preserve"> / [1 + (</w:t>
      </w:r>
      <w:r>
        <w:rPr>
          <w:rFonts w:ascii="Cambria Math" w:hAnsi="Cambria Math" w:cs="Cambria Math" w:eastAsia="Cambria Math"/>
          <w:b w:val="0"/>
          <w:i/>
          <w:sz w:val="22"/>
          <w:lang w:val="uk-UA" w:eastAsia="uk-UA"/>
        </w:rPr>
        <w:t>c</w:t>
      </w:r>
      <w:r>
        <w:rPr>
          <w:rFonts w:ascii="Cambria Math" w:hAnsi="Cambria Math" w:cs="Cambria Math" w:eastAsia="Cambria Math"/>
          <w:b w:val="0"/>
          <w:i w:val="0"/>
          <w:sz w:val="22"/>
          <w:lang w:val="uk-UA" w:eastAsia="uk-UA"/>
        </w:rPr>
        <w:t>/</w:t>
      </w:r>
      <w:r>
        <w:rPr>
          <w:rFonts w:ascii="Cambria Math" w:hAnsi="Cambria Math" w:cs="Cambria Math" w:eastAsia="Cambria Math"/>
          <w:b w:val="0"/>
          <w:i/>
          <w:sz w:val="22"/>
          <w:lang w:val="uk-UA" w:eastAsia="uk-UA"/>
        </w:rPr>
        <w:t>c</w:t>
      </w:r>
      <w:r>
        <w:rPr>
          <w:rFonts w:ascii="Cambria Math" w:hAnsi="Cambria Math" w:cs="Cambria Math" w:eastAsia="Cambria Math"/>
          <w:b w:val="0"/>
          <w:i w:val="0"/>
          <w:sz w:val="22"/>
          <w:vertAlign w:val="superscript"/>
          <w:lang w:val="uk-UA" w:eastAsia="uk-UA"/>
        </w:rPr>
        <w:t>*</w:t>
      </w:r>
      <w:r>
        <w:rPr>
          <w:rFonts w:ascii="Cambria Math" w:hAnsi="Cambria Math" w:cs="Cambria Math" w:eastAsia="Cambria Math"/>
          <w:b w:val="0"/>
          <w:i w:val="0"/>
          <w:sz w:val="22"/>
          <w:lang w:val="uk-UA" w:eastAsia="uk-UA"/>
        </w:rPr>
        <w:t>)</w:t>
      </w:r>
      <w:r>
        <w:rPr>
          <w:rFonts w:ascii="Cambria Math" w:hAnsi="Cambria Math" w:cs="Cambria Math" w:eastAsia="Cambria Math"/>
          <w:b w:val="0"/>
          <w:i w:val="0"/>
          <w:sz w:val="22"/>
          <w:vertAlign w:val="superscript"/>
          <w:lang w:val="uk-UA" w:eastAsia="uk-UA"/>
        </w:rPr>
        <w:t>θ</w:t>
      </w:r>
      <w:r>
        <w:rPr>
          <w:rFonts w:ascii="Cambria Math" w:hAnsi="Cambria Math" w:cs="Cambria Math" w:eastAsia="Cambria Math"/>
          <w:b w:val="0"/>
          <w:i w:val="0"/>
          <w:sz w:val="22"/>
          <w:lang w:val="uk-UA" w:eastAsia="uk-UA"/>
        </w:rPr>
        <w:t>].</w:t>
      </w:r>
    </w:p>
    <w:p>
      <w:pPr>
        <w:spacing w:before="0" w:after="0" w:lineRule="auto" w:line="240"/>
        <w:ind w:firstLine="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де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c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— конкурентність клієнтів, β &gt; 0 — показник спаду за кількістю валідаторів, γ ∈ (0, 1] — показник конкурентності,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c</w:t>
      </w:r>
      <w:r>
        <w:rPr>
          <w:rFonts w:ascii="Times New Roman" w:hAnsi="Times New Roman" w:cs="Times New Roman" w:eastAsia="Times New Roman"/>
          <w:b w:val="0"/>
          <w:i/>
          <w:sz w:val="22"/>
          <w:vertAlign w:val="superscript"/>
          <w:lang w:val="uk-UA" w:eastAsia="uk-UA"/>
        </w:rPr>
        <w:t>*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— поріг насичення (форма у стилі USL [4]). У ненасиченому режимі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c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≪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c</w:t>
      </w:r>
      <w:r>
        <w:rPr>
          <w:rFonts w:ascii="Times New Roman" w:hAnsi="Times New Roman" w:cs="Times New Roman" w:eastAsia="Times New Roman"/>
          <w:b w:val="0"/>
          <w:i/>
          <w:sz w:val="22"/>
          <w:vertAlign w:val="superscript"/>
          <w:lang w:val="uk-UA" w:eastAsia="uk-UA"/>
        </w:rPr>
        <w:t>*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залежність лог</w:t>
        <w:noBreakHyphen/>
        <w:t xml:space="preserve">лінійна. Якщо вимірювання виконано вздовж шляху log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c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= λ log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+ μ і шум має нульове середнє та скінченну дисперсію, нахил МНК однофакторної моделі задовольняє α̂ →ᴾ γλ − β; це стандартне зміщення через пропущену змінну [5]. Зокрема α̂ = −β лише за факторного дизайну λ = 0; без зазначення λ опубліковані однофакторні показники не слід трактувати як переносні властивості протоколу між стендами.</w:t>
      </w:r>
    </w:p>
    <w:p>
      <w:pPr>
        <w:spacing w:before="0" w:after="0" w:lineRule="auto" w:line="240"/>
        <w:ind w:firstLine="51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>Калібрований показник є входом задачі з імовірнісними обмеженнями [6]: мінімізувати неспадну вартість Cost(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) за умов, що нижня межа прогнозного інтервалу пропускної здатності не нижча за піковий попит, а ймовірність пропуску скоординованої відмови з пропуском транзакцій (coordinated transaction</w:t>
        <w:noBreakHyphen/>
        <w:t xml:space="preserve">omission fault; інженерне наближення межі Гефдінга [7]) не перевищує заданого рівня. Допустимі розміри дискретні (ефективні BFT</w:t>
        <w:noBreakHyphen/>
        <w:t xml:space="preserve">множини мають вигляд 3f + 1), а допустима множина є замкненим інтервалом [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n</w:t>
      </w:r>
      <w:r>
        <w:rPr>
          <w:rFonts w:ascii="Times New Roman" w:hAnsi="Times New Roman" w:cs="Times New Roman" w:eastAsia="Times New Roman"/>
          <w:b w:val="0"/>
          <w:i/>
          <w:sz w:val="22"/>
          <w:vertAlign w:val="subscript"/>
          <w:lang w:val="uk-UA" w:eastAsia="uk-UA"/>
        </w:rPr>
        <w:t>min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,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n</w:t>
      </w:r>
      <w:r>
        <w:rPr>
          <w:rFonts w:ascii="Times New Roman" w:hAnsi="Times New Roman" w:cs="Times New Roman" w:eastAsia="Times New Roman"/>
          <w:b w:val="0"/>
          <w:i/>
          <w:sz w:val="22"/>
          <w:vertAlign w:val="subscript"/>
          <w:lang w:val="uk-UA" w:eastAsia="uk-UA"/>
        </w:rPr>
        <w:t>max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]; порожній інтервал сертифікує, що жоден розмір множини валідаторів не задовольняє обидві вимоги, тож потрібно змінювати архітектуру або клас обладнання, а не лише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>.</w:t>
      </w:r>
    </w:p>
    <w:p>
      <w:pPr>
        <w:spacing w:before="0" w:after="0" w:lineRule="auto" w:line="240"/>
        <w:ind w:firstLine="51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Кампанію виконано у публічному CI</w:t>
        <w:noBreakHyphen/>
        <w:t xml:space="preserve">робочому процесі на чотириядерному хості: мережа Hyperledger Besu/QBFT за протоколом RNM, 94 успішні записи,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≤ 16. Спільний МНК на опорній квоті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q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= 0,25 дає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β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= 1,651 ± 0,151 і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γ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= 0,178 ± 0,070 (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R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² = 0,727). Повторне семплювання вздовж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λ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= 1 дає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α̂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= −1,362 проти аналітичного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γλ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−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β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= −1,473. Інваріантність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β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щодо квоти на наборі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q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∈ {0,20; 0,25; 0,33} відхилено (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p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= 0,002): при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q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= 0,33 пропускна здатність уже не зростає з квотою, а сумарна резервація перевищує ємність хоста. Отже, RNM стабілізує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β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за фіксованої квоти, а коефіцієнти звітовано при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q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= 0,25. Детектор omission/duplication має AUC = 0,506 (майже випадковий рівень); з ним детекційне обмеження невиконуване (потрібне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n</w:t>
      </w:r>
      <w:r>
        <w:rPr>
          <w:rFonts w:ascii="Times New Roman" w:hAnsi="Times New Roman" w:cs="Times New Roman" w:eastAsia="Times New Roman"/>
          <w:b w:val="0"/>
          <w:i/>
          <w:sz w:val="22"/>
          <w:vertAlign w:val="subscript"/>
          <w:lang w:val="uk-UA" w:eastAsia="uk-UA"/>
        </w:rPr>
        <w:t>min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≈ 3,3·10³), тож формально допустима множина порожня; обмеження послаблено (не застосовується), і вікно визначає лише пропускна здатність. Основна підгонка використовує всі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; окрема переоцінка лише на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≤ 9 (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β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= 1,300) дає інтервали, що покривають 20 і 21 з 22 відкладених прогонів (90,9 % / 95,5 %) при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∈ {11, 13, 16}. Сталий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β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усереднює нахил, що зростає з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(локально ≈ 1,4 → 2,8); це пояснюємо залишковою конкуренцією на хості, коли резервація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nq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наближається до чотирьох ядер (RNM усуває конкуренцію лише доки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nq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&lt; кількості ядер хоста). Основне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β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консервативне щодо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n</w:t>
      </w:r>
      <w:r>
        <w:rPr>
          <w:rFonts w:ascii="Times New Roman" w:hAnsi="Times New Roman" w:cs="Times New Roman" w:eastAsia="Times New Roman"/>
          <w:b w:val="0"/>
          <w:i/>
          <w:sz w:val="22"/>
          <w:vertAlign w:val="subscript"/>
          <w:lang w:val="uk-UA" w:eastAsia="uk-UA"/>
        </w:rPr>
        <w:t>max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, але оптимістичне щодо κ (13,0 проти 16,7 за підгонки на малих n). Сценарій ≈ 3·10⁷ бюлетенів за 12 год дає середнє ≈ 694 TPS; за припущеного пік</w:t>
        <w:noBreakHyphen/>
        <w:t xml:space="preserve">фактора ≈ 3 пік становить ≈ 2,1·10³ TPS. Прогони на CI без відмов фіксують не більше ≈ 89 TPS (при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= 7,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c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= 16,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q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= 0,25), тому модель працює в одиницях TPS/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q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, а масштаб κ = 13,0 тлумачиться як кількість ядер на валідатор цільового обладнання. Лінійність пропускної здатності за квотою — головне припущення й основний ризик екстраполяції: κ у ≈ 52 рази перевищує калібровану квоту, тоді як уже при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q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= 0,33 пропускна здатність перестає зростати; тож κ — вимога до перевірки, а не виміряна можливість. Тоді вікно стискається до [4, 4]. Подвоєний попит або емульований WAN RTT 200 мс (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β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на сітці WAN</w:t>
        <w:noBreakHyphen/>
        <w:t xml:space="preserve">експерименту зростає з 1,459 до 2,708) при фіксованому κ спорожнює допустиму множину; потрібно κ ≈ 26 або ≈ 73 відповідно.</w:t>
      </w:r>
    </w:p>
    <w:p>
      <w:pPr>
        <w:spacing w:before="0" w:after="0" w:lineRule="auto" w:line="240"/>
        <w:ind w:firstLine="51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Висновки. Розбіжність однофакторних показників масштабування BFT може виникати з дизайну вимірювання (шлях конкурентності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λ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), а не лише з властивостей протоколу. Ресурсно</w:t>
        <w:noBreakHyphen/>
        <w:t xml:space="preserve">нормоване калібрування при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λ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= 0 стабілізує показник консенсусу за фіксованої квоти і перетворює його на відтворюваний робочий процес визначення розміру множини валідаторів; компроміс «пропускна здатність — детекція» сформульовано, але з виміряним детектором не продемонстровано. Для дослідженого розгортання Besu/QBFT на типовій CI відповідь на питання закупівлі — найменша допустима множина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= 4; більший </w:t>
      </w:r>
      <w:r>
        <w:rPr>
          <w:rFonts w:ascii="Times New Roman" w:hAnsi="Times New Roman" w:cs="Times New Roman" w:eastAsia="Times New Roman"/>
          <w:b w:val="0"/>
          <w:i/>
          <w:sz w:val="22"/>
          <w:lang w:val="uk-UA" w:eastAsia="uk-UA"/>
        </w:rPr>
        <w:t>n</w:t>
      </w: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 погіршує прогнозовану пропускну здатність. Числові коефіцієнти специфічні для розгортання; методика розрахована на перекалібрування за узгоджених умов вимірювання. Код, дані та артефакти CI</w:t>
        <w:noBreakHyphen/>
        <w:t xml:space="preserve">кампанії: https://github.com/bpenyak/Resource_Normalized_Scaling_Laws_for_Byzantine_Consensus.</w:t>
      </w:r>
    </w:p>
    <w:p>
      <w:pPr>
        <w:spacing w:before="0" w:after="0" w:lineRule="auto" w:line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</w:r>
    </w:p>
    <w:p>
      <w:pPr>
        <w:spacing w:before="0" w:after="120" w:lineRule="auto" w:line="2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>ПЕРЕЛІК ЛІТЕРАТУРИ</w:t>
      </w:r>
    </w:p>
    <w:p>
      <w:pPr>
        <w:spacing w:before="0" w:after="60" w:lineRule="auto" w:line="240"/>
        <w:ind w:hanging="255" w:left="25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>1. Castro M., Liskov B. Practical Byzantine fault tolerance. Proceedings of the Third Symposium on Operating Systems Design and Implementation (OSDI). 1999. P. 173–186.</w:t>
      </w:r>
    </w:p>
    <w:p>
      <w:pPr>
        <w:spacing w:before="0" w:after="60" w:lineRule="auto" w:line="240"/>
        <w:ind w:hanging="255" w:left="25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2. Peniak B. O., Liubinskiy B. B., Solomka I. R. Minimal</w:t>
        <w:noBreakHyphen/>
        <w:t xml:space="preserve">sample performance prediction for Byzantine consensus: the α</w:t>
        <w:noBreakHyphen/>
        <w:t xml:space="preserve">calibration method. Mathematical Modeling and Computing. 2026. (прийнято до друку).</w:t>
      </w:r>
    </w:p>
    <w:p>
      <w:pPr>
        <w:spacing w:before="0" w:after="60" w:lineRule="auto" w:line="240"/>
        <w:ind w:hanging="255" w:left="25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3. Peniak B. O., Liubinskiy B. B. Adaptive hybrid consensus mechanism for blockchain</w:t>
        <w:noBreakHyphen/>
        <w:t xml:space="preserve">based e</w:t>
        <w:noBreakHyphen/>
        <w:t xml:space="preserve">governance: a machine learning approach. Науковий вісник Ужгородського університету. Серія «Математика і інформатика». 2026. Т. 49, № 2. С. 255–261.</w:t>
      </w:r>
    </w:p>
    <w:p>
      <w:pPr>
        <w:spacing w:before="0" w:after="60" w:lineRule="auto" w:line="240"/>
        <w:ind w:hanging="255" w:left="25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>4. Gunther N. J. Guerrilla capacity planning: a tactical approach to planning for highly scalable applications and services. Berlin : Springer, 2007.</w:t>
      </w:r>
    </w:p>
    <w:p>
      <w:pPr>
        <w:spacing w:before="0" w:after="60" w:lineRule="auto" w:line="240"/>
        <w:ind w:hanging="255" w:left="25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>5. Wooldridge J. M. Econometric analysis of cross section and panel data. 2nd ed. Cambridge, MA : MIT Press, 2010. 1064 p.</w:t>
      </w:r>
    </w:p>
    <w:p>
      <w:pPr>
        <w:spacing w:before="0" w:after="60" w:lineRule="auto" w:line="240"/>
        <w:ind w:hanging="255" w:left="25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 xml:space="preserve">6. Charnes A., Cooper W. W. Chance</w:t>
        <w:noBreakHyphen/>
        <w:t xml:space="preserve">constrained programming. Management Science. 1959. Vol. 6, No. 1. P. 73–79.</w:t>
      </w:r>
    </w:p>
    <w:p>
      <w:pPr>
        <w:spacing w:before="0" w:after="60" w:lineRule="auto" w:line="240"/>
        <w:ind w:hanging="255" w:left="25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2"/>
          <w:lang w:val="uk-UA" w:eastAsia="uk-UA"/>
        </w:rPr>
        <w:t>7. Hoeffding W. Probability inequalities for sums of bounded random variables. Journal of the American Statistical Association. 1963. Vol. 58, No. 301. P. 13–30.</w:t>
      </w:r>
    </w:p>
    <w:sectPr w:rsidR="00FC693F" w:rsidRPr="0006063C" w:rsidSect="00034616">
      <w:pgSz w:w="11906" w:h="16838"/>
      <w:pgMar w:top="1304" w:right="1304" w:bottom="1304" w:left="130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