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UDC: 004.75:519.2</w:t>
      </w:r>
    </w:p>
    <w:p>
      <w:pPr>
        <w:spacing w:before="0" w:after="0" w:lineRule="auto" w:line="240"/>
        <w:ind w:firstLine="0"/>
        <w:jc w:val="right"/>
      </w:pPr>
      <w:r>
        <w:rPr>
          <w:rFonts w:ascii="Times New Roman" w:hAnsi="Times New Roman" w:cs="Times New Roman" w:eastAsia="Times New Roman"/>
          <w:b/>
          <w:i/>
          <w:caps/>
          <w:sz w:val="22"/>
          <w:lang w:val="en-US" w:eastAsia="en-US"/>
        </w:rPr>
        <w:t>PENIAK B. O., LIUBINSKIY B. B.</w:t>
      </w:r>
    </w:p>
    <w:p>
      <w:pPr>
        <w:spacing w:before="0" w:after="0" w:lineRule="auto" w:line="24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Lviv Polytechnic National University (Ukraine)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2"/>
          <w:lang w:val="en-US" w:eastAsia="en-US"/>
        </w:rPr>
        <w:t xml:space="preserve">RESOURCE</w:t>
        <w:noBreakHyphen/>
        <w:t xml:space="preserve">NORMALIZED SCALING LAWS FOR BFT CONSENSUS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 xml:space="preserve">Sizing a permissioned BFT validator set for e</w:t>
        <w:noBreakHyphen/>
        <w:t xml:space="preserve">governance trades falling throughput against rising fault</w:t>
        <w:noBreakHyphen/>
        <w:t xml:space="preserve">detection power as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 xml:space="preserve"> grows. We propose resource</w:t>
        <w:noBreakHyphen/>
        <w:t xml:space="preserve">normalized measurement and a bi</w:t>
        <w:noBreakHyphen/>
        <w:t xml:space="preserve">factor model; in the unsaturated regime with zero</w:t>
        <w:noBreakHyphen/>
        <w:t xml:space="preserve">mean noise the single</w:t>
        <w:noBreakHyphen/>
        <w:t xml:space="preserve">factor exponent tends to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γλ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 xml:space="preserve"> −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 xml:space="preserve"> (an omitted</w:t>
        <w:noBreakHyphen/>
        <w:t xml:space="preserve">variable bias). On commodity CI for Besu/QBFT at a fixed quota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 xml:space="preserve"> = 1.651 ± 0.151; with a near</w:t>
        <w:noBreakHyphen/>
        <w:t xml:space="preserve">chance detector the detection constraint is relaxed (not enforced) and throughput alone sets the window [4, 4].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Problem statement. Permissioned Byzantine fault</w:t>
        <w:noBreakHyphen/>
        <w:t xml:space="preserve">tolerant (BFT) consensus underpins e</w:t>
        <w:noBreakHyphen/>
        <w:t xml:space="preserve">governance systems and poses a procurement question: how many validators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should the network have? Throughput favours small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: every validator executes every transaction, and PBFT</w:t>
        <w:noBreakHyphen/>
        <w:t xml:space="preserve">family protocols exchange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O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vertAlign w:val="superscript"/>
          <w:lang w:val="en-US" w:eastAsia="en-US"/>
        </w:rPr>
        <w:t>2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) messages per block [1]. Fault</w:t>
        <w:noBreakHyphen/>
        <w:t xml:space="preserve">detection reliability favours large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. At the design stage, dedicated multi</w:t>
        <w:noBreakHyphen/>
        <w:t xml:space="preserve">host testbeds are often unavailable, while commodity CI runners co</w:t>
        <w:noBreakHyphen/>
        <w:t xml:space="preserve">locate many validators on few cores. Without normalization, single</w:t>
        <w:noBreakHyphen/>
        <w:t xml:space="preserve">factor fits TPS(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) ∝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vertAlign w:val="superscript"/>
          <w:lang w:val="en-US" w:eastAsia="en-US"/>
        </w:rPr>
        <w:t>α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confound consensus cost with host</w:t>
        <w:noBreakHyphen/>
        <w:t xml:space="preserve">resource contention and with the load generator’s concurrency schedule. Published exponents then diverge in magnitude and sometimes in sign; previous calibrations, extrapolated to sixty validators, differ by about an order of magnitude [2, 3].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The following tasks are addressed: separate the algorithmic cost of consensus from host</w:t>
        <w:noBreakHyphen/>
        <w:t xml:space="preserve">resource contention; explain the non</w:t>
        <w:noBreakHyphen/>
        <w:t xml:space="preserve">identifiability of the single</w:t>
        <w:noBreakHyphen/>
        <w:t xml:space="preserve">factor exponent along a concurrency path; formulate a chance</w:t>
        <w:noBreakHyphen/>
        <w:t xml:space="preserve">constrained validator</w:t>
        <w:noBreakHyphen/>
        <w:t xml:space="preserve">set sizing problem with throughput and detection constraints; calibrate the workflow on a reproducible commodity</w:t>
        <w:noBreakHyphen/>
        <w:t xml:space="preserve">CI campaign.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Essence of the study. A resource</w:t>
        <w:noBreakHyphen/>
        <w:t xml:space="preserve">normalized measurement (RNM) protocol is introduced: each validator container receives a fixed CPU quota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independent of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, and normalized throughput equals TPS /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. Under RNM the bi</w:t>
        <w:noBreakHyphen/>
        <w:t xml:space="preserve">factor scaling characterization takes the form</w:t>
      </w:r>
    </w:p>
    <w:p>
      <w:pPr>
        <w:spacing w:before="120" w:after="120" w:lineRule="auto" w:line="240"/>
        <w:ind w:firstLine="0"/>
        <w:jc w:val="center"/>
      </w:pP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TPS(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n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,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) =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T</w:t>
      </w:r>
      <w:r>
        <w:rPr>
          <w:rFonts w:ascii="Cambria Math" w:hAnsi="Cambria Math" w:cs="Cambria Math" w:eastAsia="Cambria Math"/>
          <w:b w:val="0"/>
          <w:i w:val="0"/>
          <w:sz w:val="22"/>
          <w:vertAlign w:val="subscript"/>
          <w:lang w:val="en-US" w:eastAsia="en-US"/>
        </w:rPr>
        <w:t>0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 ·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g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(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) ·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n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en-US" w:eastAsia="en-US"/>
        </w:rPr>
        <w:t>−β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,    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g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(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) = 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en-US" w:eastAsia="en-US"/>
        </w:rPr>
        <w:t>γ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 xml:space="preserve"> / [1 + (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/</w:t>
      </w:r>
      <w:r>
        <w:rPr>
          <w:rFonts w:ascii="Cambria Math" w:hAnsi="Cambria Math" w:cs="Cambria Math" w:eastAsia="Cambria Math"/>
          <w:b w:val="0"/>
          <w:i/>
          <w:sz w:val="22"/>
          <w:lang w:val="en-US" w:eastAsia="en-US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en-US" w:eastAsia="en-US"/>
        </w:rPr>
        <w:t>*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)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en-US" w:eastAsia="en-US"/>
        </w:rPr>
        <w:t>θ</w:t>
      </w:r>
      <w:r>
        <w:rPr>
          <w:rFonts w:ascii="Cambria Math" w:hAnsi="Cambria Math" w:cs="Cambria Math" w:eastAsia="Cambria Math"/>
          <w:b w:val="0"/>
          <w:i w:val="0"/>
          <w:sz w:val="22"/>
          <w:lang w:val="en-US" w:eastAsia="en-US"/>
        </w:rPr>
        <w:t>].</w:t>
      </w:r>
    </w:p>
    <w:p>
      <w:pPr>
        <w:spacing w:before="0" w:after="0" w:lineRule="auto" w:line="2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where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is client concurrency, β &gt; 0 is the replica</w:t>
        <w:noBreakHyphen/>
        <w:t xml:space="preserve">count decay exponent, γ ∈ (0, 1] is the concurrency exponent, and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/>
          <w:sz w:val="22"/>
          <w:vertAlign w:val="superscript"/>
          <w:lang w:val="en-US" w:eastAsia="en-US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is the saturation threshold (a USL</w:t>
        <w:noBreakHyphen/>
        <w:t xml:space="preserve">style form [4]). In the unsaturated regime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≪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/>
          <w:sz w:val="22"/>
          <w:vertAlign w:val="superscript"/>
          <w:lang w:val="en-US" w:eastAsia="en-US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the relation is log</w:t>
        <w:noBreakHyphen/>
        <w:t xml:space="preserve">linear. If measurements follow the path log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λ log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+ μ and the noise has zero mean and finite variance, the OLS slope of the single</w:t>
        <w:noBreakHyphen/>
        <w:t xml:space="preserve">factor model satisfies α̂ →ᴾ γλ − β; this is the standard omitted</w:t>
        <w:noBreakHyphen/>
        <w:t xml:space="preserve">variable bias [5]. In particular α̂ = −β only under a factorial design λ = 0; without reporting λ, published single</w:t>
        <w:noBreakHyphen/>
        <w:t xml:space="preserve">factor exponents should not be treated as transferable protocol properties across testbeds.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The calibrated exponent is the input to a chance</w:t>
        <w:noBreakHyphen/>
        <w:t xml:space="preserve">constrained program [6]: minimize a nondecreasing Cost(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) subject to the lower prediction</w:t>
        <w:noBreakHyphen/>
        <w:t xml:space="preserve">interval bound on throughput meeting peak demand and the probability of missing a coordinated transaction</w:t>
        <w:noBreakHyphen/>
        <w:t xml:space="preserve">omission fault (an engineering Hoeffding</w:t>
        <w:noBreakHyphen/>
        <w:t xml:space="preserve">type bound [7]) not exceeding a prescribed level. Admissible sizes are discrete (efficient BFT sets have the form 3f + 1), and the feasible set is a closed interval [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en-US" w:eastAsia="en-US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en-US" w:eastAsia="en-US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]; an empty interval certifies that no validator</w:t>
        <w:noBreakHyphen/>
        <w:t xml:space="preserve">set size meets both requirements, so the architecture or hardware class must change, not merely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The campaign ran in a public CI workflow on a four</w:t>
        <w:noBreakHyphen/>
        <w:t xml:space="preserve">core host: a Hyperledger Besu/QBFT network under the RNM protocol, 94 successful records,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≤ 16. Joint OLS at the reference quota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0.25 yields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1.651 ± 0.151 and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γ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0.178 ± 0.070 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² = 0.727). Resampling along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1 gives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α̂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−1.362 versus the analytic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γλ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−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−1.473. Invariance of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across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∈ {0.20, 0.25, 0.33} is rejected 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0.002): 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0.33 throughput no longer grows with the quota and the total reservation exceeds host capacity. RNM therefore stabilizes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at a fixed quota, and coefficients are reported 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0.25. The omission/duplication detector has AUC = 0.506 (near chance); with it the detection constraint is unsatisfiable (it would require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en-US" w:eastAsia="en-US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≈ 3.3·10³), so the formal feasible set is empty; the constraint is relaxed (not enforced) and throughput alone sets the window. The headline fit uses all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; a separate refit on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≤ 9 only 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1.300) gives intervals covering 20 and 21 of 22 hold</w:t>
        <w:noBreakHyphen/>
        <w:t xml:space="preserve">out runs (90.9% / 95.5%) 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∈ {11, 13, 16}. The constant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averages a slope that steepens with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(local values ≈ 1.4 → 2.8), which we attribute to residual host contention as the reservation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approaches the four host cores (RNM removes contention only while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&lt; host cores). The full</w:t>
        <w:noBreakHyphen/>
        <w:t xml:space="preserve">range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is conservative for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en-US" w:eastAsia="en-US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but optimistic for κ (13.0 vs. 16.7 under the small</w:t>
        <w:noBreakHyphen/>
        <w:t xml:space="preserve">n fit). A scenario of ≈ 3·10⁷ ballots in 12 h gives a mean of ≈ 694 TPS; with an assumed peak</w:t>
        <w:noBreakHyphen/>
        <w:t xml:space="preserve">to</w:t>
        <w:noBreakHyphen/>
        <w:t xml:space="preserve">mean factor of ≈ 3 the peak is ≈ 2.1·10³ TPS. Fault</w:t>
        <w:noBreakHyphen/>
        <w:t xml:space="preserve">free CI runs commit at most ≈ 89 TPS (at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7,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16,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0.25), so the model works in units of TPS/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, and the scale κ = 13.0 is read as cores per validator on the target hardware. Linearity of throughput in the quota is the key assumption and the main extrapolation risk: κ is ≈ 52 times the calibrated quota, whereas throughput already stops growing 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0.33; κ is a requirement to verify, not a measured capability. The window then collapses to [4, 4]. Doubled demand or a 200 ms emulated WAN RTT (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rises from 1.459 to 2.708 on the WAN</w:t>
        <w:noBreakHyphen/>
        <w:t xml:space="preserve">experiment grid) at fixed κ empties the feasible set; κ ≈ 26 or ≈ 73, respectively, would be required.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Conclusions. Divergence of single</w:t>
        <w:noBreakHyphen/>
        <w:t xml:space="preserve">factor BFT scaling exponents can arise from the measurement design (the concurrency path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), not only from protocol properties. Resource</w:t>
        <w:noBreakHyphen/>
        <w:t xml:space="preserve">normalized calibration at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0 stabilizes the consensus exponent at a fixed quota and turns it into a reproducible validator</w:t>
        <w:noBreakHyphen/>
        <w:t xml:space="preserve">set sizing workflow; the throughput–detection trade</w:t>
        <w:noBreakHyphen/>
        <w:t xml:space="preserve">off is formulated but not demonstrated with the measured detector. For the studied Besu/QBFT deployment on commodity CI, the procurement answer is the smallest admissible set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= 4; larger </w:t>
      </w:r>
      <w:r>
        <w:rPr>
          <w:rFonts w:ascii="Times New Roman" w:hAnsi="Times New Roman" w:cs="Times New Roman" w:eastAsia="Times New Roman"/>
          <w:b w:val="0"/>
          <w:i/>
          <w:sz w:val="22"/>
          <w:lang w:val="en-US" w:eastAsia="en-US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 degrades predicted throughput. Numerical coefficients are deployment</w:t>
        <w:noBreakHyphen/>
        <w:t xml:space="preserve">specific; the methodology is intended for recalibration under matching measurement conditions. Code, data and CI</w:t>
        <w:noBreakHyphen/>
        <w:t xml:space="preserve">campaign artifacts: https://github.com/bpenyak/Resource_Normalized_Scaling_Laws_for_Byzantine_Consensus.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REFERENCES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1. Castro M., Liskov B. Practical Byzantine fault tolerance. Proceedings of the Third Symposium on Operating Systems Design and Implementation (OSDI). 1999. P. 173–186.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2. Peniak B. O., Liubinskiy B. B., Solomka I. R. Minimal</w:t>
        <w:noBreakHyphen/>
        <w:t xml:space="preserve">sample performance prediction for Byzantine consensus: the α</w:t>
        <w:noBreakHyphen/>
        <w:t xml:space="preserve">calibration method. Mathematical Modeling and Computing. 2026. (accepted for publication).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3. Peniak B. O., Liubinskiy B. B. Adaptive hybrid consensus mechanism for blockchain</w:t>
        <w:noBreakHyphen/>
        <w:t xml:space="preserve">based e</w:t>
        <w:noBreakHyphen/>
        <w:t xml:space="preserve">governance: a machine learning approach. Scientific Bulletin of Uzhhorod University. Series of Mathematics and Informatics. 2026. Vol. 49, No. 2. P. 255–261.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4. Gunther N. J. Guerrilla capacity planning: a tactical approach to planning for highly scalable applications and services. Berlin: Springer, 2007.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5. Wooldridge J. M. Econometric analysis of cross section and panel data. 2nd ed. Cambridge, MA: MIT Press, 2010. 1064 p.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 xml:space="preserve">6. Charnes A., Cooper W. W. Chance</w:t>
        <w:noBreakHyphen/>
        <w:t xml:space="preserve">constrained programming. Management Science. 1959. Vol. 6, No. 1. P. 73–79.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en-US" w:eastAsia="en-US"/>
        </w:rPr>
        <w:t>7. Hoeffding W. Probability inequalities for sums of bounded random variables. Journal of the American Statistical Association. 1963. Vol. 58, No. 301. P. 13–30.</w:t>
      </w:r>
    </w:p>
    <w:sectPr w:rsidR="00FC693F" w:rsidRPr="0006063C" w:rsidSect="00034616">
      <w:pgSz w:w="11906" w:h="16838"/>
      <w:pgMar w:top="1304" w:right="1304" w:bottom="1304" w:left="130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