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1ADF" w14:textId="77777777" w:rsidR="00571FA8" w:rsidRDefault="00571FA8" w:rsidP="00F05686">
      <w:pPr>
        <w:rPr>
          <w:b/>
          <w:bCs/>
        </w:rPr>
      </w:pPr>
    </w:p>
    <w:p w14:paraId="46AF9B17" w14:textId="77777777" w:rsidR="00571FA8" w:rsidRDefault="00571FA8" w:rsidP="00F05686">
      <w:pPr>
        <w:rPr>
          <w:b/>
          <w:bCs/>
        </w:rPr>
      </w:pPr>
    </w:p>
    <w:p w14:paraId="26D9905A" w14:textId="77777777" w:rsidR="00571FA8" w:rsidRDefault="00571FA8" w:rsidP="00F05686">
      <w:pPr>
        <w:rPr>
          <w:b/>
          <w:bCs/>
        </w:rPr>
      </w:pPr>
    </w:p>
    <w:p w14:paraId="0D34EDCF" w14:textId="77777777" w:rsidR="00571FA8" w:rsidRDefault="00571FA8" w:rsidP="00F05686">
      <w:pPr>
        <w:rPr>
          <w:b/>
          <w:bCs/>
        </w:rPr>
      </w:pPr>
    </w:p>
    <w:p w14:paraId="4AE0A517" w14:textId="342BBE6B" w:rsidR="00F05686" w:rsidRPr="00F05686" w:rsidRDefault="00F05686" w:rsidP="00F05686">
      <w:pPr>
        <w:rPr>
          <w:b/>
          <w:bCs/>
        </w:rPr>
      </w:pPr>
      <w:r w:rsidRPr="00F05686">
        <w:rPr>
          <w:b/>
          <w:bCs/>
        </w:rPr>
        <w:t>1. Uvod: Komunikacija kao pogon civilizacije i umjetne inteligencije</w:t>
      </w:r>
    </w:p>
    <w:p w14:paraId="272A376D" w14:textId="77777777" w:rsidR="00F05686" w:rsidRPr="00F05686" w:rsidRDefault="00F05686" w:rsidP="00F05686">
      <w:r w:rsidRPr="00F05686">
        <w:t>"Bez dijeljenja misli nema društva; bez društva nema tehnologije."</w:t>
      </w:r>
    </w:p>
    <w:p w14:paraId="199D22CC" w14:textId="77777777" w:rsidR="00F05686" w:rsidRPr="00F05686" w:rsidRDefault="00F05686" w:rsidP="00F05686">
      <w:r w:rsidRPr="00F05686">
        <w:t>— Neznani kroničar, 12.</w:t>
      </w:r>
      <w:r w:rsidRPr="00F05686">
        <w:rPr>
          <w:rFonts w:ascii="Arial" w:hAnsi="Arial" w:cs="Arial"/>
        </w:rPr>
        <w:t> </w:t>
      </w:r>
      <w:r w:rsidRPr="00F05686">
        <w:t>stolje</w:t>
      </w:r>
      <w:r w:rsidRPr="00F05686">
        <w:rPr>
          <w:rFonts w:ascii="Aptos" w:hAnsi="Aptos" w:cs="Aptos"/>
        </w:rPr>
        <w:t>ć</w:t>
      </w:r>
      <w:r w:rsidRPr="00F05686">
        <w:t>e</w:t>
      </w:r>
    </w:p>
    <w:p w14:paraId="3C4CA98D" w14:textId="77777777" w:rsidR="00F05686" w:rsidRPr="00F05686" w:rsidRDefault="00F05686" w:rsidP="00F05686">
      <w:r w:rsidRPr="00F05686">
        <w:t>Komunikacija je povijesno gledano temelj svakog kolektivnog pothvata – od koordinacije lovačkih skupina u prapovijesti do globalnih znanstvenih kolaboracija u 21.</w:t>
      </w:r>
      <w:r w:rsidRPr="00F05686">
        <w:rPr>
          <w:rFonts w:ascii="Arial" w:hAnsi="Arial" w:cs="Arial"/>
        </w:rPr>
        <w:t> </w:t>
      </w:r>
      <w:r w:rsidRPr="00F05686">
        <w:t>stolje</w:t>
      </w:r>
      <w:r w:rsidRPr="00F05686">
        <w:rPr>
          <w:rFonts w:ascii="Aptos" w:hAnsi="Aptos" w:cs="Aptos"/>
        </w:rPr>
        <w:t>ć</w:t>
      </w:r>
      <w:r w:rsidRPr="00F05686">
        <w:t>u. Svaka tehnolo</w:t>
      </w:r>
      <w:r w:rsidRPr="00F05686">
        <w:rPr>
          <w:rFonts w:ascii="Aptos" w:hAnsi="Aptos" w:cs="Aptos"/>
        </w:rPr>
        <w:t>š</w:t>
      </w:r>
      <w:r w:rsidRPr="00F05686">
        <w:t>ka inovacija koja je pro</w:t>
      </w:r>
      <w:r w:rsidRPr="00F05686">
        <w:rPr>
          <w:rFonts w:ascii="Aptos" w:hAnsi="Aptos" w:cs="Aptos"/>
        </w:rPr>
        <w:t>š</w:t>
      </w:r>
      <w:r w:rsidRPr="00F05686">
        <w:t>irila domet i brzinu me</w:t>
      </w:r>
      <w:r w:rsidRPr="00F05686">
        <w:rPr>
          <w:rFonts w:ascii="Aptos" w:hAnsi="Aptos" w:cs="Aptos"/>
        </w:rPr>
        <w:t>đ</w:t>
      </w:r>
      <w:r w:rsidRPr="00F05686">
        <w:t xml:space="preserve">uljudske razmjene </w:t>
      </w:r>
      <w:r w:rsidRPr="00F05686">
        <w:rPr>
          <w:rFonts w:ascii="Aptos" w:hAnsi="Aptos" w:cs="Aptos"/>
        </w:rPr>
        <w:t>–</w:t>
      </w:r>
      <w:r w:rsidRPr="00F05686">
        <w:t xml:space="preserve"> pismo, tiskarski stroj, telegraf, radio, internet </w:t>
      </w:r>
      <w:r w:rsidRPr="00F05686">
        <w:rPr>
          <w:rFonts w:ascii="Aptos" w:hAnsi="Aptos" w:cs="Aptos"/>
        </w:rPr>
        <w:t>–</w:t>
      </w:r>
      <w:r w:rsidRPr="00F05686">
        <w:t xml:space="preserve"> radikalno je preoblikovala dru</w:t>
      </w:r>
      <w:r w:rsidRPr="00F05686">
        <w:rPr>
          <w:rFonts w:ascii="Aptos" w:hAnsi="Aptos" w:cs="Aptos"/>
        </w:rPr>
        <w:t>š</w:t>
      </w:r>
      <w:r w:rsidRPr="00F05686">
        <w:t>tvene institucije, ekonomiju i kognitivne obrasce. Danas se nalazimo u razdoblju u kojem jezgru komunikacijskog lanca vi</w:t>
      </w:r>
      <w:r w:rsidRPr="00F05686">
        <w:rPr>
          <w:rFonts w:ascii="Aptos" w:hAnsi="Aptos" w:cs="Aptos"/>
        </w:rPr>
        <w:t>š</w:t>
      </w:r>
      <w:r w:rsidRPr="00F05686">
        <w:t xml:space="preserve">e ne </w:t>
      </w:r>
      <w:r w:rsidRPr="00F05686">
        <w:rPr>
          <w:rFonts w:ascii="Aptos" w:hAnsi="Aptos" w:cs="Aptos"/>
        </w:rPr>
        <w:t>č</w:t>
      </w:r>
      <w:r w:rsidRPr="00F05686">
        <w:t>ine isklju</w:t>
      </w:r>
      <w:r w:rsidRPr="00F05686">
        <w:rPr>
          <w:rFonts w:ascii="Aptos" w:hAnsi="Aptos" w:cs="Aptos"/>
        </w:rPr>
        <w:t>č</w:t>
      </w:r>
      <w:r w:rsidRPr="00F05686">
        <w:t xml:space="preserve">ivo ljudi: </w:t>
      </w:r>
      <w:r w:rsidRPr="00F05686">
        <w:rPr>
          <w:b/>
          <w:bCs/>
        </w:rPr>
        <w:t>veliki jezični modeli (LLM)</w:t>
      </w:r>
      <w:r w:rsidRPr="00F05686">
        <w:t xml:space="preserve"> i </w:t>
      </w:r>
      <w:r w:rsidRPr="00F05686">
        <w:rPr>
          <w:b/>
          <w:bCs/>
        </w:rPr>
        <w:t>komunikacijski agenti</w:t>
      </w:r>
      <w:r w:rsidRPr="00F05686">
        <w:t xml:space="preserve"> stupaju na scenu kao digitalni sugovornici, prevoditelji i ko</w:t>
      </w:r>
      <w:r w:rsidRPr="00F05686">
        <w:noBreakHyphen/>
        <w:t>kreatori.</w:t>
      </w:r>
    </w:p>
    <w:p w14:paraId="64115DF6" w14:textId="77777777" w:rsidR="00F05686" w:rsidRPr="00F05686" w:rsidRDefault="00F05686" w:rsidP="00F05686">
      <w:r w:rsidRPr="00F05686">
        <w:t>Uvođenje algoritamskih partnera u svakodnevni diskurs otvara nova epistemološka i etička pitanja: Na koji način strojevi interpretiraju kontekst? Kako usklađujemo njihove zaključke s ljudskim vrijednostima? Što se događa s pojmom autorstva kad tekst nastaje u dijalogu čovjeka i modela? Odgovori na ta pitanja zahtijevaju interdisciplinarni pristup koji spaja lingvistiku, računalne znanosti, kognitivnu psihologiju, etiku i pravne studije – upravo zato ova knjiga sagledava temu iz višestrukih kutova.</w:t>
      </w:r>
    </w:p>
    <w:p w14:paraId="094E9B1C" w14:textId="77777777" w:rsidR="00F05686" w:rsidRPr="00F05686" w:rsidRDefault="00F05686" w:rsidP="00F05686">
      <w:pPr>
        <w:rPr>
          <w:b/>
          <w:bCs/>
        </w:rPr>
      </w:pPr>
      <w:r w:rsidRPr="00F05686">
        <w:rPr>
          <w:b/>
          <w:bCs/>
        </w:rPr>
        <w:t>1.1 Zašto ova knjiga sada?</w:t>
      </w:r>
    </w:p>
    <w:p w14:paraId="27A13480" w14:textId="77777777" w:rsidR="00F05686" w:rsidRPr="00F05686" w:rsidRDefault="00F05686" w:rsidP="00F05686">
      <w:r w:rsidRPr="00F05686">
        <w:t xml:space="preserve">U proteklih pet godina svjedočili smo iznimno brzom povećanju </w:t>
      </w:r>
      <w:r w:rsidRPr="00F05686">
        <w:rPr>
          <w:b/>
          <w:bCs/>
        </w:rPr>
        <w:t>parametarskog kapaciteta</w:t>
      </w:r>
      <w:r w:rsidRPr="00F05686">
        <w:t xml:space="preserve"> (s milijardi na bilijune parametara), </w:t>
      </w:r>
      <w:r w:rsidRPr="00F05686">
        <w:rPr>
          <w:b/>
          <w:bCs/>
        </w:rPr>
        <w:t>multimodalnih sposobnosti</w:t>
      </w:r>
      <w:r w:rsidRPr="00F05686">
        <w:t xml:space="preserve"> (tekst </w:t>
      </w:r>
      <w:r w:rsidRPr="00F05686">
        <w:rPr>
          <w:rFonts w:ascii="Cambria Math" w:hAnsi="Cambria Math" w:cs="Cambria Math"/>
        </w:rPr>
        <w:t>⇄</w:t>
      </w:r>
      <w:r w:rsidRPr="00F05686">
        <w:rPr>
          <w:rFonts w:ascii="Aptos" w:hAnsi="Aptos" w:cs="Aptos"/>
        </w:rPr>
        <w:t> </w:t>
      </w:r>
      <w:r w:rsidRPr="00F05686">
        <w:t>slika</w:t>
      </w:r>
      <w:r w:rsidRPr="00F05686">
        <w:rPr>
          <w:rFonts w:ascii="Aptos" w:hAnsi="Aptos" w:cs="Aptos"/>
        </w:rPr>
        <w:t> </w:t>
      </w:r>
      <w:r w:rsidRPr="00F05686">
        <w:rPr>
          <w:rFonts w:ascii="Cambria Math" w:hAnsi="Cambria Math" w:cs="Cambria Math"/>
        </w:rPr>
        <w:t>⇄</w:t>
      </w:r>
      <w:r w:rsidRPr="00F05686">
        <w:rPr>
          <w:rFonts w:ascii="Aptos" w:hAnsi="Aptos" w:cs="Aptos"/>
        </w:rPr>
        <w:t> </w:t>
      </w:r>
      <w:r w:rsidRPr="00F05686">
        <w:t xml:space="preserve">zvuk), te zrelosti </w:t>
      </w:r>
      <w:r w:rsidRPr="00F05686">
        <w:rPr>
          <w:b/>
          <w:bCs/>
        </w:rPr>
        <w:t>alatnih ekosustava</w:t>
      </w:r>
      <w:r w:rsidRPr="00F05686">
        <w:t xml:space="preserve"> (RAG, agentski framework</w:t>
      </w:r>
      <w:r w:rsidRPr="00F05686">
        <w:noBreakHyphen/>
        <w:t>ovi, orkestracijski grafovi). Paralelno, zakonodavci – predvođeni EU</w:t>
      </w:r>
      <w:r w:rsidRPr="00F05686">
        <w:noBreakHyphen/>
        <w:t xml:space="preserve">ovim </w:t>
      </w:r>
      <w:r w:rsidRPr="00F05686">
        <w:rPr>
          <w:b/>
          <w:bCs/>
        </w:rPr>
        <w:t>AI Act</w:t>
      </w:r>
      <w:r w:rsidRPr="00F05686">
        <w:rPr>
          <w:b/>
          <w:bCs/>
        </w:rPr>
        <w:noBreakHyphen/>
        <w:t>om</w:t>
      </w:r>
      <w:r w:rsidRPr="00F05686">
        <w:t xml:space="preserve"> (2025) – pokušavaju normirati upotrebu generativnih modela. Taj dinamički kontekst traži sintezu: djelo koje istodobno mapira povijest, objašnjava tehničke mehanizme i reflektira društvene posljedice.</w:t>
      </w:r>
    </w:p>
    <w:p w14:paraId="6E67D63C" w14:textId="77777777" w:rsidR="00F05686" w:rsidRPr="00F05686" w:rsidRDefault="00F05686" w:rsidP="00F05686">
      <w:pPr>
        <w:rPr>
          <w:b/>
          <w:bCs/>
        </w:rPr>
      </w:pPr>
      <w:r w:rsidRPr="00F05686">
        <w:rPr>
          <w:b/>
          <w:bCs/>
        </w:rPr>
        <w:t>1.2 Ciljana publika</w:t>
      </w:r>
    </w:p>
    <w:p w14:paraId="20929D6E" w14:textId="77777777" w:rsidR="00F05686" w:rsidRPr="00F05686" w:rsidRDefault="00F05686" w:rsidP="00F05686">
      <w:r w:rsidRPr="00F05686">
        <w:t xml:space="preserve">Knjiga je pisana za čitatelja kojemu je potrebno </w:t>
      </w:r>
      <w:r w:rsidRPr="00F05686">
        <w:rPr>
          <w:b/>
          <w:bCs/>
        </w:rPr>
        <w:t>više od popularnog pregleda</w:t>
      </w:r>
      <w:r w:rsidRPr="00F05686">
        <w:t xml:space="preserve">, ali i </w:t>
      </w:r>
      <w:r w:rsidRPr="00F05686">
        <w:rPr>
          <w:b/>
          <w:bCs/>
        </w:rPr>
        <w:t>manje od usko specijaliziranog priručnika</w:t>
      </w:r>
      <w:r w:rsidRPr="00F05686">
        <w:t>. Adresiramo četiri glavne skupine:</w:t>
      </w:r>
    </w:p>
    <w:p w14:paraId="33AE5283" w14:textId="77777777" w:rsidR="00F05686" w:rsidRPr="00F05686" w:rsidRDefault="00F05686" w:rsidP="00F05686">
      <w:pPr>
        <w:numPr>
          <w:ilvl w:val="0"/>
          <w:numId w:val="1"/>
        </w:numPr>
      </w:pPr>
      <w:r w:rsidRPr="00F05686">
        <w:rPr>
          <w:b/>
          <w:bCs/>
        </w:rPr>
        <w:t>Studenti i istraživači</w:t>
      </w:r>
      <w:r w:rsidRPr="00F05686">
        <w:t xml:space="preserve"> – traže teorijski okvir, ali i suvremene reference za daljnji rad.</w:t>
      </w:r>
    </w:p>
    <w:p w14:paraId="41A0455B" w14:textId="77777777" w:rsidR="00F05686" w:rsidRPr="00F05686" w:rsidRDefault="00F05686" w:rsidP="00F05686">
      <w:pPr>
        <w:numPr>
          <w:ilvl w:val="0"/>
          <w:numId w:val="1"/>
        </w:numPr>
      </w:pPr>
      <w:r w:rsidRPr="00F05686">
        <w:rPr>
          <w:b/>
          <w:bCs/>
        </w:rPr>
        <w:lastRenderedPageBreak/>
        <w:t>Inženjeri i poduzetnici</w:t>
      </w:r>
      <w:r w:rsidRPr="00F05686">
        <w:t xml:space="preserve"> – zanima ih kako brzo pretvoriti LLM u produkt ili servis.</w:t>
      </w:r>
    </w:p>
    <w:p w14:paraId="3C917EC3" w14:textId="77777777" w:rsidR="00F05686" w:rsidRPr="00F05686" w:rsidRDefault="00F05686" w:rsidP="00F05686">
      <w:pPr>
        <w:numPr>
          <w:ilvl w:val="0"/>
          <w:numId w:val="1"/>
        </w:numPr>
      </w:pPr>
      <w:r w:rsidRPr="00F05686">
        <w:rPr>
          <w:b/>
          <w:bCs/>
        </w:rPr>
        <w:t>Društveni i humanistički znanstvenici</w:t>
      </w:r>
      <w:r w:rsidRPr="00F05686">
        <w:t xml:space="preserve"> – fokusirani su na kulturne, političke i etičke implikacije.</w:t>
      </w:r>
    </w:p>
    <w:p w14:paraId="34B8DC5A" w14:textId="77777777" w:rsidR="00F05686" w:rsidRPr="00F05686" w:rsidRDefault="00F05686" w:rsidP="00F05686">
      <w:pPr>
        <w:numPr>
          <w:ilvl w:val="0"/>
          <w:numId w:val="1"/>
        </w:numPr>
      </w:pPr>
      <w:r w:rsidRPr="00F05686">
        <w:rPr>
          <w:b/>
          <w:bCs/>
        </w:rPr>
        <w:t>Šira stručna javnost</w:t>
      </w:r>
      <w:r w:rsidRPr="00F05686">
        <w:t xml:space="preserve"> – menadžeri znanja, nastavnici, dizajneri, novinari – svi koji će s agentima surađivati u praksi.</w:t>
      </w:r>
    </w:p>
    <w:p w14:paraId="32EA368C" w14:textId="77777777" w:rsidR="00F05686" w:rsidRPr="00F05686" w:rsidRDefault="00F05686" w:rsidP="00F05686">
      <w:pPr>
        <w:rPr>
          <w:b/>
          <w:bCs/>
        </w:rPr>
      </w:pPr>
      <w:r w:rsidRPr="00F05686">
        <w:rPr>
          <w:b/>
          <w:bCs/>
        </w:rPr>
        <w:t>1.3 Struktura knjige</w:t>
      </w:r>
    </w:p>
    <w:p w14:paraId="5E3B6822" w14:textId="77777777" w:rsidR="00F05686" w:rsidRPr="00F05686" w:rsidRDefault="00F05686" w:rsidP="00F05686">
      <w:r w:rsidRPr="00F05686">
        <w:t xml:space="preserve">Povijest nas uči da tehnologija rijetko djeluje izolirano; nastaje u sprezi s društvenim okolnostima. Stoga je građu organizirana u </w:t>
      </w:r>
      <w:r w:rsidRPr="00F05686">
        <w:rPr>
          <w:b/>
          <w:bCs/>
        </w:rPr>
        <w:t>osam tematskih cjelina</w:t>
      </w:r>
      <w:r w:rsidRPr="00F05686">
        <w:t xml:space="preserve"> koje čitatelja vode od povijesnih početaka do budućih scenarija:</w:t>
      </w:r>
    </w:p>
    <w:p w14:paraId="2816C0F0" w14:textId="77777777" w:rsidR="00F05686" w:rsidRPr="00F05686" w:rsidRDefault="00F05686" w:rsidP="00F05686">
      <w:pPr>
        <w:numPr>
          <w:ilvl w:val="0"/>
          <w:numId w:val="2"/>
        </w:numPr>
      </w:pPr>
      <w:r w:rsidRPr="00F05686">
        <w:rPr>
          <w:b/>
          <w:bCs/>
        </w:rPr>
        <w:t>Povijest komunikacijskih tehnologija</w:t>
      </w:r>
      <w:r w:rsidRPr="00F05686">
        <w:t xml:space="preserve"> – usmena kultura, pismo, Gutenberg, digitalna mreža.</w:t>
      </w:r>
    </w:p>
    <w:p w14:paraId="0BF46FD6" w14:textId="77777777" w:rsidR="00F05686" w:rsidRPr="00F05686" w:rsidRDefault="00F05686" w:rsidP="00F05686">
      <w:pPr>
        <w:numPr>
          <w:ilvl w:val="0"/>
          <w:numId w:val="2"/>
        </w:numPr>
      </w:pPr>
      <w:r w:rsidRPr="00F05686">
        <w:rPr>
          <w:b/>
          <w:bCs/>
        </w:rPr>
        <w:t>Svijet velikih jezičnih modela</w:t>
      </w:r>
      <w:r w:rsidRPr="00F05686">
        <w:t xml:space="preserve"> – arhitektura Transformera, treniranje, evaluacija i ograničenja.</w:t>
      </w:r>
    </w:p>
    <w:p w14:paraId="3B732482" w14:textId="77777777" w:rsidR="00F05686" w:rsidRPr="00F05686" w:rsidRDefault="00F05686" w:rsidP="00F05686">
      <w:pPr>
        <w:numPr>
          <w:ilvl w:val="0"/>
          <w:numId w:val="2"/>
        </w:numPr>
      </w:pPr>
      <w:r w:rsidRPr="00F05686">
        <w:rPr>
          <w:b/>
          <w:bCs/>
        </w:rPr>
        <w:t>Dekonstrukcija jezika u doba AI</w:t>
      </w:r>
      <w:r w:rsidRPr="00F05686">
        <w:rPr>
          <w:b/>
          <w:bCs/>
        </w:rPr>
        <w:noBreakHyphen/>
        <w:t>ja</w:t>
      </w:r>
      <w:r w:rsidRPr="00F05686">
        <w:t xml:space="preserve"> – semiotika, pragmatika i sociolingvistika susreću duboko učenje.</w:t>
      </w:r>
    </w:p>
    <w:p w14:paraId="4B4C58CE" w14:textId="77777777" w:rsidR="00F05686" w:rsidRPr="00F05686" w:rsidRDefault="00F05686" w:rsidP="00F05686">
      <w:pPr>
        <w:numPr>
          <w:ilvl w:val="0"/>
          <w:numId w:val="2"/>
        </w:numPr>
      </w:pPr>
      <w:r w:rsidRPr="00F05686">
        <w:rPr>
          <w:b/>
          <w:bCs/>
        </w:rPr>
        <w:t>Pogon inteligencije</w:t>
      </w:r>
      <w:r w:rsidRPr="00F05686">
        <w:t xml:space="preserve"> – hardver, optimizacije, distribuirani klasteri i energetski troškovi.</w:t>
      </w:r>
    </w:p>
    <w:p w14:paraId="4AF7BEE9" w14:textId="77777777" w:rsidR="00F05686" w:rsidRPr="00F05686" w:rsidRDefault="00F05686" w:rsidP="00F05686">
      <w:pPr>
        <w:numPr>
          <w:ilvl w:val="0"/>
          <w:numId w:val="2"/>
        </w:numPr>
      </w:pPr>
      <w:r w:rsidRPr="00F05686">
        <w:rPr>
          <w:b/>
          <w:bCs/>
        </w:rPr>
        <w:t>Od modela do partnera</w:t>
      </w:r>
      <w:r w:rsidRPr="00F05686">
        <w:t xml:space="preserve"> – agentske paradigme, planiranje, upravljanje alatima.</w:t>
      </w:r>
    </w:p>
    <w:p w14:paraId="1D63D5F3" w14:textId="77777777" w:rsidR="00F05686" w:rsidRPr="00F05686" w:rsidRDefault="00F05686" w:rsidP="00F05686">
      <w:pPr>
        <w:numPr>
          <w:ilvl w:val="0"/>
          <w:numId w:val="2"/>
        </w:numPr>
      </w:pPr>
      <w:r w:rsidRPr="00F05686">
        <w:rPr>
          <w:b/>
          <w:bCs/>
        </w:rPr>
        <w:t>Studije slučaja</w:t>
      </w:r>
      <w:r w:rsidRPr="00F05686">
        <w:t xml:space="preserve"> – industrija (fintech, zdravstvo), obrazovanje, kreativne industrije.</w:t>
      </w:r>
    </w:p>
    <w:p w14:paraId="1A1394EF" w14:textId="77777777" w:rsidR="00F05686" w:rsidRPr="00F05686" w:rsidRDefault="00F05686" w:rsidP="00F05686">
      <w:pPr>
        <w:numPr>
          <w:ilvl w:val="0"/>
          <w:numId w:val="2"/>
        </w:numPr>
      </w:pPr>
      <w:r w:rsidRPr="00F05686">
        <w:rPr>
          <w:b/>
          <w:bCs/>
        </w:rPr>
        <w:t>Digitalni suputnici</w:t>
      </w:r>
      <w:r w:rsidRPr="00F05686">
        <w:t xml:space="preserve"> – projekcija svakodnevice 2030</w:t>
      </w:r>
      <w:r w:rsidRPr="00F05686">
        <w:noBreakHyphen/>
        <w:t>2035.; etički i ekonomski horizonti.</w:t>
      </w:r>
    </w:p>
    <w:p w14:paraId="7C455D80" w14:textId="77777777" w:rsidR="00F05686" w:rsidRPr="00F05686" w:rsidRDefault="00F05686" w:rsidP="00F05686">
      <w:pPr>
        <w:numPr>
          <w:ilvl w:val="0"/>
          <w:numId w:val="2"/>
        </w:numPr>
      </w:pPr>
      <w:r w:rsidRPr="00F05686">
        <w:rPr>
          <w:b/>
          <w:bCs/>
        </w:rPr>
        <w:t>Zaključak</w:t>
      </w:r>
      <w:r w:rsidRPr="00F05686">
        <w:t xml:space="preserve"> – sinteza otvorenih pitanja i istraživačka mapa 2025</w:t>
      </w:r>
      <w:r w:rsidRPr="00F05686">
        <w:noBreakHyphen/>
        <w:t>2030.</w:t>
      </w:r>
    </w:p>
    <w:p w14:paraId="0C20FF0C" w14:textId="77777777" w:rsidR="00F05686" w:rsidRPr="00F05686" w:rsidRDefault="00F05686" w:rsidP="00F05686">
      <w:r w:rsidRPr="00F05686">
        <w:rPr>
          <w:b/>
          <w:bCs/>
        </w:rPr>
        <w:t>Napomena za čitatelja</w:t>
      </w:r>
      <w:r w:rsidRPr="00F05686">
        <w:t xml:space="preserve">: Svako poglavlje počinje </w:t>
      </w:r>
      <w:r w:rsidRPr="00F05686">
        <w:rPr>
          <w:b/>
          <w:bCs/>
        </w:rPr>
        <w:t>sažetkom "Ključni uvidi"</w:t>
      </w:r>
      <w:r w:rsidRPr="00F05686">
        <w:t xml:space="preserve"> i završava </w:t>
      </w:r>
      <w:r w:rsidRPr="00F05686">
        <w:rPr>
          <w:b/>
          <w:bCs/>
        </w:rPr>
        <w:t>pitanjima za raspravu</w:t>
      </w:r>
      <w:r w:rsidRPr="00F05686">
        <w:t>. Kod</w:t>
      </w:r>
      <w:r w:rsidRPr="00F05686">
        <w:noBreakHyphen/>
        <w:t>primjeri i dodatni grafovi dostupni su putem QR</w:t>
      </w:r>
      <w:r w:rsidRPr="00F05686">
        <w:noBreakHyphen/>
        <w:t>kodova prema GitHub repozitoriju. Na taj način tekst ostaje ažuriran unatoč brzom razvoju područja.</w:t>
      </w:r>
    </w:p>
    <w:p w14:paraId="68E53976" w14:textId="77777777" w:rsidR="00F05686" w:rsidRPr="00F05686" w:rsidRDefault="00F05686" w:rsidP="00F05686">
      <w:pPr>
        <w:rPr>
          <w:b/>
          <w:bCs/>
        </w:rPr>
      </w:pPr>
      <w:r w:rsidRPr="00F05686">
        <w:rPr>
          <w:b/>
          <w:bCs/>
        </w:rPr>
        <w:t>1.4 Metodološki pristup i način čitanja</w:t>
      </w:r>
    </w:p>
    <w:p w14:paraId="3CDA565C" w14:textId="77777777" w:rsidR="00F05686" w:rsidRPr="00F05686" w:rsidRDefault="00F05686" w:rsidP="00F05686">
      <w:r w:rsidRPr="00F05686">
        <w:t xml:space="preserve">Tekst kombinira </w:t>
      </w:r>
      <w:r w:rsidRPr="00F05686">
        <w:rPr>
          <w:b/>
          <w:bCs/>
        </w:rPr>
        <w:t>narativni esej</w:t>
      </w:r>
      <w:r w:rsidRPr="00F05686">
        <w:t xml:space="preserve">, </w:t>
      </w:r>
      <w:r w:rsidRPr="00F05686">
        <w:rPr>
          <w:b/>
          <w:bCs/>
        </w:rPr>
        <w:t>kritičku analizu</w:t>
      </w:r>
      <w:r w:rsidRPr="00F05686">
        <w:t xml:space="preserve"> i </w:t>
      </w:r>
      <w:r w:rsidRPr="00F05686">
        <w:rPr>
          <w:b/>
          <w:bCs/>
        </w:rPr>
        <w:t>praktične primjere</w:t>
      </w:r>
      <w:r w:rsidRPr="00F05686">
        <w:t>. To znači da čitatelj može:</w:t>
      </w:r>
    </w:p>
    <w:p w14:paraId="1F2FCFE1" w14:textId="77777777" w:rsidR="00F05686" w:rsidRPr="00F05686" w:rsidRDefault="00F05686" w:rsidP="00F05686">
      <w:pPr>
        <w:numPr>
          <w:ilvl w:val="0"/>
          <w:numId w:val="3"/>
        </w:numPr>
      </w:pPr>
      <w:r w:rsidRPr="00F05686">
        <w:rPr>
          <w:b/>
          <w:bCs/>
        </w:rPr>
        <w:t>Čitati linearno</w:t>
      </w:r>
      <w:r w:rsidRPr="00F05686">
        <w:t xml:space="preserve"> – steći temeljito razumijevanje povijesnog i tehničkog kontinuiteta.</w:t>
      </w:r>
    </w:p>
    <w:p w14:paraId="0846B705" w14:textId="77777777" w:rsidR="00F05686" w:rsidRPr="00F05686" w:rsidRDefault="00F05686" w:rsidP="00F05686">
      <w:pPr>
        <w:numPr>
          <w:ilvl w:val="0"/>
          <w:numId w:val="3"/>
        </w:numPr>
      </w:pPr>
      <w:r w:rsidRPr="00F05686">
        <w:rPr>
          <w:b/>
          <w:bCs/>
        </w:rPr>
        <w:t>Skakati na studije slučaja</w:t>
      </w:r>
      <w:r w:rsidRPr="00F05686">
        <w:t xml:space="preserve"> – dobiti brzi uvid u konkretne primjene.</w:t>
      </w:r>
    </w:p>
    <w:p w14:paraId="1BE7EAD9" w14:textId="77777777" w:rsidR="00F05686" w:rsidRPr="00F05686" w:rsidRDefault="00F05686" w:rsidP="00F05686">
      <w:pPr>
        <w:numPr>
          <w:ilvl w:val="0"/>
          <w:numId w:val="3"/>
        </w:numPr>
      </w:pPr>
      <w:r w:rsidRPr="00F05686">
        <w:rPr>
          <w:b/>
          <w:bCs/>
        </w:rPr>
        <w:lastRenderedPageBreak/>
        <w:t>Raditi s kod</w:t>
      </w:r>
      <w:r w:rsidRPr="00F05686">
        <w:rPr>
          <w:b/>
          <w:bCs/>
        </w:rPr>
        <w:noBreakHyphen/>
        <w:t>blokovima</w:t>
      </w:r>
      <w:r w:rsidRPr="00F05686">
        <w:t xml:space="preserve"> – eksperimentirati s modelima u Jupyter ili Colab okruženju.</w:t>
      </w:r>
    </w:p>
    <w:p w14:paraId="2B294ADE" w14:textId="77777777" w:rsidR="00F05686" w:rsidRPr="00F05686" w:rsidRDefault="00F05686" w:rsidP="00F05686">
      <w:r w:rsidRPr="00F05686">
        <w:t>Kroz rubne okvire ("side</w:t>
      </w:r>
      <w:r w:rsidRPr="00F05686">
        <w:noBreakHyphen/>
        <w:t>bars") nudimo pojmovnik, biografije ključnih istraživača i presjek relevantnih zakona. Tablice usporedbe (parametri, kontekstni prozor, trošak inferencije) omogućuju brzu orijentaciju.</w:t>
      </w:r>
    </w:p>
    <w:p w14:paraId="6A29FDCA" w14:textId="77777777" w:rsidR="00F05686" w:rsidRPr="00F05686" w:rsidRDefault="00F05686" w:rsidP="00F05686">
      <w:pPr>
        <w:rPr>
          <w:b/>
          <w:bCs/>
        </w:rPr>
      </w:pPr>
      <w:r w:rsidRPr="00F05686">
        <w:rPr>
          <w:b/>
          <w:bCs/>
        </w:rPr>
        <w:t>1.5 Ključni pojmovi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9"/>
        <w:gridCol w:w="5767"/>
      </w:tblGrid>
      <w:tr w:rsidR="00F05686" w:rsidRPr="00F05686" w14:paraId="05AC9EBF" w14:textId="77777777" w:rsidTr="00F05686">
        <w:trPr>
          <w:tblCellSpacing w:w="15" w:type="dxa"/>
        </w:trPr>
        <w:tc>
          <w:tcPr>
            <w:tcW w:w="0" w:type="auto"/>
            <w:vAlign w:val="center"/>
            <w:hideMark/>
          </w:tcPr>
          <w:p w14:paraId="67FA11BC" w14:textId="77777777" w:rsidR="00F05686" w:rsidRPr="00F05686" w:rsidRDefault="00F05686" w:rsidP="00F05686">
            <w:pPr>
              <w:rPr>
                <w:b/>
                <w:bCs/>
              </w:rPr>
            </w:pPr>
            <w:r w:rsidRPr="00F05686">
              <w:rPr>
                <w:b/>
                <w:bCs/>
              </w:rPr>
              <w:t>Pojam</w:t>
            </w:r>
          </w:p>
        </w:tc>
        <w:tc>
          <w:tcPr>
            <w:tcW w:w="0" w:type="auto"/>
            <w:vAlign w:val="center"/>
            <w:hideMark/>
          </w:tcPr>
          <w:p w14:paraId="7F8753F3" w14:textId="77777777" w:rsidR="00F05686" w:rsidRPr="00F05686" w:rsidRDefault="00F05686" w:rsidP="00F05686">
            <w:pPr>
              <w:rPr>
                <w:b/>
                <w:bCs/>
              </w:rPr>
            </w:pPr>
            <w:r w:rsidRPr="00F05686">
              <w:rPr>
                <w:b/>
                <w:bCs/>
              </w:rPr>
              <w:t>Kratka definicija</w:t>
            </w:r>
          </w:p>
        </w:tc>
      </w:tr>
      <w:tr w:rsidR="00F05686" w:rsidRPr="00F05686" w14:paraId="38589EE5" w14:textId="77777777" w:rsidTr="00F05686">
        <w:trPr>
          <w:tblCellSpacing w:w="15" w:type="dxa"/>
        </w:trPr>
        <w:tc>
          <w:tcPr>
            <w:tcW w:w="0" w:type="auto"/>
            <w:vAlign w:val="center"/>
            <w:hideMark/>
          </w:tcPr>
          <w:p w14:paraId="4A52B677" w14:textId="77777777" w:rsidR="00F05686" w:rsidRPr="00F05686" w:rsidRDefault="00F05686" w:rsidP="00F05686">
            <w:r w:rsidRPr="00F05686">
              <w:rPr>
                <w:b/>
                <w:bCs/>
              </w:rPr>
              <w:t>LLM (Large Language Model)</w:t>
            </w:r>
          </w:p>
        </w:tc>
        <w:tc>
          <w:tcPr>
            <w:tcW w:w="0" w:type="auto"/>
            <w:vAlign w:val="center"/>
            <w:hideMark/>
          </w:tcPr>
          <w:p w14:paraId="622ECC18" w14:textId="77777777" w:rsidR="00F05686" w:rsidRPr="00F05686" w:rsidRDefault="00F05686" w:rsidP="00F05686">
            <w:r w:rsidRPr="00F05686">
              <w:t>Duboka neuronska mreža sa stotinama milijardi parametara, trenirana na golemim korpusima jezika.</w:t>
            </w:r>
          </w:p>
        </w:tc>
      </w:tr>
      <w:tr w:rsidR="00F05686" w:rsidRPr="00F05686" w14:paraId="22210899" w14:textId="77777777" w:rsidTr="00F05686">
        <w:trPr>
          <w:tblCellSpacing w:w="15" w:type="dxa"/>
        </w:trPr>
        <w:tc>
          <w:tcPr>
            <w:tcW w:w="0" w:type="auto"/>
            <w:vAlign w:val="center"/>
            <w:hideMark/>
          </w:tcPr>
          <w:p w14:paraId="3AD4796E" w14:textId="77777777" w:rsidR="00F05686" w:rsidRPr="00F05686" w:rsidRDefault="00F05686" w:rsidP="00F05686">
            <w:r w:rsidRPr="00F05686">
              <w:rPr>
                <w:b/>
                <w:bCs/>
              </w:rPr>
              <w:t>Komunikacijski agent</w:t>
            </w:r>
          </w:p>
        </w:tc>
        <w:tc>
          <w:tcPr>
            <w:tcW w:w="0" w:type="auto"/>
            <w:vAlign w:val="center"/>
            <w:hideMark/>
          </w:tcPr>
          <w:p w14:paraId="04433A52" w14:textId="77777777" w:rsidR="00F05686" w:rsidRPr="00F05686" w:rsidRDefault="00F05686" w:rsidP="00F05686">
            <w:r w:rsidRPr="00F05686">
              <w:t>Softverski entitet koji koristi LLM (i druge module) za dijalog, zaključivanje i djelovanje putem alata.</w:t>
            </w:r>
          </w:p>
        </w:tc>
      </w:tr>
      <w:tr w:rsidR="00F05686" w:rsidRPr="00F05686" w14:paraId="7443C5E1" w14:textId="77777777" w:rsidTr="00F05686">
        <w:trPr>
          <w:tblCellSpacing w:w="15" w:type="dxa"/>
        </w:trPr>
        <w:tc>
          <w:tcPr>
            <w:tcW w:w="0" w:type="auto"/>
            <w:vAlign w:val="center"/>
            <w:hideMark/>
          </w:tcPr>
          <w:p w14:paraId="6853A0E2" w14:textId="77777777" w:rsidR="00F05686" w:rsidRPr="00F05686" w:rsidRDefault="00F05686" w:rsidP="00F05686">
            <w:r w:rsidRPr="00F05686">
              <w:rPr>
                <w:b/>
                <w:bCs/>
              </w:rPr>
              <w:t>RAG (Retrieval</w:t>
            </w:r>
            <w:r w:rsidRPr="00F05686">
              <w:rPr>
                <w:b/>
                <w:bCs/>
              </w:rPr>
              <w:noBreakHyphen/>
              <w:t>Augmented Generation)</w:t>
            </w:r>
          </w:p>
        </w:tc>
        <w:tc>
          <w:tcPr>
            <w:tcW w:w="0" w:type="auto"/>
            <w:vAlign w:val="center"/>
            <w:hideMark/>
          </w:tcPr>
          <w:p w14:paraId="6B4FECFE" w14:textId="77777777" w:rsidR="00F05686" w:rsidRPr="00F05686" w:rsidRDefault="00F05686" w:rsidP="00F05686">
            <w:r w:rsidRPr="00F05686">
              <w:t>Tehnika kombiniranja dohvaćanja relevantnih dokumenata i generiranja odgovora.</w:t>
            </w:r>
          </w:p>
        </w:tc>
      </w:tr>
      <w:tr w:rsidR="00F05686" w:rsidRPr="00F05686" w14:paraId="1FDB41E7" w14:textId="77777777" w:rsidTr="00F05686">
        <w:trPr>
          <w:tblCellSpacing w:w="15" w:type="dxa"/>
        </w:trPr>
        <w:tc>
          <w:tcPr>
            <w:tcW w:w="0" w:type="auto"/>
            <w:vAlign w:val="center"/>
            <w:hideMark/>
          </w:tcPr>
          <w:p w14:paraId="670B4172" w14:textId="77777777" w:rsidR="00F05686" w:rsidRPr="00F05686" w:rsidRDefault="00F05686" w:rsidP="00F05686">
            <w:r w:rsidRPr="00F05686">
              <w:rPr>
                <w:b/>
                <w:bCs/>
              </w:rPr>
              <w:t>Alignment</w:t>
            </w:r>
          </w:p>
        </w:tc>
        <w:tc>
          <w:tcPr>
            <w:tcW w:w="0" w:type="auto"/>
            <w:vAlign w:val="center"/>
            <w:hideMark/>
          </w:tcPr>
          <w:p w14:paraId="35DAA43B" w14:textId="77777777" w:rsidR="00F05686" w:rsidRPr="00F05686" w:rsidRDefault="00F05686" w:rsidP="00F05686">
            <w:r w:rsidRPr="00F05686">
              <w:t>Postupci usklađivanja ponašanja modela s ljudskim vrijednostima i sigurnosnim kriterijima.</w:t>
            </w:r>
          </w:p>
        </w:tc>
      </w:tr>
      <w:tr w:rsidR="00F05686" w:rsidRPr="00F05686" w14:paraId="0FDC2CD9" w14:textId="77777777" w:rsidTr="00F05686">
        <w:trPr>
          <w:tblCellSpacing w:w="15" w:type="dxa"/>
        </w:trPr>
        <w:tc>
          <w:tcPr>
            <w:tcW w:w="0" w:type="auto"/>
            <w:vAlign w:val="center"/>
            <w:hideMark/>
          </w:tcPr>
          <w:p w14:paraId="397C05EC" w14:textId="77777777" w:rsidR="00F05686" w:rsidRPr="00F05686" w:rsidRDefault="00F05686" w:rsidP="00F05686">
            <w:r w:rsidRPr="00F05686">
              <w:rPr>
                <w:b/>
                <w:bCs/>
              </w:rPr>
              <w:t>Multimodalnost</w:t>
            </w:r>
          </w:p>
        </w:tc>
        <w:tc>
          <w:tcPr>
            <w:tcW w:w="0" w:type="auto"/>
            <w:vAlign w:val="center"/>
            <w:hideMark/>
          </w:tcPr>
          <w:p w14:paraId="65FC01C1" w14:textId="77777777" w:rsidR="00F05686" w:rsidRPr="00F05686" w:rsidRDefault="00F05686" w:rsidP="00F05686">
            <w:r w:rsidRPr="00F05686">
              <w:t>Obrada i generiranje različitih modaliteta: teksta, slike, zvuka, videa.</w:t>
            </w:r>
          </w:p>
        </w:tc>
      </w:tr>
    </w:tbl>
    <w:p w14:paraId="0CB12B3F" w14:textId="77777777" w:rsidR="00F05686" w:rsidRPr="00F05686" w:rsidRDefault="00F05686" w:rsidP="00F05686">
      <w:pPr>
        <w:rPr>
          <w:b/>
          <w:bCs/>
        </w:rPr>
      </w:pPr>
      <w:r w:rsidRPr="00F05686">
        <w:rPr>
          <w:b/>
          <w:bCs/>
        </w:rPr>
        <w:t>1.6 Putokaz prema Povijesti komunikacijskih tehnologija</w:t>
      </w:r>
    </w:p>
    <w:p w14:paraId="03D4BC06" w14:textId="77777777" w:rsidR="00F05686" w:rsidRPr="00F05686" w:rsidRDefault="00F05686" w:rsidP="00F05686">
      <w:r w:rsidRPr="00F05686">
        <w:t>Krećući od antropoloških uvjeta koji su omogućili nastanak jezika, u sljedećem poglavlju promatramo kako su medijske inovacije – od glinenih pločica do optičkih vlakana – kontinuirano multiplicirale kapacitet ljudskih društava za koordinaciju. Time stvaramo kontekst za razumijevanje eksplozivnog rasta LLM</w:t>
      </w:r>
      <w:r w:rsidRPr="00F05686">
        <w:noBreakHyphen/>
        <w:t xml:space="preserve">ova: oni su najnoviji izraz trajne težnje da se </w:t>
      </w:r>
      <w:r w:rsidRPr="00F05686">
        <w:rPr>
          <w:b/>
          <w:bCs/>
        </w:rPr>
        <w:t>zbivanje svijeta prebaci u simbolički prostor</w:t>
      </w:r>
      <w:r w:rsidRPr="00F05686">
        <w:t xml:space="preserve"> (Diamond, 1997; Floridi, 2023), čineći ga dostupnim analizi, predviđanju i zajedničkom djelovanju.</w:t>
      </w:r>
    </w:p>
    <w:p w14:paraId="133DE522" w14:textId="77777777" w:rsidR="00F05686" w:rsidRPr="00F05686" w:rsidRDefault="00F05686" w:rsidP="00F05686">
      <w:r w:rsidRPr="00F05686">
        <w:t>"Tehnologija je ekstenzija naših namjera; komunikacija je njihovo zajedničko tkivo." – parafraza McLuhana</w:t>
      </w:r>
    </w:p>
    <w:p w14:paraId="1DE45C25" w14:textId="7B45F888" w:rsidR="00F05686" w:rsidRDefault="00F05686">
      <w:r>
        <w:br w:type="page"/>
      </w:r>
    </w:p>
    <w:p w14:paraId="65724669" w14:textId="77777777" w:rsidR="00571FA8" w:rsidRDefault="00571FA8"/>
    <w:p w14:paraId="7560DAF1" w14:textId="1FBC5227" w:rsidR="00571FA8" w:rsidRDefault="00571FA8">
      <w:r>
        <w:br w:type="page"/>
      </w:r>
    </w:p>
    <w:p w14:paraId="001BF3EA" w14:textId="77777777" w:rsidR="00571FA8" w:rsidRDefault="00571FA8" w:rsidP="00571FA8">
      <w:r>
        <w:lastRenderedPageBreak/>
        <w:t>Od prvih artikuliranih zvukova koji su odjekivali iskonskim ljudskim nastambama do složenih jezičnih konstrukcija koje danas ispunjavaju naše globalne digitalne prostore, komunikacija predstavlja temeljnu silu koja oblikuje ljudsku civilizaciju. Ona je neizostavno tkivo koje povezuje pojedince u zajednice, kohezivna sila koja održava kulture i pokretač inovacija. Bez sposobnosti efikasnog dijeljenja misli, iskustava i znanja, ljudska bi vrsta ostala ograničena na rudimentarne interakcije vođene instinktima.</w:t>
      </w:r>
    </w:p>
    <w:p w14:paraId="4B6916CC" w14:textId="77777777" w:rsidR="00571FA8" w:rsidRDefault="00571FA8" w:rsidP="00571FA8"/>
    <w:p w14:paraId="199C7232" w14:textId="77777777" w:rsidR="00571FA8" w:rsidRDefault="00571FA8" w:rsidP="00571FA8">
      <w:r>
        <w:t>Usmena predaja, prvi ključni komunikacijski medij, transformirala je prolazna sjećanja u trajne "žive arhive", utkivajući kolektivno znanje, mudrost i identitet u pjesme, mitove i rituale koji su prenošeni s koljena na koljeno. Nastanak sustava pisanja omogućio je fiksiranje jezika izvan kratkotrajnosti usmene izvedbe, pohranu i akumulaciju znanja te razvoj apstraktne misli, postavljajući temelje za složene administrativne, filozofske i znanstvene sustave koji su obilježili uspon carstava i epoha. Svaki sljedeći tehnološki iskorak u komunikaciji – od Gutenbergova tiskarskog stroja koji je omogućio masovnu produkciju tekstova i, posljedično, širu dostupnost znanja; preko telegrafa i telefona koji su dramatično smanjili utjecaj geografske udaljenosti; do radija, televizije i interneta koji su stvorili globalno povezano 'selo' – označavao je fundamentalno novo poglavlje u evoluciji ljudske interakcije i razmjene značenja.</w:t>
      </w:r>
    </w:p>
    <w:p w14:paraId="21D5A11D" w14:textId="77777777" w:rsidR="00571FA8" w:rsidRDefault="00571FA8" w:rsidP="00571FA8"/>
    <w:p w14:paraId="1B928AD0" w14:textId="77777777" w:rsidR="00571FA8" w:rsidRDefault="00571FA8" w:rsidP="00571FA8">
      <w:r>
        <w:t>Suvremeno doba, pak, obilježava ulazak u novu, potencijalno epohalnu fazu komunikacije, definirana pojavom velikih jezičnih modela (LLM). Ti sofisticirani sustavi umjetne inteligencije, uključujući istaknute primjere poput GPT-a (OpenAI, 2024b), Gemini-a (Google), Claudea (Anthropic, 2024) ili Llama-e (Meta AI, 2024), trenirani su na nezamislivim prostranstvima digitalnog teksta i koda – golemim digitalnim arhivama ljudskog jezika i znanja. Njihova temeljna sposobnost leži u prepoznavanju i modeliranju iznimno složenih i suptilnih obrazaca jezične strukture i upotrebe. Ova sposobnost odražava fascinantnu dvojnost, elegantno artikuliranu od strane lingvistice Milene Žic Fuchs, koja razlikuje znanje o svijetu (činjenice, koncepti) i znanje o jeziku (gramatika, stil, pragmatika). Današnji veliki jezični modeli demonstriraju iznimno vladanje jezikom, sposobnost generiranja tekstova koji su gramatički ispravni, stilski koherentni, činjenično točni i kontekstualno relevantni. U uvjerljivom oponašanju ljudske jezične produkcije za specifične zadatke, ponekad dosežu razine performansi koje nadmašuju ljudske.</w:t>
      </w:r>
    </w:p>
    <w:p w14:paraId="5FE406A8" w14:textId="77777777" w:rsidR="00571FA8" w:rsidRDefault="00571FA8" w:rsidP="00571FA8"/>
    <w:p w14:paraId="49E0449B" w14:textId="77777777" w:rsidR="00571FA8" w:rsidRDefault="00571FA8" w:rsidP="00571FA8">
      <w:r>
        <w:t xml:space="preserve">Integracijom ovih naprednih modela u šire informacijske sustave, uz definiranje specifičnih ciljeva i opremanje alatima za pristup vanjskim podacima i dugoročnoj memoriji, veliki jezični modeli evoluiraju u komunikacijske agente. Ti novi digitalni </w:t>
      </w:r>
      <w:r>
        <w:lastRenderedPageBreak/>
        <w:t>entiteti postaju naši sugovornici, asistenti, suradnici, pa čak i, kako sugerira naslov ove knjige, komunikacijski partneri. Njihov utjecaj već sada preoblikuje krajolik ljudske interakcije: omogućuju strojno prevođenje u stvarnom vremenu s dosad neviđenom preciznošću; pokreću personalizirane chatbotove za korisničku podršku dostupne 24/7; asistiraju znanstvenicima u analizi kompleksnih podataka; pomažu programerima u generiranju koda; potiču kreativnost nudeći nove ideje; te otvaraju nove putove globalne suradnje i edukacije. Oni djeluju kao svestrani prevoditelji i posrednici znanja, posjedujući iznimnu sposobnost premošćivanja jezičnih, disciplinarnih i kulturnih barijera.</w:t>
      </w:r>
    </w:p>
    <w:p w14:paraId="3BB4C587" w14:textId="77777777" w:rsidR="00571FA8" w:rsidRDefault="00571FA8" w:rsidP="00571FA8"/>
    <w:p w14:paraId="210A9001" w14:textId="77777777" w:rsidR="00571FA8" w:rsidRDefault="00571FA8" w:rsidP="00571FA8">
      <w:r>
        <w:t>Ovo djelo polazi od temeljne teze da veliki jezični modeli i AI agenti, daleko od toga da su samo napredni alati, predstavljaju fundamentalnu promjenu u prirodi komunikacije. Njihova pojava ima potencijal redefinirati društvene odnose, preoblikovati ljudsku spoznaju i iznova postaviti pitanje o samoj biti komunikacije u digitalnom dobu. Iako otvaraju neviđene mogućnosti, imperativ je kritički sagledati njihove inherentne sposobnosti i ograničenja te odgovorno i etički usmjeravati njihov razvoj i primjenu, s ciljem služenja ljudskom dostojanstvu i prosperitetu.</w:t>
      </w:r>
    </w:p>
    <w:p w14:paraId="2D43468A" w14:textId="77777777" w:rsidR="00571FA8" w:rsidRDefault="00571FA8" w:rsidP="00571FA8"/>
    <w:p w14:paraId="08F5DD40" w14:textId="77777777" w:rsidR="00571FA8" w:rsidRDefault="00571FA8" w:rsidP="00571FA8">
      <w:r>
        <w:t>Kako bismo sveobuhvatno sagledali ovu transformaciju, struktura ovog djela vodi čitatelja na putovanje od povijesnih korijena ljudske komunikacije do mogućih budućih scenarija interakcije čovjeka i stroja. Prvo poglavlje nakon uvoda (Poglavlje 2) posvećeno je detaljnom pregledu povijesti komunikacijskih tehnologija, od ere usmene predaje do digitalne revolucije. Razumijevanje dubokog utjecaja prethodnih tehnologija na oblikovanje društva i ljudske spoznaje esencijalno je za procjenu potencijalnih implikacija sadašnje revolucije umjetne inteligencije.</w:t>
      </w:r>
    </w:p>
    <w:p w14:paraId="5B358DCE" w14:textId="77777777" w:rsidR="00571FA8" w:rsidRDefault="00571FA8" w:rsidP="00571FA8"/>
    <w:p w14:paraId="308E0276" w14:textId="77777777" w:rsidR="00571FA8" w:rsidRDefault="00571FA8" w:rsidP="00571FA8">
      <w:r>
        <w:t>Nakon uspostave povijesnog konteksta, zaranjamo u srž tehnologije koja pokreće suvremene komunikacijske agente: veliki jezični modeli (Poglavlje 3). Detaljno se secira njihova arhitektura i životni ciklus, od masivnog prikupljanja podataka i pre-treniranja, preko finog podešavanja i kritičnog procesa poravnanja (alignment) s ljudskim vrijednostima, do evaluacije performansi i izazova implementacije u stvarnom svijetu. Nije izostavljeno ni kritičko razmatranje inherentnih ograničenja, etičkih rizika poput pristranosti i sigurnosnih prijetnji, te ogromne resursne intenzivnosti ovih digitalnih entiteta.</w:t>
      </w:r>
    </w:p>
    <w:p w14:paraId="53012E8D" w14:textId="77777777" w:rsidR="00571FA8" w:rsidRDefault="00571FA8" w:rsidP="00571FA8"/>
    <w:p w14:paraId="6F63AE36" w14:textId="77777777" w:rsidR="00571FA8" w:rsidRDefault="00571FA8" w:rsidP="00571FA8">
      <w:r>
        <w:t xml:space="preserve">Postavivši tehnološke temelje, studija prelazi na dublju, konceptualnu analizu kompleksnog odnosa jezika, društva i umjetne inteligencije (Poglavlje 4). Ovo poglavlje </w:t>
      </w:r>
      <w:r>
        <w:lastRenderedPageBreak/>
        <w:t>nudi dekonstrukciju jezika kao sustava značenja i fundamentalne društvene prakse, istražujući na koji način LLM-ovi, pozicionirani kao novi komunikacijski akteri, interveniraju u te procese. Razmatra se kako simuliraju društvene interakcije, oblikuju naš osjećaj identiteta te potencijalno (re)konstruiraju percepciju stvarnosti, djelujući kao moćne algoritamske leće. Detaljno se analizira uloga jezika u kolektivnom stvaranju znanja i kulture, naglašavajući nove načine na koje AI agenti sudjeluju u tim procesima, od znanstvene kolaboracije do umjetničke ko-kreacije.</w:t>
      </w:r>
    </w:p>
    <w:p w14:paraId="5E1F4966" w14:textId="77777777" w:rsidR="00571FA8" w:rsidRDefault="00571FA8" w:rsidP="00571FA8"/>
    <w:p w14:paraId="714FAA97" w14:textId="77777777" w:rsidR="00571FA8" w:rsidRDefault="00571FA8" w:rsidP="00571FA8">
      <w:r>
        <w:t>Razumijevanje fizičkog temelja umjetne inteligencije nužno je za potpuno sagledavanje njenih mogućnosti (Poglavlje 5). Stoga se analizira neraskidiva povezanost između eksponencijalnog rasta procesorske snage i ubrzanog napretka AI-ja, uspostavljajući usporedbe s evolucijom ljudskog mozga. Poglavlje razmatra kako ova računalna snaga omogućuje postojanje današnjih LLM-ova te nagovještava buduće horizonte razvoja još moćnijih sustava, uključujući potencijal za multi-agentske sustave i dugoročnu potragu za ostvarenjem opće umjetne inteligencije (AGI).</w:t>
      </w:r>
    </w:p>
    <w:p w14:paraId="18504936" w14:textId="77777777" w:rsidR="00571FA8" w:rsidRDefault="00571FA8" w:rsidP="00571FA8"/>
    <w:p w14:paraId="5B1554E3" w14:textId="77777777" w:rsidR="00571FA8" w:rsidRDefault="00571FA8" w:rsidP="00571FA8">
      <w:r>
        <w:t>Postavljanjem teorijskih i tehnoloških temelja, studija prelazi na praktične aspekte izgradnje komunikacijskih partnera (Poglavlje 6). Ovo poglavlje detaljno elaborira proces transformacije temeljne LLM jezgre u funkcionalnog AI agenta. Analiziraju se ključne tehnike: prompt inženjering kao umijeće efikasnog upravljanja LLM-om; Retrieval-Augmented Generation (RAG) koja agentima osigurava pristup i korištenje relevantnog, ažurnog vanjskog znanja; te mehanizmi za korištenje alata (Tool Use) koji agentima omogućuju interakciju i djelovanje unutar digitalnog ekosustava.</w:t>
      </w:r>
    </w:p>
    <w:p w14:paraId="5C66721D" w14:textId="77777777" w:rsidR="00571FA8" w:rsidRDefault="00571FA8" w:rsidP="00571FA8"/>
    <w:p w14:paraId="6134A0B8" w14:textId="77777777" w:rsidR="00571FA8" w:rsidRDefault="00571FA8" w:rsidP="00571FA8">
      <w:r>
        <w:t>Da bi se ilustrirale konceptualne i tehničke postavke, Poglavlje 7 donosi konkretne primjere i studije slučaja implementacije. Prikazuje se kako se AI agenti koriste za transformaciju korisničke podrške, omogućavanje personaliziranog obrazovanja, unapređenje marketinških strategija te pronalaze primjenu u zdravstvu, optimizaciji poslovnih procesa i kreativnim industrijama. Analiza naglašava načine stvaranja dodane vrijednosti, ali i identificira nove izazove proizašle iz njihove praktične primjene.</w:t>
      </w:r>
    </w:p>
    <w:p w14:paraId="3B06990C" w14:textId="77777777" w:rsidR="00571FA8" w:rsidRDefault="00571FA8" w:rsidP="00571FA8"/>
    <w:p w14:paraId="78C9753C" w14:textId="7BADAC2B" w:rsidR="00571FA8" w:rsidRDefault="00571FA8" w:rsidP="00571FA8">
      <w:r>
        <w:t xml:space="preserve">Zaključno, posljednje poglavlje (Poglavlje 8) nudi spekulativni, no na postojećim trendovima utemeljen pogled u blisku budućnost (približno 2030.-2035.). Kroz narativnu skicu svakodnevice i analizu ključnih tehnoloških i društvenih pokretača, poput ambijentalne inteligencije, hiper-personalizacije i sinergije multi-agentskih sustava, nastoji se vizualizirati mogući izgled svijeta prožetog sveprisutnim, proaktivnim i autonomnim digitalnim suputnicima. Poglavlje razmatra potencijal za istinsku simbiozu </w:t>
      </w:r>
      <w:r>
        <w:lastRenderedPageBreak/>
        <w:t>čovjeka i AI-ja, ali i neizbježne društvene i etičke dileme koje takva budućnost postavlja, vagajući utopijske potencijale naspram distopijskih rizika.</w:t>
      </w:r>
    </w:p>
    <w:p w14:paraId="0E526288" w14:textId="40BA6318" w:rsidR="00571FA8" w:rsidRDefault="00571FA8" w:rsidP="00571FA8">
      <w:r>
        <w:t>Kroz sva poglavlja provlači se nekoliko ključnih tematskih niti: evolucija komunikacije shvaćena kao kontinuirani proces tehnoloških i društvenih transformacija; veliki jezični modeli kao iznimno moćna, no istovremeno inherentno ograničena tehnologija; AI agenti kao entiteti koji nadilaze status pukog alata i postaju komunikacijski partneri; te neprestana potreba za kritičkim promišljanjem etičkih implikacija i odgovornim usmjeravanjem budućnosti interakcije čovjeka i stroja. Cilj ovog djela jest pružiti čitatelju dubinsko razumijevanje načina funkcioniranja ovih sustava te širi kontekst o njihovoj važnosti i potencijalnim putanjama razvoja.</w:t>
      </w:r>
    </w:p>
    <w:p w14:paraId="16A86CB9" w14:textId="099AB674" w:rsidR="00571FA8" w:rsidRDefault="00571FA8" w:rsidP="00571FA8">
      <w:r>
        <w:t>Kroz cjelokupnu ljudsku povijest, komunikacija je služila kao fundamentalni mehanizam za uspostavu veza među pojedincima, izgradnju zajedničkih stvarnosti te oblikovanje institucija i kultura koje definiraju naš svijet. Danas, na ovom kritičnom povijesnom raskrižju, pojava velikih jezičnih modela i AI agenata koje oni omogućuju nudi izvanrednu priliku – ali istovremeno i značajan izazov – da taj ključni mehanizam učinimo eksponencijalno učinkovitijim, globalno dostupnijim i potencijalno inteligentnijim nego ikada prije. Ovo djelo predstavlja poziv na istraživanje tog raskrižja: točke gdje se tisućljetna povijest ljudske komunikacije susreće s najnaprednijom tehnologijom 21. stoljeća. Zajedno ćemo proniknuti u načine na koje se prošlost i budućnost prelamaju u sadašnjem trenutku razvoja umjetne inteligencije, oblikujući ne samo tehnološke alate koje koristimo, već potencijalno i samu suštinu ljudske komunikacije u digitalnom dobu.</w:t>
      </w:r>
    </w:p>
    <w:p w14:paraId="465C73EA" w14:textId="77777777" w:rsidR="00FB3337" w:rsidRDefault="00FB3337" w:rsidP="00DD548F">
      <w:pPr>
        <w:jc w:val="right"/>
      </w:pPr>
    </w:p>
    <w:sectPr w:rsidR="00FB33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22DBC"/>
    <w:multiLevelType w:val="multilevel"/>
    <w:tmpl w:val="9B8CC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D133E9"/>
    <w:multiLevelType w:val="multilevel"/>
    <w:tmpl w:val="710EA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E06C5A"/>
    <w:multiLevelType w:val="multilevel"/>
    <w:tmpl w:val="2308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1700943">
    <w:abstractNumId w:val="2"/>
  </w:num>
  <w:num w:numId="2" w16cid:durableId="1609314659">
    <w:abstractNumId w:val="1"/>
  </w:num>
  <w:num w:numId="3" w16cid:durableId="562060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8D2D9A"/>
    <w:rsid w:val="001937AA"/>
    <w:rsid w:val="00326802"/>
    <w:rsid w:val="0044686B"/>
    <w:rsid w:val="004963D7"/>
    <w:rsid w:val="00571FA8"/>
    <w:rsid w:val="008577B3"/>
    <w:rsid w:val="008D2D9A"/>
    <w:rsid w:val="00CA0B34"/>
    <w:rsid w:val="00CA2382"/>
    <w:rsid w:val="00CD73D7"/>
    <w:rsid w:val="00DD548F"/>
    <w:rsid w:val="00E65150"/>
    <w:rsid w:val="00F05686"/>
    <w:rsid w:val="00FB3337"/>
  </w:rsids>
  <m:mathPr>
    <m:mathFont m:val="Cambria Math"/>
    <m:brkBin m:val="before"/>
    <m:brkBinSub m:val="--"/>
    <m:smallFrac m:val="0"/>
    <m:dispDef/>
    <m:lMargin m:val="0"/>
    <m:rMargin m:val="0"/>
    <m:defJc m:val="centerGroup"/>
    <m:wrapIndent m:val="1440"/>
    <m:intLim m:val="subSup"/>
    <m:naryLim m:val="undOvr"/>
  </m:mathPr>
  <w:themeFontLang w:val="hr-H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23F72"/>
  <w15:chartTrackingRefBased/>
  <w15:docId w15:val="{87191D4A-D8C5-4D61-9213-F41E3F01E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hr-HR"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D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D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D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D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D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D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D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D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D9A"/>
    <w:rPr>
      <w:rFonts w:eastAsiaTheme="majorEastAsia" w:cstheme="majorBidi"/>
      <w:color w:val="272727" w:themeColor="text1" w:themeTint="D8"/>
    </w:rPr>
  </w:style>
  <w:style w:type="paragraph" w:styleId="Title">
    <w:name w:val="Title"/>
    <w:basedOn w:val="Normal"/>
    <w:next w:val="Normal"/>
    <w:link w:val="TitleChar"/>
    <w:uiPriority w:val="10"/>
    <w:qFormat/>
    <w:rsid w:val="008D2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D9A"/>
    <w:pPr>
      <w:spacing w:before="160"/>
      <w:jc w:val="center"/>
    </w:pPr>
    <w:rPr>
      <w:i/>
      <w:iCs/>
      <w:color w:val="404040" w:themeColor="text1" w:themeTint="BF"/>
    </w:rPr>
  </w:style>
  <w:style w:type="character" w:customStyle="1" w:styleId="QuoteChar">
    <w:name w:val="Quote Char"/>
    <w:basedOn w:val="DefaultParagraphFont"/>
    <w:link w:val="Quote"/>
    <w:uiPriority w:val="29"/>
    <w:rsid w:val="008D2D9A"/>
    <w:rPr>
      <w:i/>
      <w:iCs/>
      <w:color w:val="404040" w:themeColor="text1" w:themeTint="BF"/>
    </w:rPr>
  </w:style>
  <w:style w:type="paragraph" w:styleId="ListParagraph">
    <w:name w:val="List Paragraph"/>
    <w:basedOn w:val="Normal"/>
    <w:uiPriority w:val="34"/>
    <w:qFormat/>
    <w:rsid w:val="008D2D9A"/>
    <w:pPr>
      <w:ind w:left="720"/>
      <w:contextualSpacing/>
    </w:pPr>
  </w:style>
  <w:style w:type="character" w:styleId="IntenseEmphasis">
    <w:name w:val="Intense Emphasis"/>
    <w:basedOn w:val="DefaultParagraphFont"/>
    <w:uiPriority w:val="21"/>
    <w:qFormat/>
    <w:rsid w:val="008D2D9A"/>
    <w:rPr>
      <w:i/>
      <w:iCs/>
      <w:color w:val="0F4761" w:themeColor="accent1" w:themeShade="BF"/>
    </w:rPr>
  </w:style>
  <w:style w:type="paragraph" w:styleId="IntenseQuote">
    <w:name w:val="Intense Quote"/>
    <w:basedOn w:val="Normal"/>
    <w:next w:val="Normal"/>
    <w:link w:val="IntenseQuoteChar"/>
    <w:uiPriority w:val="30"/>
    <w:qFormat/>
    <w:rsid w:val="008D2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D9A"/>
    <w:rPr>
      <w:i/>
      <w:iCs/>
      <w:color w:val="0F4761" w:themeColor="accent1" w:themeShade="BF"/>
    </w:rPr>
  </w:style>
  <w:style w:type="character" w:styleId="IntenseReference">
    <w:name w:val="Intense Reference"/>
    <w:basedOn w:val="DefaultParagraphFont"/>
    <w:uiPriority w:val="32"/>
    <w:qFormat/>
    <w:rsid w:val="008D2D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2038129">
      <w:bodyDiv w:val="1"/>
      <w:marLeft w:val="0"/>
      <w:marRight w:val="0"/>
      <w:marTop w:val="0"/>
      <w:marBottom w:val="0"/>
      <w:divBdr>
        <w:top w:val="none" w:sz="0" w:space="0" w:color="auto"/>
        <w:left w:val="none" w:sz="0" w:space="0" w:color="auto"/>
        <w:bottom w:val="none" w:sz="0" w:space="0" w:color="auto"/>
        <w:right w:val="none" w:sz="0" w:space="0" w:color="auto"/>
      </w:divBdr>
      <w:divsChild>
        <w:div w:id="162484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520315461">
          <w:blockQuote w:val="1"/>
          <w:marLeft w:val="720"/>
          <w:marRight w:val="720"/>
          <w:marTop w:val="100"/>
          <w:marBottom w:val="100"/>
          <w:divBdr>
            <w:top w:val="none" w:sz="0" w:space="0" w:color="auto"/>
            <w:left w:val="none" w:sz="0" w:space="0" w:color="auto"/>
            <w:bottom w:val="none" w:sz="0" w:space="0" w:color="auto"/>
            <w:right w:val="none" w:sz="0" w:space="0" w:color="auto"/>
          </w:divBdr>
        </w:div>
        <w:div w:id="838429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438674">
      <w:bodyDiv w:val="1"/>
      <w:marLeft w:val="0"/>
      <w:marRight w:val="0"/>
      <w:marTop w:val="0"/>
      <w:marBottom w:val="0"/>
      <w:divBdr>
        <w:top w:val="none" w:sz="0" w:space="0" w:color="auto"/>
        <w:left w:val="none" w:sz="0" w:space="0" w:color="auto"/>
        <w:bottom w:val="none" w:sz="0" w:space="0" w:color="auto"/>
        <w:right w:val="none" w:sz="0" w:space="0" w:color="auto"/>
      </w:divBdr>
      <w:divsChild>
        <w:div w:id="987130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3069363">
          <w:blockQuote w:val="1"/>
          <w:marLeft w:val="720"/>
          <w:marRight w:val="720"/>
          <w:marTop w:val="100"/>
          <w:marBottom w:val="100"/>
          <w:divBdr>
            <w:top w:val="none" w:sz="0" w:space="0" w:color="auto"/>
            <w:left w:val="none" w:sz="0" w:space="0" w:color="auto"/>
            <w:bottom w:val="none" w:sz="0" w:space="0" w:color="auto"/>
            <w:right w:val="none" w:sz="0" w:space="0" w:color="auto"/>
          </w:divBdr>
        </w:div>
        <w:div w:id="443773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8</Pages>
  <Words>2286</Words>
  <Characters>13035</Characters>
  <Application>Microsoft Office Word</Application>
  <DocSecurity>0</DocSecurity>
  <Lines>108</Lines>
  <Paragraphs>30</Paragraphs>
  <ScaleCrop>false</ScaleCrop>
  <Company/>
  <LinksUpToDate>false</LinksUpToDate>
  <CharactersWithSpaces>15291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Benedikt Perak</dc:creator>
  <cp:keywords/>
  <dc:description/>
  <cp:lastModifiedBy>Benedikt Perak</cp:lastModifiedBy>
  <cp:revision>4</cp:revision>
  <dcterms:created xsi:type="dcterms:W3CDTF">2025-06-02T14:41:00Z</dcterms:created>
  <dcterms:modified xsi:type="dcterms:W3CDTF">2025-06-02T17:36:00Z</dcterms:modified>
</cp:coreProperties>
</file>