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00"/>
          <w:sz w:val="40"/>
          <w:szCs w:val="40"/>
        </w:rPr>
      </w:pPr>
      <w:r w:rsidDel="00000000" w:rsidR="00000000" w:rsidRPr="00000000">
        <w:rPr>
          <w:b w:val="1"/>
          <w:color w:val="990000"/>
          <w:sz w:val="40"/>
          <w:szCs w:val="40"/>
          <w:rtl w:val="0"/>
        </w:rPr>
        <w:t xml:space="preserve">Documentation base de données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i w:val="1"/>
          <w:sz w:val="24"/>
          <w:szCs w:val="24"/>
          <w:rtl w:val="0"/>
        </w:rPr>
        <w:t xml:space="preserve">Objectif </w:t>
      </w:r>
      <w:r w:rsidDel="00000000" w:rsidR="00000000" w:rsidRPr="00000000">
        <w:rPr>
          <w:sz w:val="24"/>
          <w:szCs w:val="24"/>
          <w:rtl w:val="0"/>
        </w:rPr>
        <w:t xml:space="preserve">: fournir les données qui seront utilisées dans le code python pour simuler l’évolution des prix du marché. Pour l’instant seulement avec les données entre 2015 et 2019 car pas de disponibilité avant et variations COVID/guerre en Ukraine après.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i w:val="1"/>
          <w:sz w:val="24"/>
          <w:szCs w:val="24"/>
          <w:rtl w:val="0"/>
        </w:rPr>
        <w:t xml:space="preserve">Contenu </w:t>
      </w:r>
      <w:r w:rsidDel="00000000" w:rsidR="00000000" w:rsidRPr="00000000">
        <w:rPr>
          <w:sz w:val="24"/>
          <w:szCs w:val="24"/>
          <w:rtl w:val="0"/>
        </w:rPr>
        <w:t xml:space="preserve">:</w:t>
      </w:r>
    </w:p>
    <w:p w:rsidR="00000000" w:rsidDel="00000000" w:rsidP="00000000" w:rsidRDefault="00000000" w:rsidRPr="00000000" w14:paraId="00000006">
      <w:pPr>
        <w:numPr>
          <w:ilvl w:val="0"/>
          <w:numId w:val="2"/>
        </w:numPr>
        <w:ind w:left="720" w:hanging="360"/>
        <w:jc w:val="both"/>
        <w:rPr>
          <w:sz w:val="24"/>
          <w:szCs w:val="24"/>
        </w:rPr>
      </w:pPr>
      <w:r w:rsidDel="00000000" w:rsidR="00000000" w:rsidRPr="00000000">
        <w:rPr>
          <w:sz w:val="24"/>
          <w:szCs w:val="24"/>
          <w:rtl w:val="0"/>
        </w:rPr>
        <w:t xml:space="preserve">Un dossier “Prix spot marché” permettant de comparer notre modèle aux données réelles passées afin de l’ajuster et de mieux coller à la réalité;</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sz w:val="24"/>
          <w:szCs w:val="24"/>
          <w:rtl w:val="0"/>
        </w:rPr>
        <w:t xml:space="preserve">Un dossier “Stockage hydro” afin d’avoir la capacité de stockages des STEP en France et ses pays limitrophes pour l’évolution des coûts des moyens de stockage;</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Un dossier “Production électrique réelle” montrant la quantité d’électricité réellement produite (après marché spot) divisée par moyen de production;</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sz w:val="24"/>
          <w:szCs w:val="24"/>
          <w:u w:val="none"/>
        </w:rPr>
      </w:pPr>
      <w:r w:rsidDel="00000000" w:rsidR="00000000" w:rsidRPr="00000000">
        <w:rPr>
          <w:sz w:val="24"/>
          <w:szCs w:val="24"/>
          <w:rtl w:val="0"/>
        </w:rPr>
        <w:t xml:space="preserve">Un fichier “Connection capacities” donnant les capacités des interconnexions des pays européens;</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i w:val="1"/>
          <w:sz w:val="24"/>
          <w:szCs w:val="24"/>
          <w:rtl w:val="0"/>
        </w:rPr>
        <w:t xml:space="preserve">Format : </w:t>
      </w:r>
      <w:r w:rsidDel="00000000" w:rsidR="00000000" w:rsidRPr="00000000">
        <w:rPr>
          <w:sz w:val="24"/>
          <w:szCs w:val="24"/>
          <w:rtl w:val="0"/>
        </w:rPr>
        <w:t xml:space="preserve">sous forme de tableaux excel, un tableau pour chaque catégorie et pour chaque pays afin d’avoir une vision répartie des différentes données. On a récupéré les données allant de 2015 à 2019 et sont toutes regroupées dans une même feuille.</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sz w:val="24"/>
          <w:szCs w:val="24"/>
        </w:rPr>
      </w:pPr>
      <w:r w:rsidDel="00000000" w:rsidR="00000000" w:rsidRPr="00000000">
        <w:rPr>
          <w:b w:val="1"/>
          <w:sz w:val="24"/>
          <w:szCs w:val="24"/>
          <w:rtl w:val="0"/>
        </w:rPr>
        <w:t xml:space="preserve">Dossier “Prix spot marché”</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Ce dossier comprend les fichiers des prix spot, récupérés sur energygraph, divisés par année. Le format est le même pour chaque fichier xml : une colonne Time donnant la date et l’heure de la journée (division par pas horaire), puis une colonne pour chacune des zones économiques européennes avec les prix de l’électricité correspondants. Pour l’instant nous conservons la répartition par zone, mais cela peut être amené à changer étant donné que la production est divisée par pays uniquement. Les prix sont affichés en €/MWh.</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Certaines cellules sont vides, soit en raison d’un non-raccordement au réseau avant une certaine date, soit en raison d’une maintenance. Ces manques de données seront à prendre en compte lors de la démarche d’établissement des scénarios.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sz w:val="24"/>
          <w:szCs w:val="24"/>
          <w:u w:val="none"/>
        </w:rPr>
      </w:pPr>
      <w:r w:rsidDel="00000000" w:rsidR="00000000" w:rsidRPr="00000000">
        <w:rPr>
          <w:b w:val="1"/>
          <w:sz w:val="24"/>
          <w:szCs w:val="24"/>
          <w:rtl w:val="0"/>
        </w:rPr>
        <w:t xml:space="preserve">Dossier “Stockage hydro”</w:t>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Ce dossier comprend les fichiers de capacité de stockage par STEP de chaque zone européenne, récupérés sur le site de l’ENTSOE, Encore une fois il s’agit de fichiers xml avec une colonne Week séparant les stockages par semaine, les années allant de 2015 à 2019 et les valeurs de stockage en MWh. </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b w:val="1"/>
          <w:sz w:val="24"/>
          <w:szCs w:val="24"/>
          <w:u w:val="none"/>
        </w:rPr>
      </w:pPr>
      <w:r w:rsidDel="00000000" w:rsidR="00000000" w:rsidRPr="00000000">
        <w:rPr>
          <w:b w:val="1"/>
          <w:sz w:val="24"/>
          <w:szCs w:val="24"/>
          <w:rtl w:val="0"/>
        </w:rPr>
        <w:t xml:space="preserve">Dossier “Production électrique réelle”</w:t>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Ce dossier comprend les fichiers de production d’électricité, récupérés sur energygraph, divisés par pays et par période temporelle (2015-2019 pour l’instant). En terme de format, chaque fichier comprend une colonne Début de l’heure indiquant la date et l’heure de la mesure (division par pas horaire là encore), puis des colonnes indiquant les différents moyens de production (au nombre de 19 tels que répertoriés sur le site). Les données ont toutes été converties en MWh de manière à faciliter les calculs et conversions avec le dossier des prix spot.</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sz w:val="24"/>
          <w:szCs w:val="24"/>
          <w:u w:val="none"/>
        </w:rPr>
      </w:pPr>
      <w:r w:rsidDel="00000000" w:rsidR="00000000" w:rsidRPr="00000000">
        <w:rPr>
          <w:b w:val="1"/>
          <w:sz w:val="24"/>
          <w:szCs w:val="24"/>
          <w:rtl w:val="0"/>
        </w:rPr>
        <w:t xml:space="preserve">Fichier “Connection capacities”</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 xml:space="preserve">Ce fichier comprend un classeur xlm avec dans la première colonne un pays donné, dans la seconde l’un de ses pays limitrophe puis la capacité d’interconnexion en MW. A noter que chaque interconnexion n’est présentée qu’une seule fois, c’est-à-dire qu’il est sous-entendu que la capacité est la même dans les deux sens.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-371474</wp:posOffset>
          </wp:positionH>
          <wp:positionV relativeFrom="paragraph">
            <wp:posOffset>-342899</wp:posOffset>
          </wp:positionV>
          <wp:extent cx="1230071" cy="5191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0071" cy="5191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5105400</wp:posOffset>
          </wp:positionH>
          <wp:positionV relativeFrom="paragraph">
            <wp:posOffset>-342899</wp:posOffset>
          </wp:positionV>
          <wp:extent cx="938213" cy="5414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38213" cy="5414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