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52F86" w:rsidRDefault="007F5F48" w:rsidP="007F5F48">
      <w:pPr>
        <w:jc w:val="right"/>
      </w:pPr>
      <w:r>
        <w:t>Brad Pershon</w:t>
      </w:r>
      <w:r>
        <w:br/>
        <w:t>Data Mining</w:t>
      </w:r>
      <w:r>
        <w:br/>
        <w:t>Course Project Report</w:t>
      </w:r>
    </w:p>
    <w:p w:rsidR="007F5F48" w:rsidRDefault="007F5F48" w:rsidP="007F5F48">
      <w:pPr>
        <w:rPr>
          <w:rFonts w:asciiTheme="majorHAnsi" w:hAnsiTheme="majorHAnsi"/>
          <w:b/>
          <w:u w:val="single"/>
        </w:rPr>
      </w:pPr>
      <w:r>
        <w:rPr>
          <w:rFonts w:asciiTheme="majorHAnsi" w:hAnsiTheme="majorHAnsi"/>
          <w:b/>
          <w:u w:val="single"/>
        </w:rPr>
        <w:t>Introduction</w:t>
      </w:r>
    </w:p>
    <w:p w:rsidR="00A85E30" w:rsidRDefault="002E273C" w:rsidP="007F5F48">
      <w:r>
        <w:tab/>
      </w:r>
      <w:r w:rsidR="00A85E30">
        <w:t xml:space="preserve">Can we determine if a tumor is benign or malignant from a digitized image? That is the question we are attempting to answer by analyzing the Breast Cancer Wisconsin dataset. Our project will utilize an ensemble learner to determine if measurements taken from digital images can indeed determine tumor status. Our model will examine 30 attributes and use the </w:t>
      </w:r>
      <w:proofErr w:type="spellStart"/>
      <w:r w:rsidR="00A85E30">
        <w:t>Adaboost</w:t>
      </w:r>
      <w:proofErr w:type="spellEnd"/>
      <w:r w:rsidR="00A85E30">
        <w:t xml:space="preserve"> algorithm outlined in class. </w:t>
      </w:r>
    </w:p>
    <w:p w:rsidR="007F5F48" w:rsidRPr="007F5F48" w:rsidRDefault="002E273C" w:rsidP="00A85E30">
      <w:pPr>
        <w:ind w:firstLine="720"/>
      </w:pPr>
      <w:r>
        <w:t xml:space="preserve">The purpose of our final project was to implement the Ensemble Classifier </w:t>
      </w:r>
      <w:proofErr w:type="spellStart"/>
      <w:r>
        <w:t>Adaboost</w:t>
      </w:r>
      <w:proofErr w:type="spellEnd"/>
      <w:r>
        <w:t xml:space="preserve">. The </w:t>
      </w:r>
      <w:proofErr w:type="spellStart"/>
      <w:r>
        <w:t>Adaboost</w:t>
      </w:r>
      <w:proofErr w:type="spellEnd"/>
      <w:r>
        <w:t xml:space="preserve"> algorithm </w:t>
      </w:r>
      <w:r w:rsidR="00393236">
        <w:t xml:space="preserve">combines a collection of unstable learners to improve performance over a </w:t>
      </w:r>
      <w:r w:rsidR="00077544">
        <w:t xml:space="preserve">single </w:t>
      </w:r>
      <w:r w:rsidR="00393236">
        <w:t xml:space="preserve">base classifier. It achieves this increased performance by </w:t>
      </w:r>
      <w:r w:rsidR="00EF508A">
        <w:t xml:space="preserve">manipulating the training data set which leads to a reduction in variance. </w:t>
      </w:r>
      <w:r w:rsidR="00746216">
        <w:t xml:space="preserve">Our </w:t>
      </w:r>
      <w:proofErr w:type="spellStart"/>
      <w:r w:rsidR="00746216">
        <w:t>Adaboost</w:t>
      </w:r>
      <w:proofErr w:type="spellEnd"/>
      <w:r w:rsidR="00746216">
        <w:t xml:space="preserve"> implementation can use either a Decision Tree base classifier or a K-Nearest Neighbors classifier. In our report we attempt to determine if one base classifier outperforms the other within the </w:t>
      </w:r>
      <w:proofErr w:type="spellStart"/>
      <w:r w:rsidR="00746216">
        <w:t>Adaboost</w:t>
      </w:r>
      <w:proofErr w:type="spellEnd"/>
      <w:r w:rsidR="00746216">
        <w:t xml:space="preserve"> framework. </w:t>
      </w:r>
    </w:p>
    <w:p w:rsidR="007F5F48" w:rsidRDefault="007F5F48" w:rsidP="007F5F48">
      <w:pPr>
        <w:rPr>
          <w:rFonts w:asciiTheme="majorHAnsi" w:hAnsiTheme="majorHAnsi"/>
          <w:b/>
          <w:u w:val="single"/>
        </w:rPr>
      </w:pPr>
      <w:r>
        <w:rPr>
          <w:rFonts w:asciiTheme="majorHAnsi" w:hAnsiTheme="majorHAnsi"/>
          <w:b/>
          <w:u w:val="single"/>
        </w:rPr>
        <w:t>Data Set</w:t>
      </w:r>
    </w:p>
    <w:p w:rsidR="007F5F48" w:rsidRDefault="005076FC" w:rsidP="007F5F48">
      <w:r>
        <w:tab/>
        <w:t xml:space="preserve">The Breast Cancer Wisconsin (Diagnostic) Data Set was obtained from the UCI Machine Learning Repository. </w:t>
      </w:r>
      <w:r w:rsidR="00B46679">
        <w:t>As stated on the repositories description, the data set consist of</w:t>
      </w:r>
      <w:r>
        <w:t xml:space="preserve"> “features computed from a digitized image of a fine needle aspirate of a breast mass. </w:t>
      </w:r>
      <w:r w:rsidR="00B46679">
        <w:t>They describe characteristics of the cell nuclei present in the image</w:t>
      </w:r>
      <w:r w:rsidR="00CF3453">
        <w:t>.</w:t>
      </w:r>
      <w:r w:rsidR="00B46679">
        <w:t xml:space="preserve">” </w:t>
      </w:r>
      <w:r w:rsidR="00B46679">
        <w:rPr>
          <w:vertAlign w:val="superscript"/>
        </w:rPr>
        <w:t>[1]</w:t>
      </w:r>
      <w:r w:rsidR="00B46679">
        <w:t xml:space="preserve"> </w:t>
      </w:r>
      <w:r w:rsidR="009E55A1">
        <w:t xml:space="preserve">There are 30 measurement features, a record ID, and a class label. </w:t>
      </w:r>
    </w:p>
    <w:p w:rsidR="009E55A1" w:rsidRPr="00077544" w:rsidRDefault="00B46679" w:rsidP="00077544">
      <w:pPr>
        <w:jc w:val="center"/>
        <w:rPr>
          <w:i/>
          <w:vertAlign w:val="superscript"/>
        </w:rPr>
      </w:pPr>
      <w:r>
        <w:rPr>
          <w:noProof/>
        </w:rPr>
        <w:drawing>
          <wp:inline distT="0" distB="0" distL="0" distR="0" wp14:anchorId="23813769" wp14:editId="2F3786F2">
            <wp:extent cx="3671350" cy="3456796"/>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lignant.png"/>
                    <pic:cNvPicPr/>
                  </pic:nvPicPr>
                  <pic:blipFill>
                    <a:blip r:embed="rId7">
                      <a:extLst>
                        <a:ext uri="{28A0092B-C50C-407E-A947-70E740481C1C}">
                          <a14:useLocalDpi xmlns:a14="http://schemas.microsoft.com/office/drawing/2010/main" val="0"/>
                        </a:ext>
                      </a:extLst>
                    </a:blip>
                    <a:stretch>
                      <a:fillRect/>
                    </a:stretch>
                  </pic:blipFill>
                  <pic:spPr>
                    <a:xfrm>
                      <a:off x="0" y="0"/>
                      <a:ext cx="3671253" cy="3456704"/>
                    </a:xfrm>
                    <a:prstGeom prst="rect">
                      <a:avLst/>
                    </a:prstGeom>
                  </pic:spPr>
                </pic:pic>
              </a:graphicData>
            </a:graphic>
          </wp:inline>
        </w:drawing>
      </w:r>
      <w:r>
        <w:br/>
      </w:r>
      <w:r>
        <w:rPr>
          <w:i/>
        </w:rPr>
        <w:t xml:space="preserve">Figure 1: </w:t>
      </w:r>
      <w:r w:rsidR="00C1252D">
        <w:rPr>
          <w:i/>
        </w:rPr>
        <w:t xml:space="preserve">Digitized image of a fine needle aspirate of a breast mass. </w:t>
      </w:r>
      <w:r w:rsidR="00077544">
        <w:rPr>
          <w:i/>
          <w:vertAlign w:val="superscript"/>
        </w:rPr>
        <w:t>[2</w:t>
      </w:r>
      <w:r w:rsidR="00E46267">
        <w:rPr>
          <w:i/>
          <w:vertAlign w:val="superscript"/>
        </w:rPr>
        <w:t>]</w:t>
      </w:r>
    </w:p>
    <w:p w:rsidR="009E55A1" w:rsidRDefault="009E55A1" w:rsidP="007F5F48">
      <w:r>
        <w:lastRenderedPageBreak/>
        <w:tab/>
        <w:t xml:space="preserve">The data set has 569 records split into 2 classes: Benign and Malignant. The malignant class makes up 37.3% of the population at 212 records, while the benign class is 62.7% of the population at 357 records. </w:t>
      </w:r>
    </w:p>
    <w:p w:rsidR="00CF3453" w:rsidRDefault="005076FC" w:rsidP="005076FC">
      <w:pPr>
        <w:jc w:val="center"/>
        <w:rPr>
          <w:i/>
        </w:rPr>
      </w:pPr>
      <w:r>
        <w:rPr>
          <w:noProof/>
        </w:rPr>
        <w:drawing>
          <wp:inline distT="0" distB="0" distL="0" distR="0" wp14:anchorId="4B921D1C" wp14:editId="510E5B6A">
            <wp:extent cx="3746977" cy="2323813"/>
            <wp:effectExtent l="0" t="0" r="25400" b="1968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r w:rsidR="009E55A1">
        <w:br/>
      </w:r>
      <w:r w:rsidR="009E55A1">
        <w:rPr>
          <w:i/>
        </w:rPr>
        <w:t>Figure 2: Class distribution of the Wisconsin Breast Cancer data set.</w:t>
      </w:r>
    </w:p>
    <w:p w:rsidR="00321E4D" w:rsidRDefault="00321E4D" w:rsidP="005076FC">
      <w:pPr>
        <w:jc w:val="center"/>
        <w:rPr>
          <w:i/>
        </w:rPr>
      </w:pPr>
    </w:p>
    <w:p w:rsidR="00321E4D" w:rsidRPr="00321E4D" w:rsidRDefault="00973754" w:rsidP="00321E4D">
      <w:pPr>
        <w:jc w:val="center"/>
        <w:rPr>
          <w:i/>
        </w:rPr>
      </w:pPr>
      <w:r>
        <w:rPr>
          <w:noProof/>
        </w:rPr>
        <w:drawing>
          <wp:inline distT="0" distB="0" distL="0" distR="0" wp14:anchorId="404D29C0" wp14:editId="63206CED">
            <wp:extent cx="5214668" cy="2855343"/>
            <wp:effectExtent l="0" t="0" r="24130" b="2159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r w:rsidR="00321E4D">
        <w:br/>
      </w:r>
      <w:r w:rsidR="00321E4D">
        <w:rPr>
          <w:i/>
        </w:rPr>
        <w:t xml:space="preserve">Figure 3: Parallel coordinates plot for </w:t>
      </w:r>
      <w:r w:rsidR="009D7FD8">
        <w:rPr>
          <w:i/>
        </w:rPr>
        <w:t>the first 5 Benign and Malignant records.</w:t>
      </w:r>
    </w:p>
    <w:p w:rsidR="009D7FD8" w:rsidRDefault="009E427B" w:rsidP="00CF3453">
      <w:pPr>
        <w:rPr>
          <w:b/>
          <w:i/>
        </w:rPr>
      </w:pPr>
      <w:r>
        <w:rPr>
          <w:b/>
          <w:i/>
        </w:rPr>
        <w:tab/>
      </w:r>
    </w:p>
    <w:p w:rsidR="009D7FD8" w:rsidRPr="009D7FD8" w:rsidRDefault="009D7FD8" w:rsidP="00CF3453">
      <w:r>
        <w:tab/>
        <w:t>To help visualize the data we created a parallel coordinates plot of the first 5 records belonging to each class. The first 4 features of each record are related to the average size of the growth, based on the graph one might conclude that on average malignant growths are smaller than benign growths. This is a very limited sample size, but it does give a small insight into what might happen in our data.</w:t>
      </w:r>
    </w:p>
    <w:p w:rsidR="009D7FD8" w:rsidRDefault="009D7FD8" w:rsidP="00CF3453">
      <w:pPr>
        <w:rPr>
          <w:b/>
          <w:i/>
        </w:rPr>
      </w:pPr>
    </w:p>
    <w:p w:rsidR="005076FC" w:rsidRDefault="009E427B" w:rsidP="009D7FD8">
      <w:pPr>
        <w:ind w:firstLine="720"/>
      </w:pPr>
      <w:r>
        <w:t xml:space="preserve">The data set was transformed during our preprocessing stage to aid our implementation. First the class labels were altered from B and M to 1 and -1 respectively. All 30 measurement features were normalized, and the ID field was removed as it had no influence on the class labels. </w:t>
      </w:r>
    </w:p>
    <w:p w:rsidR="009D7FD8" w:rsidRDefault="009D7FD8" w:rsidP="00CF3453"/>
    <w:p w:rsidR="002F58EB" w:rsidRPr="007F5F48" w:rsidRDefault="002F58EB" w:rsidP="00CF3453">
      <w:r w:rsidRPr="002F58EB">
        <w:rPr>
          <w:rFonts w:asciiTheme="majorHAnsi" w:hAnsiTheme="majorHAnsi"/>
          <w:b/>
          <w:noProof/>
          <w:u w:val="single"/>
        </w:rPr>
        <mc:AlternateContent>
          <mc:Choice Requires="wps">
            <w:drawing>
              <wp:anchor distT="0" distB="0" distL="114300" distR="114300" simplePos="0" relativeHeight="251677696" behindDoc="0" locked="0" layoutInCell="1" allowOverlap="1" wp14:anchorId="73E47350" wp14:editId="1E28ACD1">
                <wp:simplePos x="0" y="0"/>
                <wp:positionH relativeFrom="column">
                  <wp:posOffset>3117239</wp:posOffset>
                </wp:positionH>
                <wp:positionV relativeFrom="paragraph">
                  <wp:posOffset>486279</wp:posOffset>
                </wp:positionV>
                <wp:extent cx="2583180" cy="258445"/>
                <wp:effectExtent l="0" t="0" r="7620" b="8255"/>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3180" cy="258445"/>
                        </a:xfrm>
                        <a:prstGeom prst="rect">
                          <a:avLst/>
                        </a:prstGeom>
                        <a:solidFill>
                          <a:srgbClr val="FFFFFF"/>
                        </a:solidFill>
                        <a:ln w="9525">
                          <a:noFill/>
                          <a:miter lim="800000"/>
                          <a:headEnd/>
                          <a:tailEnd/>
                        </a:ln>
                      </wps:spPr>
                      <wps:txbx>
                        <w:txbxContent>
                          <w:p w:rsidR="002F58EB" w:rsidRPr="002F58EB" w:rsidRDefault="009D7FD8" w:rsidP="002F58EB">
                            <w:pPr>
                              <w:rPr>
                                <w:i/>
                              </w:rPr>
                            </w:pPr>
                            <w:r>
                              <w:rPr>
                                <w:i/>
                              </w:rPr>
                              <w:t xml:space="preserve">Figure </w:t>
                            </w:r>
                            <w:r w:rsidR="00A26375">
                              <w:rPr>
                                <w:i/>
                              </w:rPr>
                              <w:t>5</w:t>
                            </w:r>
                            <w:r w:rsidR="002F58EB" w:rsidRPr="002F58EB">
                              <w:rPr>
                                <w:i/>
                              </w:rPr>
                              <w:t xml:space="preserve">: </w:t>
                            </w:r>
                            <w:proofErr w:type="spellStart"/>
                            <w:r w:rsidR="002F58EB">
                              <w:rPr>
                                <w:i/>
                              </w:rPr>
                              <w:t>Smoothness</w:t>
                            </w:r>
                            <w:r w:rsidR="002F58EB" w:rsidRPr="002F58EB">
                              <w:rPr>
                                <w:i/>
                              </w:rPr>
                              <w:t>_worst</w:t>
                            </w:r>
                            <w:proofErr w:type="spellEnd"/>
                            <w:r w:rsidR="002F58EB" w:rsidRPr="002F58EB">
                              <w:rPr>
                                <w:i/>
                              </w:rPr>
                              <w:t xml:space="preserve"> distribution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45.45pt;margin-top:38.3pt;width:203.4pt;height:20.3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" stroked="f">
                <v:textbox>
                  <w:txbxContent>
                    <w:p w:rsidR="002F58EB" w:rsidRPr="002F58EB" w:rsidRDefault="009D7FD8" w:rsidP="002F58EB">
                      <w:pPr>
                        <w:rPr>
                          <w:i/>
                        </w:rPr>
                      </w:pPr>
                      <w:r>
                        <w:rPr>
                          <w:i/>
                        </w:rPr>
                        <w:t xml:space="preserve">Figure </w:t>
                      </w:r>
                      <w:r w:rsidR="00A26375">
                        <w:rPr>
                          <w:i/>
                        </w:rPr>
                        <w:t>5</w:t>
                      </w:r>
                      <w:r w:rsidR="002F58EB" w:rsidRPr="002F58EB">
                        <w:rPr>
                          <w:i/>
                        </w:rPr>
                        <w:t xml:space="preserve">: </w:t>
                      </w:r>
                      <w:proofErr w:type="spellStart"/>
                      <w:r w:rsidR="002F58EB">
                        <w:rPr>
                          <w:i/>
                        </w:rPr>
                        <w:t>Smoothness</w:t>
                      </w:r>
                      <w:r w:rsidR="002F58EB" w:rsidRPr="002F58EB">
                        <w:rPr>
                          <w:i/>
                        </w:rPr>
                        <w:t>_worst</w:t>
                      </w:r>
                      <w:proofErr w:type="spellEnd"/>
                      <w:r w:rsidR="002F58EB" w:rsidRPr="002F58EB">
                        <w:rPr>
                          <w:i/>
                        </w:rPr>
                        <w:t xml:space="preserve"> distribution</w:t>
                      </w:r>
                    </w:p>
                  </w:txbxContent>
                </v:textbox>
              </v:shape>
            </w:pict>
          </mc:Fallback>
        </mc:AlternateContent>
      </w:r>
      <w:r w:rsidRPr="002F58EB">
        <w:rPr>
          <w:rFonts w:asciiTheme="majorHAnsi" w:hAnsiTheme="majorHAnsi"/>
          <w:b/>
          <w:noProof/>
          <w:u w:val="single"/>
        </w:rPr>
        <mc:AlternateContent>
          <mc:Choice Requires="wps">
            <w:drawing>
              <wp:anchor distT="0" distB="0" distL="114300" distR="114300" simplePos="0" relativeHeight="251675648" behindDoc="0" locked="0" layoutInCell="1" allowOverlap="1" wp14:anchorId="053F4D23" wp14:editId="687EE9B1">
                <wp:simplePos x="0" y="0"/>
                <wp:positionH relativeFrom="column">
                  <wp:posOffset>0</wp:posOffset>
                </wp:positionH>
                <wp:positionV relativeFrom="paragraph">
                  <wp:posOffset>484158</wp:posOffset>
                </wp:positionV>
                <wp:extent cx="2424023" cy="258445"/>
                <wp:effectExtent l="0" t="0" r="0" b="8255"/>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24023" cy="258445"/>
                        </a:xfrm>
                        <a:prstGeom prst="rect">
                          <a:avLst/>
                        </a:prstGeom>
                        <a:solidFill>
                          <a:srgbClr val="FFFFFF"/>
                        </a:solidFill>
                        <a:ln w="9525">
                          <a:noFill/>
                          <a:miter lim="800000"/>
                          <a:headEnd/>
                          <a:tailEnd/>
                        </a:ln>
                      </wps:spPr>
                      <wps:txbx>
                        <w:txbxContent>
                          <w:p w:rsidR="002F58EB" w:rsidRPr="002F58EB" w:rsidRDefault="009D7FD8">
                            <w:pPr>
                              <w:rPr>
                                <w:i/>
                              </w:rPr>
                            </w:pPr>
                            <w:r>
                              <w:rPr>
                                <w:i/>
                              </w:rPr>
                              <w:t xml:space="preserve">Figure </w:t>
                            </w:r>
                            <w:r w:rsidR="00A26375">
                              <w:rPr>
                                <w:i/>
                              </w:rPr>
                              <w:t>4</w:t>
                            </w:r>
                            <w:r w:rsidR="002F58EB" w:rsidRPr="002F58EB">
                              <w:rPr>
                                <w:i/>
                              </w:rPr>
                              <w:t xml:space="preserve">: </w:t>
                            </w:r>
                            <w:proofErr w:type="spellStart"/>
                            <w:r w:rsidR="002F58EB" w:rsidRPr="002F58EB">
                              <w:rPr>
                                <w:i/>
                              </w:rPr>
                              <w:t>Peremeter_worst</w:t>
                            </w:r>
                            <w:proofErr w:type="spellEnd"/>
                            <w:r w:rsidR="002F58EB" w:rsidRPr="002F58EB">
                              <w:rPr>
                                <w:i/>
                              </w:rPr>
                              <w:t xml:space="preserve"> distribution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0;margin-top:38.1pt;width:190.85pt;height:20.3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" stroked="f">
                <v:textbox>
                  <w:txbxContent>
                    <w:p w:rsidR="002F58EB" w:rsidRPr="002F58EB" w:rsidRDefault="009D7FD8">
                      <w:pPr>
                        <w:rPr>
                          <w:i/>
                        </w:rPr>
                      </w:pPr>
                      <w:r>
                        <w:rPr>
                          <w:i/>
                        </w:rPr>
                        <w:t xml:space="preserve">Figure </w:t>
                      </w:r>
                      <w:r w:rsidR="00A26375">
                        <w:rPr>
                          <w:i/>
                        </w:rPr>
                        <w:t>4</w:t>
                      </w:r>
                      <w:r w:rsidR="002F58EB" w:rsidRPr="002F58EB">
                        <w:rPr>
                          <w:i/>
                        </w:rPr>
                        <w:t xml:space="preserve">: </w:t>
                      </w:r>
                      <w:proofErr w:type="spellStart"/>
                      <w:r w:rsidR="002F58EB" w:rsidRPr="002F58EB">
                        <w:rPr>
                          <w:i/>
                        </w:rPr>
                        <w:t>Peremeter_worst</w:t>
                      </w:r>
                      <w:proofErr w:type="spellEnd"/>
                      <w:r w:rsidR="002F58EB" w:rsidRPr="002F58EB">
                        <w:rPr>
                          <w:i/>
                        </w:rPr>
                        <w:t xml:space="preserve"> distribution</w:t>
                      </w:r>
                    </w:p>
                  </w:txbxContent>
                </v:textbox>
              </v:shape>
            </w:pict>
          </mc:Fallback>
        </mc:AlternateContent>
      </w:r>
      <w:r>
        <w:rPr>
          <w:noProof/>
        </w:rPr>
        <w:drawing>
          <wp:inline distT="0" distB="0" distL="0" distR="0" wp14:anchorId="67D80B0F" wp14:editId="662D1D88">
            <wp:extent cx="2541712" cy="474453"/>
            <wp:effectExtent l="0" t="0" r="0" b="190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rimiter_worst.jpg"/>
                    <pic:cNvPicPr/>
                  </pic:nvPicPr>
                  <pic:blipFill>
                    <a:blip r:embed="rId10">
                      <a:extLst>
                        <a:ext uri="{28A0092B-C50C-407E-A947-70E740481C1C}">
                          <a14:useLocalDpi xmlns:a14="http://schemas.microsoft.com/office/drawing/2010/main" val="0"/>
                        </a:ext>
                      </a:extLst>
                    </a:blip>
                    <a:stretch>
                      <a:fillRect/>
                    </a:stretch>
                  </pic:blipFill>
                  <pic:spPr>
                    <a:xfrm>
                      <a:off x="0" y="0"/>
                      <a:ext cx="2542486" cy="474597"/>
                    </a:xfrm>
                    <a:prstGeom prst="rect">
                      <a:avLst/>
                    </a:prstGeom>
                  </pic:spPr>
                </pic:pic>
              </a:graphicData>
            </a:graphic>
          </wp:inline>
        </w:drawing>
      </w:r>
      <w:r>
        <w:rPr>
          <w:noProof/>
        </w:rPr>
        <w:t xml:space="preserve">                   </w:t>
      </w:r>
      <w:r>
        <w:rPr>
          <w:noProof/>
        </w:rPr>
        <w:drawing>
          <wp:inline distT="0" distB="0" distL="0" distR="0" wp14:anchorId="6BD2D780" wp14:editId="12A23553">
            <wp:extent cx="2350698" cy="438797"/>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moothness_worst.jpg"/>
                    <pic:cNvPicPr/>
                  </pic:nvPicPr>
                  <pic:blipFill>
                    <a:blip r:embed="rId11">
                      <a:extLst>
                        <a:ext uri="{28A0092B-C50C-407E-A947-70E740481C1C}">
                          <a14:useLocalDpi xmlns:a14="http://schemas.microsoft.com/office/drawing/2010/main" val="0"/>
                        </a:ext>
                      </a:extLst>
                    </a:blip>
                    <a:stretch>
                      <a:fillRect/>
                    </a:stretch>
                  </pic:blipFill>
                  <pic:spPr>
                    <a:xfrm>
                      <a:off x="0" y="0"/>
                      <a:ext cx="2350107" cy="438687"/>
                    </a:xfrm>
                    <a:prstGeom prst="rect">
                      <a:avLst/>
                    </a:prstGeom>
                  </pic:spPr>
                </pic:pic>
              </a:graphicData>
            </a:graphic>
          </wp:inline>
        </w:drawing>
      </w:r>
    </w:p>
    <w:p w:rsidR="002F58EB" w:rsidRDefault="002F58EB" w:rsidP="007F5F48">
      <w:pPr>
        <w:rPr>
          <w:rFonts w:asciiTheme="majorHAnsi" w:hAnsiTheme="majorHAnsi"/>
          <w:b/>
          <w:u w:val="single"/>
        </w:rPr>
      </w:pPr>
    </w:p>
    <w:p w:rsidR="00415787" w:rsidRPr="00A26375" w:rsidRDefault="002F58EB" w:rsidP="007F5F48">
      <w:r>
        <w:rPr>
          <w:rFonts w:asciiTheme="majorHAnsi" w:hAnsiTheme="majorHAnsi"/>
        </w:rPr>
        <w:tab/>
      </w:r>
      <w:r w:rsidR="009D7FD8">
        <w:t xml:space="preserve">Figure </w:t>
      </w:r>
      <w:r w:rsidR="00A26375">
        <w:t>4</w:t>
      </w:r>
      <w:r w:rsidR="009D7FD8">
        <w:t xml:space="preserve"> and </w:t>
      </w:r>
      <w:r w:rsidR="00A26375">
        <w:t>5</w:t>
      </w:r>
      <w:r>
        <w:t xml:space="preserve"> show the distribution of two features after normalization. Many of the </w:t>
      </w:r>
      <w:r w:rsidR="00D41840">
        <w:t xml:space="preserve">feature </w:t>
      </w:r>
      <w:r>
        <w:t xml:space="preserve">distributions appear to be almost Gaussian with a right tail. </w:t>
      </w:r>
      <w:r w:rsidR="00D41840">
        <w:t>While there did appear to be a small handful of outliers, we opted to leave the records as is. The data set had no missing values, if in the future we were provided a similar data set with missing values, we would opt to replace those values with the mean of the feature from samples of the same class.</w:t>
      </w:r>
      <w:r w:rsidR="00E4217C">
        <w:t xml:space="preserve"> </w:t>
      </w:r>
    </w:p>
    <w:p w:rsidR="007F5F48" w:rsidRDefault="007F5F48" w:rsidP="007F5F48">
      <w:pPr>
        <w:rPr>
          <w:rFonts w:asciiTheme="majorHAnsi" w:hAnsiTheme="majorHAnsi"/>
          <w:b/>
          <w:u w:val="single"/>
        </w:rPr>
      </w:pPr>
      <w:r>
        <w:rPr>
          <w:rFonts w:asciiTheme="majorHAnsi" w:hAnsiTheme="majorHAnsi"/>
          <w:b/>
          <w:u w:val="single"/>
        </w:rPr>
        <w:t>Implementation</w:t>
      </w:r>
    </w:p>
    <w:p w:rsidR="007F5F48" w:rsidRPr="007F5F48" w:rsidRDefault="004E1E3F" w:rsidP="007F5F48">
      <w:r>
        <w:tab/>
        <w:t xml:space="preserve">Our implementation of the </w:t>
      </w:r>
      <w:proofErr w:type="spellStart"/>
      <w:r>
        <w:t>Adaboost</w:t>
      </w:r>
      <w:proofErr w:type="spellEnd"/>
      <w:r>
        <w:t xml:space="preserve"> algorithm was built using Python and the base classifiers come from the </w:t>
      </w:r>
      <w:proofErr w:type="spellStart"/>
      <w:r>
        <w:t>scikit</w:t>
      </w:r>
      <w:proofErr w:type="spellEnd"/>
      <w:r>
        <w:t xml:space="preserve">-learn library. The application prompts the user to enter the number of boosting rounds and the type of base classifier. The classifier options are </w:t>
      </w:r>
      <w:proofErr w:type="spellStart"/>
      <w:r>
        <w:t>scikit-learn’s</w:t>
      </w:r>
      <w:proofErr w:type="spellEnd"/>
      <w:r>
        <w:t xml:space="preserve"> decision tree or K-Nearest Neighbor with K set to 7.  We fixed the value of K for the project as we were interested in </w:t>
      </w:r>
      <w:r w:rsidR="00716927">
        <w:t xml:space="preserve">the performance of the algorithm in relation to the number of boosting rounds. </w:t>
      </w:r>
      <w:r w:rsidR="00256CB3">
        <w:t xml:space="preserve">Once we have the users input we follow the general </w:t>
      </w:r>
      <w:proofErr w:type="spellStart"/>
      <w:r w:rsidR="00256CB3">
        <w:t>Adaboost</w:t>
      </w:r>
      <w:proofErr w:type="spellEnd"/>
      <w:r w:rsidR="00256CB3">
        <w:t xml:space="preserve"> algorithm described below: </w:t>
      </w:r>
      <w:r w:rsidR="00716927">
        <w:t xml:space="preserve"> </w:t>
      </w:r>
    </w:p>
    <w:p w:rsidR="00010037" w:rsidRDefault="00256CB3" w:rsidP="00256CB3">
      <w:pPr>
        <w:jc w:val="center"/>
      </w:pPr>
      <w:r>
        <w:rPr>
          <w:noProof/>
        </w:rPr>
        <w:drawing>
          <wp:inline distT="0" distB="0" distL="0" distR="0" wp14:anchorId="00AAF568" wp14:editId="2FA7B3A4">
            <wp:extent cx="4670201" cy="27906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676113" cy="2794178"/>
                    </a:xfrm>
                    <a:prstGeom prst="rect">
                      <a:avLst/>
                    </a:prstGeom>
                  </pic:spPr>
                </pic:pic>
              </a:graphicData>
            </a:graphic>
          </wp:inline>
        </w:drawing>
      </w:r>
      <w:r>
        <w:rPr>
          <w:rFonts w:asciiTheme="majorHAnsi" w:hAnsiTheme="majorHAnsi"/>
          <w:b/>
          <w:u w:val="single"/>
        </w:rPr>
        <w:br/>
      </w:r>
      <w:r w:rsidR="00A26375">
        <w:rPr>
          <w:i/>
        </w:rPr>
        <w:t>Figure 6</w:t>
      </w:r>
      <w:r>
        <w:rPr>
          <w:i/>
        </w:rPr>
        <w:t xml:space="preserve">: The general </w:t>
      </w:r>
      <w:proofErr w:type="spellStart"/>
      <w:r>
        <w:rPr>
          <w:i/>
        </w:rPr>
        <w:t>Adaboost</w:t>
      </w:r>
      <w:proofErr w:type="spellEnd"/>
      <w:r>
        <w:rPr>
          <w:i/>
        </w:rPr>
        <w:t xml:space="preserve"> algorithm. </w:t>
      </w:r>
      <w:r>
        <w:rPr>
          <w:i/>
          <w:vertAlign w:val="superscript"/>
        </w:rPr>
        <w:t>[3]</w:t>
      </w:r>
    </w:p>
    <w:p w:rsidR="007B1906" w:rsidRDefault="00010037" w:rsidP="00010037">
      <w:r>
        <w:lastRenderedPageBreak/>
        <w:tab/>
        <w:t xml:space="preserve">At the start all training </w:t>
      </w:r>
      <w:r w:rsidR="00A5776A">
        <w:t xml:space="preserve">are assigned an equal weight, this weight is used as the probability that the record will be selected in step 4 of the algorithm. Once assignment is complete we begin the boosting rounds. First we generate a new training set by sampling with replacement from the original training set according to the assigned weights. </w:t>
      </w:r>
      <w:r w:rsidR="007B1906">
        <w:t xml:space="preserve">Next the base classifier is trained using the newly generated training set, either </w:t>
      </w:r>
      <w:proofErr w:type="spellStart"/>
      <w:r w:rsidR="007B1906">
        <w:t>scikit-learn’s</w:t>
      </w:r>
      <w:proofErr w:type="spellEnd"/>
      <w:r w:rsidR="007B1906">
        <w:t xml:space="preserve"> decision tree or KNN classifier depending on the users input. Once training is complete, we test the classifier on the complete training set. If the classifier performs worse than 50% on the weighted error function we reset the weights and begin again, otherwise we compute an alpha value for the classifier and update each weight according to the following formula: </w:t>
      </w:r>
    </w:p>
    <w:p w:rsidR="00AE3DE2" w:rsidRDefault="00A26375" w:rsidP="00AE3DE2">
      <w:pPr>
        <w:jc w:val="center"/>
        <w:rPr>
          <w:rFonts w:asciiTheme="majorHAnsi" w:hAnsiTheme="majorHAnsi"/>
          <w:i/>
        </w:rPr>
      </w:pPr>
      <m:oMathPara>
        <m:oMath>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(j +1)</m:t>
              </m:r>
            </m:sup>
          </m:sSubSup>
          <m:r>
            <w:rPr>
              <w:rFonts w:ascii="Cambria Math" w:hAnsi="Cambria Math"/>
            </w:rPr>
            <m:t xml:space="preserve">= </m:t>
          </m:r>
          <m:f>
            <m:fPr>
              <m:ctrlPr>
                <w:rPr>
                  <w:rFonts w:ascii="Cambria Math" w:hAnsi="Cambria Math"/>
                  <w:i/>
                </w:rPr>
              </m:ctrlPr>
            </m:fPr>
            <m:num>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(j)</m:t>
                  </m:r>
                </m:sup>
              </m:sSubSup>
            </m:num>
            <m:den>
              <m:sSub>
                <m:sSubPr>
                  <m:ctrlPr>
                    <w:rPr>
                      <w:rFonts w:ascii="Cambria Math" w:hAnsi="Cambria Math"/>
                      <w:i/>
                    </w:rPr>
                  </m:ctrlPr>
                </m:sSubPr>
                <m:e>
                  <m:r>
                    <w:rPr>
                      <w:rFonts w:ascii="Cambria Math" w:hAnsi="Cambria Math"/>
                    </w:rPr>
                    <m:t>z</m:t>
                  </m:r>
                </m:e>
                <m:sub>
                  <m:r>
                    <w:rPr>
                      <w:rFonts w:ascii="Cambria Math" w:hAnsi="Cambria Math"/>
                    </w:rPr>
                    <m:t>j</m:t>
                  </m:r>
                </m:sub>
              </m:sSub>
            </m:den>
          </m:f>
          <m:r>
            <w:rPr>
              <w:rFonts w:ascii="Cambria Math" w:hAnsi="Cambria Math"/>
            </w:rPr>
            <m:t xml:space="preserve">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ex</m:t>
                    </m:r>
                    <m:sSup>
                      <m:sSupPr>
                        <m:ctrlPr>
                          <w:rPr>
                            <w:rFonts w:ascii="Cambria Math" w:hAnsi="Cambria Math"/>
                            <w:i/>
                          </w:rPr>
                        </m:ctrlPr>
                      </m:sSupPr>
                      <m:e>
                        <m:r>
                          <w:rPr>
                            <w:rFonts w:ascii="Cambria Math" w:hAnsi="Cambria Math"/>
                          </w:rPr>
                          <m:t>p</m:t>
                        </m:r>
                      </m:e>
                      <m:sup>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j</m:t>
                            </m:r>
                          </m:sub>
                        </m:sSub>
                      </m:sup>
                    </m:sSup>
                    <m:r>
                      <w:rPr>
                        <w:rFonts w:ascii="Cambria Math" w:hAnsi="Cambria Math"/>
                      </w:rPr>
                      <m:t xml:space="preserve"> if </m:t>
                    </m:r>
                    <m:sSub>
                      <m:sSubPr>
                        <m:ctrlPr>
                          <w:rPr>
                            <w:rFonts w:ascii="Cambria Math" w:hAnsi="Cambria Math"/>
                            <w:i/>
                          </w:rPr>
                        </m:ctrlPr>
                      </m:sSubPr>
                      <m:e>
                        <m:r>
                          <w:rPr>
                            <w:rFonts w:ascii="Cambria Math" w:hAnsi="Cambria Math"/>
                          </w:rPr>
                          <m:t>C</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mr>
                <m:mr>
                  <m:e>
                    <m:r>
                      <w:rPr>
                        <w:rFonts w:ascii="Cambria Math" w:hAnsi="Cambria Math"/>
                      </w:rPr>
                      <m:t>ex</m:t>
                    </m:r>
                    <m:sSup>
                      <m:sSupPr>
                        <m:ctrlPr>
                          <w:rPr>
                            <w:rFonts w:ascii="Cambria Math" w:hAnsi="Cambria Math"/>
                            <w:i/>
                          </w:rPr>
                        </m:ctrlPr>
                      </m:sSupPr>
                      <m:e>
                        <m:r>
                          <w:rPr>
                            <w:rFonts w:ascii="Cambria Math" w:hAnsi="Cambria Math"/>
                          </w:rPr>
                          <m:t>p</m:t>
                        </m:r>
                      </m:e>
                      <m:sup>
                        <m:sSub>
                          <m:sSubPr>
                            <m:ctrlPr>
                              <w:rPr>
                                <w:rFonts w:ascii="Cambria Math" w:hAnsi="Cambria Math"/>
                                <w:i/>
                              </w:rPr>
                            </m:ctrlPr>
                          </m:sSubPr>
                          <m:e>
                            <m:r>
                              <w:rPr>
                                <w:rFonts w:ascii="Cambria Math" w:hAnsi="Cambria Math"/>
                              </w:rPr>
                              <m:t>α</m:t>
                            </m:r>
                          </m:e>
                          <m:sub>
                            <m:r>
                              <w:rPr>
                                <w:rFonts w:ascii="Cambria Math" w:hAnsi="Cambria Math"/>
                              </w:rPr>
                              <m:t>j</m:t>
                            </m:r>
                          </m:sub>
                        </m:sSub>
                      </m:sup>
                    </m:sSup>
                    <m:r>
                      <w:rPr>
                        <w:rFonts w:ascii="Cambria Math" w:hAnsi="Cambria Math"/>
                      </w:rPr>
                      <m:t xml:space="preserve"> if </m:t>
                    </m:r>
                    <m:sSub>
                      <m:sSubPr>
                        <m:ctrlPr>
                          <w:rPr>
                            <w:rFonts w:ascii="Cambria Math" w:hAnsi="Cambria Math"/>
                            <w:i/>
                          </w:rPr>
                        </m:ctrlPr>
                      </m:sSubPr>
                      <m:e>
                        <m:r>
                          <w:rPr>
                            <w:rFonts w:ascii="Cambria Math" w:hAnsi="Cambria Math"/>
                          </w:rPr>
                          <m:t>C</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mr>
              </m:m>
            </m:e>
          </m:d>
          <m:r>
            <m:rPr>
              <m:sty m:val="p"/>
            </m:rPr>
            <w:rPr>
              <w:rFonts w:asciiTheme="majorHAnsi" w:hAnsiTheme="majorHAnsi"/>
            </w:rPr>
            <w:br/>
          </m:r>
        </m:oMath>
      </m:oMathPara>
    </w:p>
    <w:p w:rsidR="002D52B9" w:rsidRPr="002D52B9" w:rsidRDefault="00AE3DE2" w:rsidP="00AE3DE2">
      <w:r>
        <w:rPr>
          <w:rFonts w:asciiTheme="majorHAnsi" w:hAnsiTheme="majorHAnsi"/>
        </w:rPr>
        <w:tab/>
      </w:r>
      <w:r w:rsidRPr="002D52B9">
        <w:t xml:space="preserve">In simple terms we increase the weight of an incorrectly classified record, and decrease the weight of a correctly classified record. This increases the likelihood that misclassified records will be present in future training sets, and that future classifiers will be trained to correctly classify them. This continues until we reach the end of the user specified number of boosting rounds. </w:t>
      </w:r>
    </w:p>
    <w:p w:rsidR="00547DB5" w:rsidRPr="00415787" w:rsidRDefault="00AE3DE2" w:rsidP="00415787">
      <w:pPr>
        <w:ind w:firstLine="720"/>
      </w:pPr>
      <w:r w:rsidRPr="002D52B9">
        <w:t xml:space="preserve">At the end we have a set of classifiers who performed no worse than 50% weighted error for their given training set and their corresponding alpha values. To compute the ensemble learner’s prediction we use the formula described in step 15 </w:t>
      </w:r>
      <w:r w:rsidR="00B03448">
        <w:t>of</w:t>
      </w:r>
      <w:r w:rsidRPr="002D52B9">
        <w:t xml:space="preserve"> </w:t>
      </w:r>
      <w:r w:rsidR="009C09B9" w:rsidRPr="002D52B9">
        <w:t>figure</w:t>
      </w:r>
      <w:r w:rsidR="00A26375">
        <w:t xml:space="preserve"> 6</w:t>
      </w:r>
      <w:r w:rsidR="009C09B9" w:rsidRPr="002D52B9">
        <w:t>, we allow each classifier to predict the class of the record and multiply the prediction with their alpha value. We then sum the weighted predications and look at the</w:t>
      </w:r>
      <w:r w:rsidR="002D52B9" w:rsidRPr="002D52B9">
        <w:t xml:space="preserve"> sign of the sum.</w:t>
      </w:r>
      <w:r w:rsidR="009C09B9" w:rsidRPr="002D52B9">
        <w:t xml:space="preserve"> </w:t>
      </w:r>
      <w:r w:rsidR="002D52B9" w:rsidRPr="002D52B9">
        <w:t>I</w:t>
      </w:r>
      <w:r w:rsidR="009C09B9" w:rsidRPr="002D52B9">
        <w:t xml:space="preserve">f it is positive we assign it to the benign class otherwise we assign it to the malignant class.  </w:t>
      </w:r>
      <w:r w:rsidR="00415787">
        <w:t xml:space="preserve">  </w:t>
      </w:r>
    </w:p>
    <w:p w:rsidR="00547DB5" w:rsidRDefault="002D52B9" w:rsidP="007F5F48">
      <w:r>
        <w:tab/>
        <w:t xml:space="preserve">In our implementation the main.py file contains the data preprocessing, obtains user input, and loops through the </w:t>
      </w:r>
      <w:proofErr w:type="spellStart"/>
      <w:r>
        <w:t>Adab</w:t>
      </w:r>
      <w:r w:rsidR="003D427D">
        <w:t>oost</w:t>
      </w:r>
      <w:proofErr w:type="spellEnd"/>
      <w:r w:rsidR="003D427D">
        <w:t xml:space="preserve"> algorithm described above. The main file also generates the training and testing sets from the original data set. The percentage of records in the training set can be set by the </w:t>
      </w:r>
      <w:proofErr w:type="spellStart"/>
      <w:r w:rsidR="003D427D">
        <w:t>training_size_perc</w:t>
      </w:r>
      <w:proofErr w:type="spellEnd"/>
      <w:r w:rsidR="003D427D">
        <w:t xml:space="preserve"> variable found at the top of the file. The records are shuffled and then randomly split into the two sets. </w:t>
      </w:r>
      <w:r>
        <w:t xml:space="preserve">The adaboost.py file contains the </w:t>
      </w:r>
      <w:r w:rsidR="00863687">
        <w:t xml:space="preserve">ensemble learner class and functions to set training examples, test classifiers, and predict a records class. The util.py file contains a function to generate a new training set give a list of weights and a function to output the results.  </w:t>
      </w:r>
    </w:p>
    <w:p w:rsidR="00A26375" w:rsidRDefault="00A26375" w:rsidP="007F5F48"/>
    <w:p w:rsidR="00A26375" w:rsidRDefault="00A26375" w:rsidP="007F5F48"/>
    <w:p w:rsidR="00A26375" w:rsidRDefault="00A26375" w:rsidP="007F5F48"/>
    <w:p w:rsidR="00A26375" w:rsidRDefault="00A26375" w:rsidP="007F5F48"/>
    <w:p w:rsidR="00A26375" w:rsidRDefault="00A26375" w:rsidP="007F5F48"/>
    <w:p w:rsidR="00A26375" w:rsidRPr="001144ED" w:rsidRDefault="00A26375" w:rsidP="007F5F48"/>
    <w:p w:rsidR="007F5F48" w:rsidRDefault="00547DB5" w:rsidP="007F5F48">
      <w:pPr>
        <w:rPr>
          <w:rFonts w:asciiTheme="majorHAnsi" w:hAnsiTheme="majorHAnsi"/>
          <w:b/>
          <w:u w:val="single"/>
        </w:rPr>
      </w:pPr>
      <w:r>
        <w:rPr>
          <w:rFonts w:asciiTheme="majorHAnsi" w:hAnsiTheme="majorHAnsi"/>
          <w:b/>
          <w:u w:val="single"/>
        </w:rPr>
        <w:lastRenderedPageBreak/>
        <w:t>Results</w:t>
      </w:r>
    </w:p>
    <w:p w:rsidR="001144ED" w:rsidRDefault="001144ED" w:rsidP="007F5F48">
      <w:r>
        <w:tab/>
        <w:t xml:space="preserve">To test our implementation we split the data into a training set containing 70% of total records and a test set containing the remaining 30% of total records. </w:t>
      </w:r>
      <w:r w:rsidR="003D427D">
        <w:t xml:space="preserve">Because our implementation shuffles the records then randomly assigns each record to a set, we had to average our results over 10 runs per boosting round, as there can be slight fluctuations in performance values based on which records are split into the training and test sets. </w:t>
      </w:r>
    </w:p>
    <w:p w:rsidR="000A3E4E" w:rsidRPr="001144ED" w:rsidRDefault="003D427D" w:rsidP="007F5F48">
      <w:r>
        <w:tab/>
      </w:r>
      <w:r w:rsidR="000A3E4E">
        <w:t xml:space="preserve">First we tested the decision tree based approach vs the k-nearest neighbor approach, the results are shown in table 1 and table 2. </w:t>
      </w:r>
    </w:p>
    <w:tbl>
      <w:tblPr>
        <w:tblStyle w:val="TableGrid"/>
        <w:tblW w:w="0" w:type="auto"/>
        <w:jc w:val="center"/>
        <w:tblInd w:w="-1134" w:type="dxa"/>
        <w:tblLook w:val="04A0" w:firstRow="1" w:lastRow="0" w:firstColumn="1" w:lastColumn="0" w:noHBand="0" w:noVBand="1"/>
      </w:tblPr>
      <w:tblGrid>
        <w:gridCol w:w="1188"/>
        <w:gridCol w:w="1200"/>
        <w:gridCol w:w="1116"/>
        <w:gridCol w:w="809"/>
        <w:gridCol w:w="1195"/>
      </w:tblGrid>
      <w:tr w:rsidR="00547DB5" w:rsidRPr="00547DB5" w:rsidTr="00415787">
        <w:trPr>
          <w:trHeight w:val="404"/>
          <w:jc w:val="center"/>
        </w:trPr>
        <w:tc>
          <w:tcPr>
            <w:tcW w:w="5508" w:type="dxa"/>
            <w:gridSpan w:val="5"/>
            <w:noWrap/>
            <w:hideMark/>
          </w:tcPr>
          <w:p w:rsidR="00547DB5" w:rsidRPr="00547DB5" w:rsidRDefault="00CB6A49" w:rsidP="000A3E4E">
            <w:pPr>
              <w:jc w:val="center"/>
            </w:pPr>
            <w:proofErr w:type="spellStart"/>
            <w:r>
              <w:t>Adaboost</w:t>
            </w:r>
            <w:proofErr w:type="spellEnd"/>
            <w:r>
              <w:t>-</w:t>
            </w:r>
            <w:r w:rsidR="00547DB5" w:rsidRPr="00547DB5">
              <w:t>Decision Trees</w:t>
            </w:r>
          </w:p>
        </w:tc>
      </w:tr>
      <w:tr w:rsidR="00547DB5" w:rsidRPr="00547DB5" w:rsidTr="00415787">
        <w:trPr>
          <w:trHeight w:val="158"/>
          <w:jc w:val="center"/>
        </w:trPr>
        <w:tc>
          <w:tcPr>
            <w:tcW w:w="1188" w:type="dxa"/>
            <w:noWrap/>
            <w:hideMark/>
          </w:tcPr>
          <w:p w:rsidR="00547DB5" w:rsidRPr="00547DB5" w:rsidRDefault="00547DB5" w:rsidP="00547DB5">
            <w:pPr>
              <w:jc w:val="center"/>
            </w:pPr>
            <w:r w:rsidRPr="00547DB5">
              <w:t>Boosting Rounds</w:t>
            </w:r>
          </w:p>
        </w:tc>
        <w:tc>
          <w:tcPr>
            <w:tcW w:w="1200" w:type="dxa"/>
            <w:noWrap/>
            <w:hideMark/>
          </w:tcPr>
          <w:p w:rsidR="00547DB5" w:rsidRPr="00547DB5" w:rsidRDefault="00547DB5" w:rsidP="00547DB5">
            <w:pPr>
              <w:jc w:val="center"/>
            </w:pPr>
            <w:r w:rsidRPr="00547DB5">
              <w:t>Accuracy</w:t>
            </w:r>
          </w:p>
        </w:tc>
        <w:tc>
          <w:tcPr>
            <w:tcW w:w="1116" w:type="dxa"/>
            <w:noWrap/>
            <w:hideMark/>
          </w:tcPr>
          <w:p w:rsidR="00547DB5" w:rsidRPr="00547DB5" w:rsidRDefault="00547DB5" w:rsidP="00547DB5">
            <w:pPr>
              <w:jc w:val="center"/>
            </w:pPr>
            <w:r w:rsidRPr="00547DB5">
              <w:t>Precision</w:t>
            </w:r>
          </w:p>
        </w:tc>
        <w:tc>
          <w:tcPr>
            <w:tcW w:w="809" w:type="dxa"/>
            <w:noWrap/>
            <w:hideMark/>
          </w:tcPr>
          <w:p w:rsidR="00547DB5" w:rsidRPr="00547DB5" w:rsidRDefault="00547DB5" w:rsidP="00547DB5">
            <w:pPr>
              <w:jc w:val="center"/>
            </w:pPr>
            <w:r w:rsidRPr="00547DB5">
              <w:t>Recall</w:t>
            </w:r>
          </w:p>
        </w:tc>
        <w:tc>
          <w:tcPr>
            <w:tcW w:w="1195" w:type="dxa"/>
            <w:noWrap/>
            <w:hideMark/>
          </w:tcPr>
          <w:p w:rsidR="00547DB5" w:rsidRPr="00547DB5" w:rsidRDefault="00547DB5" w:rsidP="00547DB5">
            <w:pPr>
              <w:jc w:val="center"/>
            </w:pPr>
            <w:r w:rsidRPr="00547DB5">
              <w:t>F-Measure</w:t>
            </w:r>
          </w:p>
        </w:tc>
      </w:tr>
      <w:tr w:rsidR="00547DB5" w:rsidRPr="00547DB5" w:rsidTr="00415787">
        <w:trPr>
          <w:trHeight w:val="158"/>
          <w:jc w:val="center"/>
        </w:trPr>
        <w:tc>
          <w:tcPr>
            <w:tcW w:w="1188" w:type="dxa"/>
            <w:noWrap/>
            <w:hideMark/>
          </w:tcPr>
          <w:p w:rsidR="00547DB5" w:rsidRPr="00547DB5" w:rsidRDefault="00547DB5" w:rsidP="00547DB5">
            <w:pPr>
              <w:jc w:val="center"/>
            </w:pPr>
            <w:r w:rsidRPr="00547DB5">
              <w:t>1</w:t>
            </w:r>
          </w:p>
        </w:tc>
        <w:tc>
          <w:tcPr>
            <w:tcW w:w="1200" w:type="dxa"/>
            <w:noWrap/>
            <w:hideMark/>
          </w:tcPr>
          <w:p w:rsidR="00547DB5" w:rsidRPr="00547DB5" w:rsidRDefault="00547DB5" w:rsidP="00547DB5">
            <w:pPr>
              <w:jc w:val="center"/>
            </w:pPr>
            <w:r w:rsidRPr="00547DB5">
              <w:t>0.912</w:t>
            </w:r>
          </w:p>
        </w:tc>
        <w:tc>
          <w:tcPr>
            <w:tcW w:w="1116" w:type="dxa"/>
            <w:noWrap/>
            <w:hideMark/>
          </w:tcPr>
          <w:p w:rsidR="00547DB5" w:rsidRPr="00547DB5" w:rsidRDefault="00547DB5" w:rsidP="00547DB5">
            <w:pPr>
              <w:jc w:val="center"/>
            </w:pPr>
            <w:r w:rsidRPr="00547DB5">
              <w:t>0.953</w:t>
            </w:r>
          </w:p>
        </w:tc>
        <w:tc>
          <w:tcPr>
            <w:tcW w:w="809" w:type="dxa"/>
            <w:noWrap/>
            <w:hideMark/>
          </w:tcPr>
          <w:p w:rsidR="00547DB5" w:rsidRPr="00547DB5" w:rsidRDefault="00547DB5" w:rsidP="00547DB5">
            <w:pPr>
              <w:jc w:val="center"/>
            </w:pPr>
            <w:r w:rsidRPr="00547DB5">
              <w:t>0.911</w:t>
            </w:r>
          </w:p>
        </w:tc>
        <w:tc>
          <w:tcPr>
            <w:tcW w:w="1195" w:type="dxa"/>
            <w:noWrap/>
            <w:hideMark/>
          </w:tcPr>
          <w:p w:rsidR="00547DB5" w:rsidRPr="00547DB5" w:rsidRDefault="00547DB5" w:rsidP="00547DB5">
            <w:pPr>
              <w:jc w:val="center"/>
            </w:pPr>
            <w:r w:rsidRPr="00547DB5">
              <w:t>0.932</w:t>
            </w:r>
          </w:p>
        </w:tc>
      </w:tr>
      <w:tr w:rsidR="00547DB5" w:rsidRPr="00547DB5" w:rsidTr="00415787">
        <w:trPr>
          <w:trHeight w:val="158"/>
          <w:jc w:val="center"/>
        </w:trPr>
        <w:tc>
          <w:tcPr>
            <w:tcW w:w="1188" w:type="dxa"/>
            <w:noWrap/>
            <w:hideMark/>
          </w:tcPr>
          <w:p w:rsidR="00547DB5" w:rsidRPr="00547DB5" w:rsidRDefault="00547DB5" w:rsidP="00547DB5">
            <w:pPr>
              <w:jc w:val="center"/>
            </w:pPr>
            <w:r w:rsidRPr="00547DB5">
              <w:t>2</w:t>
            </w:r>
          </w:p>
        </w:tc>
        <w:tc>
          <w:tcPr>
            <w:tcW w:w="1200" w:type="dxa"/>
            <w:noWrap/>
            <w:hideMark/>
          </w:tcPr>
          <w:p w:rsidR="00547DB5" w:rsidRPr="00547DB5" w:rsidRDefault="00547DB5" w:rsidP="00547DB5">
            <w:pPr>
              <w:jc w:val="center"/>
            </w:pPr>
            <w:r w:rsidRPr="00547DB5">
              <w:t>0.912</w:t>
            </w:r>
          </w:p>
        </w:tc>
        <w:tc>
          <w:tcPr>
            <w:tcW w:w="1116" w:type="dxa"/>
            <w:noWrap/>
            <w:hideMark/>
          </w:tcPr>
          <w:p w:rsidR="00547DB5" w:rsidRPr="00547DB5" w:rsidRDefault="00547DB5" w:rsidP="00547DB5">
            <w:pPr>
              <w:jc w:val="center"/>
            </w:pPr>
            <w:r w:rsidRPr="00547DB5">
              <w:t>0.904</w:t>
            </w:r>
          </w:p>
        </w:tc>
        <w:tc>
          <w:tcPr>
            <w:tcW w:w="809" w:type="dxa"/>
            <w:noWrap/>
            <w:hideMark/>
          </w:tcPr>
          <w:p w:rsidR="00547DB5" w:rsidRPr="00547DB5" w:rsidRDefault="00547DB5" w:rsidP="00547DB5">
            <w:pPr>
              <w:jc w:val="center"/>
            </w:pPr>
            <w:r w:rsidRPr="00547DB5">
              <w:t>0.949</w:t>
            </w:r>
          </w:p>
        </w:tc>
        <w:tc>
          <w:tcPr>
            <w:tcW w:w="1195" w:type="dxa"/>
            <w:noWrap/>
            <w:hideMark/>
          </w:tcPr>
          <w:p w:rsidR="00547DB5" w:rsidRPr="00547DB5" w:rsidRDefault="00547DB5" w:rsidP="00547DB5">
            <w:pPr>
              <w:jc w:val="center"/>
            </w:pPr>
            <w:r w:rsidRPr="00547DB5">
              <w:t>0.926</w:t>
            </w:r>
          </w:p>
        </w:tc>
      </w:tr>
      <w:tr w:rsidR="00547DB5" w:rsidRPr="00547DB5" w:rsidTr="00415787">
        <w:trPr>
          <w:trHeight w:val="158"/>
          <w:jc w:val="center"/>
        </w:trPr>
        <w:tc>
          <w:tcPr>
            <w:tcW w:w="1188" w:type="dxa"/>
            <w:noWrap/>
            <w:hideMark/>
          </w:tcPr>
          <w:p w:rsidR="00547DB5" w:rsidRPr="00547DB5" w:rsidRDefault="00547DB5" w:rsidP="00547DB5">
            <w:pPr>
              <w:jc w:val="center"/>
            </w:pPr>
            <w:r w:rsidRPr="00547DB5">
              <w:t>3</w:t>
            </w:r>
          </w:p>
        </w:tc>
        <w:tc>
          <w:tcPr>
            <w:tcW w:w="1200" w:type="dxa"/>
            <w:noWrap/>
            <w:hideMark/>
          </w:tcPr>
          <w:p w:rsidR="00547DB5" w:rsidRPr="00547DB5" w:rsidRDefault="00547DB5" w:rsidP="00547DB5">
            <w:pPr>
              <w:jc w:val="center"/>
            </w:pPr>
            <w:r w:rsidRPr="00547DB5">
              <w:t>0.929</w:t>
            </w:r>
          </w:p>
        </w:tc>
        <w:tc>
          <w:tcPr>
            <w:tcW w:w="1116" w:type="dxa"/>
            <w:noWrap/>
            <w:hideMark/>
          </w:tcPr>
          <w:p w:rsidR="00547DB5" w:rsidRPr="00547DB5" w:rsidRDefault="00547DB5" w:rsidP="00547DB5">
            <w:pPr>
              <w:jc w:val="center"/>
            </w:pPr>
            <w:r w:rsidRPr="00547DB5">
              <w:t>0.919</w:t>
            </w:r>
          </w:p>
        </w:tc>
        <w:tc>
          <w:tcPr>
            <w:tcW w:w="809" w:type="dxa"/>
            <w:noWrap/>
            <w:hideMark/>
          </w:tcPr>
          <w:p w:rsidR="00547DB5" w:rsidRPr="00547DB5" w:rsidRDefault="00547DB5" w:rsidP="00547DB5">
            <w:pPr>
              <w:jc w:val="center"/>
            </w:pPr>
            <w:r w:rsidRPr="00547DB5">
              <w:t>0.971</w:t>
            </w:r>
          </w:p>
        </w:tc>
        <w:tc>
          <w:tcPr>
            <w:tcW w:w="1195" w:type="dxa"/>
            <w:noWrap/>
            <w:hideMark/>
          </w:tcPr>
          <w:p w:rsidR="00547DB5" w:rsidRPr="00547DB5" w:rsidRDefault="00547DB5" w:rsidP="00547DB5">
            <w:pPr>
              <w:jc w:val="center"/>
            </w:pPr>
            <w:r w:rsidRPr="00547DB5">
              <w:t>0.944</w:t>
            </w:r>
          </w:p>
        </w:tc>
      </w:tr>
      <w:tr w:rsidR="00547DB5" w:rsidRPr="00547DB5" w:rsidTr="00415787">
        <w:trPr>
          <w:trHeight w:val="158"/>
          <w:jc w:val="center"/>
        </w:trPr>
        <w:tc>
          <w:tcPr>
            <w:tcW w:w="1188" w:type="dxa"/>
            <w:noWrap/>
            <w:hideMark/>
          </w:tcPr>
          <w:p w:rsidR="00547DB5" w:rsidRPr="00547DB5" w:rsidRDefault="00547DB5" w:rsidP="00547DB5">
            <w:pPr>
              <w:jc w:val="center"/>
            </w:pPr>
            <w:r w:rsidRPr="00547DB5">
              <w:t>4</w:t>
            </w:r>
          </w:p>
        </w:tc>
        <w:tc>
          <w:tcPr>
            <w:tcW w:w="1200" w:type="dxa"/>
            <w:noWrap/>
            <w:hideMark/>
          </w:tcPr>
          <w:p w:rsidR="00547DB5" w:rsidRPr="00547DB5" w:rsidRDefault="00547DB5" w:rsidP="00547DB5">
            <w:pPr>
              <w:jc w:val="center"/>
            </w:pPr>
            <w:r w:rsidRPr="00547DB5">
              <w:t>0.941</w:t>
            </w:r>
          </w:p>
        </w:tc>
        <w:tc>
          <w:tcPr>
            <w:tcW w:w="1116" w:type="dxa"/>
            <w:noWrap/>
            <w:hideMark/>
          </w:tcPr>
          <w:p w:rsidR="00547DB5" w:rsidRPr="00547DB5" w:rsidRDefault="00547DB5" w:rsidP="00547DB5">
            <w:pPr>
              <w:jc w:val="center"/>
            </w:pPr>
            <w:r w:rsidRPr="00547DB5">
              <w:t>0.934</w:t>
            </w:r>
          </w:p>
        </w:tc>
        <w:tc>
          <w:tcPr>
            <w:tcW w:w="809" w:type="dxa"/>
            <w:noWrap/>
            <w:hideMark/>
          </w:tcPr>
          <w:p w:rsidR="00547DB5" w:rsidRPr="00547DB5" w:rsidRDefault="00547DB5" w:rsidP="00547DB5">
            <w:pPr>
              <w:jc w:val="center"/>
            </w:pPr>
            <w:r w:rsidRPr="00547DB5">
              <w:t>0.971</w:t>
            </w:r>
          </w:p>
        </w:tc>
        <w:tc>
          <w:tcPr>
            <w:tcW w:w="1195" w:type="dxa"/>
            <w:noWrap/>
            <w:hideMark/>
          </w:tcPr>
          <w:p w:rsidR="00547DB5" w:rsidRPr="00547DB5" w:rsidRDefault="00547DB5" w:rsidP="00547DB5">
            <w:pPr>
              <w:jc w:val="center"/>
            </w:pPr>
            <w:r w:rsidRPr="00547DB5">
              <w:t>0.952</w:t>
            </w:r>
          </w:p>
        </w:tc>
      </w:tr>
      <w:tr w:rsidR="00547DB5" w:rsidRPr="00547DB5" w:rsidTr="00415787">
        <w:trPr>
          <w:trHeight w:val="158"/>
          <w:jc w:val="center"/>
        </w:trPr>
        <w:tc>
          <w:tcPr>
            <w:tcW w:w="1188" w:type="dxa"/>
            <w:noWrap/>
            <w:hideMark/>
          </w:tcPr>
          <w:p w:rsidR="00547DB5" w:rsidRPr="00547DB5" w:rsidRDefault="00547DB5" w:rsidP="00547DB5">
            <w:pPr>
              <w:jc w:val="center"/>
            </w:pPr>
            <w:r w:rsidRPr="00547DB5">
              <w:t>5</w:t>
            </w:r>
          </w:p>
        </w:tc>
        <w:tc>
          <w:tcPr>
            <w:tcW w:w="1200" w:type="dxa"/>
            <w:noWrap/>
            <w:hideMark/>
          </w:tcPr>
          <w:p w:rsidR="00547DB5" w:rsidRPr="00547DB5" w:rsidRDefault="00547DB5" w:rsidP="00547DB5">
            <w:pPr>
              <w:jc w:val="center"/>
            </w:pPr>
            <w:r w:rsidRPr="00547DB5">
              <w:t>0.947</w:t>
            </w:r>
          </w:p>
        </w:tc>
        <w:tc>
          <w:tcPr>
            <w:tcW w:w="1116" w:type="dxa"/>
            <w:noWrap/>
            <w:hideMark/>
          </w:tcPr>
          <w:p w:rsidR="00547DB5" w:rsidRPr="00547DB5" w:rsidRDefault="00547DB5" w:rsidP="00547DB5">
            <w:pPr>
              <w:jc w:val="center"/>
            </w:pPr>
            <w:r w:rsidRPr="00547DB5">
              <w:t>0.924</w:t>
            </w:r>
          </w:p>
        </w:tc>
        <w:tc>
          <w:tcPr>
            <w:tcW w:w="809" w:type="dxa"/>
            <w:noWrap/>
            <w:hideMark/>
          </w:tcPr>
          <w:p w:rsidR="00547DB5" w:rsidRPr="00547DB5" w:rsidRDefault="00547DB5" w:rsidP="00547DB5">
            <w:pPr>
              <w:jc w:val="center"/>
            </w:pPr>
            <w:r w:rsidRPr="00547DB5">
              <w:t>0.990</w:t>
            </w:r>
          </w:p>
        </w:tc>
        <w:tc>
          <w:tcPr>
            <w:tcW w:w="1195" w:type="dxa"/>
            <w:noWrap/>
            <w:hideMark/>
          </w:tcPr>
          <w:p w:rsidR="00547DB5" w:rsidRPr="00547DB5" w:rsidRDefault="00547DB5" w:rsidP="00547DB5">
            <w:pPr>
              <w:jc w:val="center"/>
            </w:pPr>
            <w:r w:rsidRPr="00547DB5">
              <w:t>0.956</w:t>
            </w:r>
          </w:p>
        </w:tc>
      </w:tr>
      <w:tr w:rsidR="00547DB5" w:rsidRPr="00547DB5" w:rsidTr="00415787">
        <w:trPr>
          <w:trHeight w:val="158"/>
          <w:jc w:val="center"/>
        </w:trPr>
        <w:tc>
          <w:tcPr>
            <w:tcW w:w="1188" w:type="dxa"/>
            <w:noWrap/>
            <w:hideMark/>
          </w:tcPr>
          <w:p w:rsidR="00547DB5" w:rsidRPr="00547DB5" w:rsidRDefault="00547DB5" w:rsidP="00547DB5">
            <w:pPr>
              <w:jc w:val="center"/>
            </w:pPr>
            <w:r w:rsidRPr="00547DB5">
              <w:t>6</w:t>
            </w:r>
          </w:p>
        </w:tc>
        <w:tc>
          <w:tcPr>
            <w:tcW w:w="1200" w:type="dxa"/>
            <w:noWrap/>
            <w:hideMark/>
          </w:tcPr>
          <w:p w:rsidR="00547DB5" w:rsidRPr="00547DB5" w:rsidRDefault="00547DB5" w:rsidP="00547DB5">
            <w:pPr>
              <w:jc w:val="center"/>
            </w:pPr>
            <w:r w:rsidRPr="00547DB5">
              <w:t>0.969</w:t>
            </w:r>
          </w:p>
        </w:tc>
        <w:tc>
          <w:tcPr>
            <w:tcW w:w="1116" w:type="dxa"/>
            <w:noWrap/>
            <w:hideMark/>
          </w:tcPr>
          <w:p w:rsidR="00547DB5" w:rsidRPr="00547DB5" w:rsidRDefault="00547DB5" w:rsidP="00547DB5">
            <w:pPr>
              <w:jc w:val="center"/>
            </w:pPr>
            <w:r w:rsidRPr="00547DB5">
              <w:t>0.961</w:t>
            </w:r>
          </w:p>
        </w:tc>
        <w:tc>
          <w:tcPr>
            <w:tcW w:w="809" w:type="dxa"/>
            <w:noWrap/>
            <w:hideMark/>
          </w:tcPr>
          <w:p w:rsidR="00547DB5" w:rsidRPr="00547DB5" w:rsidRDefault="00547DB5" w:rsidP="00547DB5">
            <w:pPr>
              <w:jc w:val="center"/>
            </w:pPr>
            <w:r w:rsidRPr="00547DB5">
              <w:t>0.980</w:t>
            </w:r>
          </w:p>
        </w:tc>
        <w:tc>
          <w:tcPr>
            <w:tcW w:w="1195" w:type="dxa"/>
            <w:noWrap/>
            <w:hideMark/>
          </w:tcPr>
          <w:p w:rsidR="00547DB5" w:rsidRPr="00547DB5" w:rsidRDefault="00547DB5" w:rsidP="00547DB5">
            <w:pPr>
              <w:jc w:val="center"/>
            </w:pPr>
            <w:r w:rsidRPr="00547DB5">
              <w:t>0.976</w:t>
            </w:r>
          </w:p>
        </w:tc>
      </w:tr>
      <w:tr w:rsidR="00547DB5" w:rsidRPr="00547DB5" w:rsidTr="00415787">
        <w:trPr>
          <w:trHeight w:val="158"/>
          <w:jc w:val="center"/>
        </w:trPr>
        <w:tc>
          <w:tcPr>
            <w:tcW w:w="1188" w:type="dxa"/>
            <w:noWrap/>
            <w:hideMark/>
          </w:tcPr>
          <w:p w:rsidR="00547DB5" w:rsidRPr="00547DB5" w:rsidRDefault="00547DB5" w:rsidP="00547DB5">
            <w:pPr>
              <w:jc w:val="center"/>
            </w:pPr>
            <w:r w:rsidRPr="00547DB5">
              <w:t>7</w:t>
            </w:r>
          </w:p>
        </w:tc>
        <w:tc>
          <w:tcPr>
            <w:tcW w:w="1200" w:type="dxa"/>
            <w:noWrap/>
            <w:hideMark/>
          </w:tcPr>
          <w:p w:rsidR="00547DB5" w:rsidRPr="00547DB5" w:rsidRDefault="00547DB5" w:rsidP="00547DB5">
            <w:pPr>
              <w:jc w:val="center"/>
            </w:pPr>
            <w:r w:rsidRPr="00547DB5">
              <w:t>0.959</w:t>
            </w:r>
          </w:p>
        </w:tc>
        <w:tc>
          <w:tcPr>
            <w:tcW w:w="1116" w:type="dxa"/>
            <w:noWrap/>
            <w:hideMark/>
          </w:tcPr>
          <w:p w:rsidR="00547DB5" w:rsidRPr="00547DB5" w:rsidRDefault="00547DB5" w:rsidP="00547DB5">
            <w:pPr>
              <w:jc w:val="center"/>
            </w:pPr>
            <w:r w:rsidRPr="00547DB5">
              <w:t>0.971</w:t>
            </w:r>
          </w:p>
        </w:tc>
        <w:tc>
          <w:tcPr>
            <w:tcW w:w="809" w:type="dxa"/>
            <w:noWrap/>
            <w:hideMark/>
          </w:tcPr>
          <w:p w:rsidR="00547DB5" w:rsidRPr="00547DB5" w:rsidRDefault="00547DB5" w:rsidP="00547DB5">
            <w:pPr>
              <w:jc w:val="center"/>
            </w:pPr>
            <w:r w:rsidRPr="00547DB5">
              <w:t>0.962</w:t>
            </w:r>
          </w:p>
        </w:tc>
        <w:tc>
          <w:tcPr>
            <w:tcW w:w="1195" w:type="dxa"/>
            <w:noWrap/>
            <w:hideMark/>
          </w:tcPr>
          <w:p w:rsidR="00547DB5" w:rsidRPr="00547DB5" w:rsidRDefault="00547DB5" w:rsidP="00547DB5">
            <w:pPr>
              <w:jc w:val="center"/>
            </w:pPr>
            <w:r w:rsidRPr="00547DB5">
              <w:t>0.966</w:t>
            </w:r>
          </w:p>
        </w:tc>
      </w:tr>
      <w:tr w:rsidR="00547DB5" w:rsidRPr="00547DB5" w:rsidTr="00415787">
        <w:trPr>
          <w:trHeight w:val="158"/>
          <w:jc w:val="center"/>
        </w:trPr>
        <w:tc>
          <w:tcPr>
            <w:tcW w:w="1188" w:type="dxa"/>
            <w:noWrap/>
            <w:hideMark/>
          </w:tcPr>
          <w:p w:rsidR="00547DB5" w:rsidRPr="00547DB5" w:rsidRDefault="00547DB5" w:rsidP="00547DB5">
            <w:pPr>
              <w:jc w:val="center"/>
            </w:pPr>
            <w:r w:rsidRPr="00547DB5">
              <w:t>8</w:t>
            </w:r>
          </w:p>
        </w:tc>
        <w:tc>
          <w:tcPr>
            <w:tcW w:w="1200" w:type="dxa"/>
            <w:noWrap/>
            <w:hideMark/>
          </w:tcPr>
          <w:p w:rsidR="00547DB5" w:rsidRPr="00547DB5" w:rsidRDefault="00547DB5" w:rsidP="00547DB5">
            <w:pPr>
              <w:jc w:val="center"/>
            </w:pPr>
            <w:r w:rsidRPr="00547DB5">
              <w:t>0.965</w:t>
            </w:r>
          </w:p>
        </w:tc>
        <w:tc>
          <w:tcPr>
            <w:tcW w:w="1116" w:type="dxa"/>
            <w:noWrap/>
            <w:hideMark/>
          </w:tcPr>
          <w:p w:rsidR="00547DB5" w:rsidRPr="00547DB5" w:rsidRDefault="00547DB5" w:rsidP="00547DB5">
            <w:pPr>
              <w:jc w:val="center"/>
            </w:pPr>
            <w:r w:rsidRPr="00547DB5">
              <w:t>0.971</w:t>
            </w:r>
          </w:p>
        </w:tc>
        <w:tc>
          <w:tcPr>
            <w:tcW w:w="809" w:type="dxa"/>
            <w:noWrap/>
            <w:hideMark/>
          </w:tcPr>
          <w:p w:rsidR="00547DB5" w:rsidRPr="00547DB5" w:rsidRDefault="00547DB5" w:rsidP="00547DB5">
            <w:pPr>
              <w:jc w:val="center"/>
            </w:pPr>
            <w:r w:rsidRPr="00547DB5">
              <w:t>0.971</w:t>
            </w:r>
          </w:p>
        </w:tc>
        <w:tc>
          <w:tcPr>
            <w:tcW w:w="1195" w:type="dxa"/>
            <w:noWrap/>
            <w:hideMark/>
          </w:tcPr>
          <w:p w:rsidR="00547DB5" w:rsidRPr="00547DB5" w:rsidRDefault="00547DB5" w:rsidP="00547DB5">
            <w:pPr>
              <w:jc w:val="center"/>
            </w:pPr>
            <w:r w:rsidRPr="00547DB5">
              <w:t>0.971</w:t>
            </w:r>
          </w:p>
        </w:tc>
      </w:tr>
      <w:tr w:rsidR="00547DB5" w:rsidRPr="00547DB5" w:rsidTr="00415787">
        <w:trPr>
          <w:trHeight w:val="158"/>
          <w:jc w:val="center"/>
        </w:trPr>
        <w:tc>
          <w:tcPr>
            <w:tcW w:w="1188" w:type="dxa"/>
            <w:noWrap/>
            <w:hideMark/>
          </w:tcPr>
          <w:p w:rsidR="00547DB5" w:rsidRPr="00547DB5" w:rsidRDefault="00547DB5" w:rsidP="00547DB5">
            <w:pPr>
              <w:jc w:val="center"/>
            </w:pPr>
            <w:r w:rsidRPr="00547DB5">
              <w:t>9</w:t>
            </w:r>
          </w:p>
        </w:tc>
        <w:tc>
          <w:tcPr>
            <w:tcW w:w="1200" w:type="dxa"/>
            <w:noWrap/>
            <w:hideMark/>
          </w:tcPr>
          <w:p w:rsidR="00547DB5" w:rsidRPr="00547DB5" w:rsidRDefault="00547DB5" w:rsidP="00547DB5">
            <w:pPr>
              <w:jc w:val="center"/>
            </w:pPr>
            <w:r w:rsidRPr="00547DB5">
              <w:t>0.959</w:t>
            </w:r>
          </w:p>
        </w:tc>
        <w:tc>
          <w:tcPr>
            <w:tcW w:w="1116" w:type="dxa"/>
            <w:noWrap/>
            <w:hideMark/>
          </w:tcPr>
          <w:p w:rsidR="00547DB5" w:rsidRPr="00547DB5" w:rsidRDefault="00547DB5" w:rsidP="00547DB5">
            <w:pPr>
              <w:jc w:val="center"/>
            </w:pPr>
            <w:r w:rsidRPr="00547DB5">
              <w:t>0.961</w:t>
            </w:r>
          </w:p>
        </w:tc>
        <w:tc>
          <w:tcPr>
            <w:tcW w:w="809" w:type="dxa"/>
            <w:noWrap/>
            <w:hideMark/>
          </w:tcPr>
          <w:p w:rsidR="00547DB5" w:rsidRPr="00547DB5" w:rsidRDefault="00547DB5" w:rsidP="00547DB5">
            <w:pPr>
              <w:jc w:val="center"/>
            </w:pPr>
            <w:r w:rsidRPr="00547DB5">
              <w:t>0.971</w:t>
            </w:r>
          </w:p>
        </w:tc>
        <w:tc>
          <w:tcPr>
            <w:tcW w:w="1195" w:type="dxa"/>
            <w:noWrap/>
            <w:hideMark/>
          </w:tcPr>
          <w:p w:rsidR="00547DB5" w:rsidRPr="00547DB5" w:rsidRDefault="00547DB5" w:rsidP="00547DB5">
            <w:pPr>
              <w:jc w:val="center"/>
            </w:pPr>
            <w:r w:rsidRPr="00547DB5">
              <w:t>0.966</w:t>
            </w:r>
          </w:p>
        </w:tc>
      </w:tr>
      <w:tr w:rsidR="00547DB5" w:rsidRPr="00547DB5" w:rsidTr="00415787">
        <w:trPr>
          <w:trHeight w:val="150"/>
          <w:jc w:val="center"/>
        </w:trPr>
        <w:tc>
          <w:tcPr>
            <w:tcW w:w="1188" w:type="dxa"/>
            <w:noWrap/>
            <w:hideMark/>
          </w:tcPr>
          <w:p w:rsidR="00547DB5" w:rsidRPr="00547DB5" w:rsidRDefault="00547DB5" w:rsidP="003D427D">
            <w:pPr>
              <w:jc w:val="center"/>
            </w:pPr>
            <w:r w:rsidRPr="00547DB5">
              <w:t>10</w:t>
            </w:r>
          </w:p>
        </w:tc>
        <w:tc>
          <w:tcPr>
            <w:tcW w:w="1200" w:type="dxa"/>
            <w:noWrap/>
            <w:hideMark/>
          </w:tcPr>
          <w:p w:rsidR="00547DB5" w:rsidRPr="00547DB5" w:rsidRDefault="00547DB5" w:rsidP="00547DB5">
            <w:pPr>
              <w:jc w:val="center"/>
            </w:pPr>
            <w:r w:rsidRPr="00547DB5">
              <w:t>0.959</w:t>
            </w:r>
          </w:p>
        </w:tc>
        <w:tc>
          <w:tcPr>
            <w:tcW w:w="1116" w:type="dxa"/>
            <w:noWrap/>
            <w:hideMark/>
          </w:tcPr>
          <w:p w:rsidR="00547DB5" w:rsidRPr="00547DB5" w:rsidRDefault="00547DB5" w:rsidP="00547DB5">
            <w:pPr>
              <w:jc w:val="center"/>
            </w:pPr>
            <w:r w:rsidRPr="00547DB5">
              <w:t>0.952</w:t>
            </w:r>
          </w:p>
        </w:tc>
        <w:tc>
          <w:tcPr>
            <w:tcW w:w="809" w:type="dxa"/>
            <w:noWrap/>
            <w:hideMark/>
          </w:tcPr>
          <w:p w:rsidR="00547DB5" w:rsidRPr="00547DB5" w:rsidRDefault="00547DB5" w:rsidP="00547DB5">
            <w:pPr>
              <w:jc w:val="center"/>
            </w:pPr>
            <w:r w:rsidRPr="00547DB5">
              <w:t>0.980</w:t>
            </w:r>
          </w:p>
        </w:tc>
        <w:tc>
          <w:tcPr>
            <w:tcW w:w="1195" w:type="dxa"/>
            <w:noWrap/>
            <w:hideMark/>
          </w:tcPr>
          <w:p w:rsidR="00547DB5" w:rsidRPr="00547DB5" w:rsidRDefault="00547DB5" w:rsidP="00547DB5">
            <w:pPr>
              <w:jc w:val="center"/>
            </w:pPr>
            <w:r w:rsidRPr="00547DB5">
              <w:t>0.966</w:t>
            </w:r>
          </w:p>
        </w:tc>
      </w:tr>
    </w:tbl>
    <w:p w:rsidR="00547DB5" w:rsidRDefault="007C7143" w:rsidP="00D13318">
      <w:pPr>
        <w:jc w:val="center"/>
        <w:rPr>
          <w:i/>
        </w:rPr>
      </w:pPr>
      <w:r>
        <w:rPr>
          <w:i/>
        </w:rPr>
        <w:t xml:space="preserve">Table 1: Decision tree based </w:t>
      </w:r>
      <w:proofErr w:type="spellStart"/>
      <w:r>
        <w:rPr>
          <w:i/>
        </w:rPr>
        <w:t>Adaboost</w:t>
      </w:r>
      <w:proofErr w:type="spellEnd"/>
      <w:r>
        <w:rPr>
          <w:i/>
        </w:rPr>
        <w:t xml:space="preserve"> results</w:t>
      </w:r>
    </w:p>
    <w:p w:rsidR="00A26375" w:rsidRPr="007C7143" w:rsidRDefault="00A26375" w:rsidP="00D13318">
      <w:pPr>
        <w:jc w:val="center"/>
        <w:rPr>
          <w:i/>
        </w:rPr>
      </w:pPr>
    </w:p>
    <w:tbl>
      <w:tblPr>
        <w:tblStyle w:val="TableGrid"/>
        <w:tblpPr w:leftFromText="180" w:rightFromText="180" w:vertAnchor="text" w:horzAnchor="margin" w:tblpXSpec="center" w:tblpY="70"/>
        <w:tblW w:w="0" w:type="auto"/>
        <w:tblLook w:val="04A0" w:firstRow="1" w:lastRow="0" w:firstColumn="1" w:lastColumn="0" w:noHBand="0" w:noVBand="1"/>
      </w:tblPr>
      <w:tblGrid>
        <w:gridCol w:w="1249"/>
        <w:gridCol w:w="1116"/>
        <w:gridCol w:w="1125"/>
        <w:gridCol w:w="815"/>
        <w:gridCol w:w="1212"/>
      </w:tblGrid>
      <w:tr w:rsidR="00A26375" w:rsidRPr="000A3E4E" w:rsidTr="00A26375">
        <w:trPr>
          <w:trHeight w:val="285"/>
        </w:trPr>
        <w:tc>
          <w:tcPr>
            <w:tcW w:w="5517" w:type="dxa"/>
            <w:gridSpan w:val="5"/>
            <w:noWrap/>
            <w:hideMark/>
          </w:tcPr>
          <w:p w:rsidR="00A26375" w:rsidRPr="000A3E4E" w:rsidRDefault="00A26375" w:rsidP="00A26375">
            <w:pPr>
              <w:jc w:val="center"/>
            </w:pPr>
            <w:proofErr w:type="spellStart"/>
            <w:r>
              <w:t>Adaboost</w:t>
            </w:r>
            <w:proofErr w:type="spellEnd"/>
            <w:r>
              <w:t>-</w:t>
            </w:r>
            <w:r w:rsidRPr="000A3E4E">
              <w:t>K-Nearest Neighbors</w:t>
            </w:r>
          </w:p>
        </w:tc>
      </w:tr>
      <w:tr w:rsidR="00A26375" w:rsidRPr="000A3E4E" w:rsidTr="00A26375">
        <w:trPr>
          <w:trHeight w:val="296"/>
        </w:trPr>
        <w:tc>
          <w:tcPr>
            <w:tcW w:w="1249" w:type="dxa"/>
            <w:noWrap/>
            <w:hideMark/>
          </w:tcPr>
          <w:p w:rsidR="00A26375" w:rsidRPr="000A3E4E" w:rsidRDefault="00A26375" w:rsidP="00A26375">
            <w:pPr>
              <w:jc w:val="center"/>
            </w:pPr>
            <w:r w:rsidRPr="000A3E4E">
              <w:t>Boosting Rounds</w:t>
            </w:r>
          </w:p>
        </w:tc>
        <w:tc>
          <w:tcPr>
            <w:tcW w:w="1116" w:type="dxa"/>
            <w:noWrap/>
            <w:hideMark/>
          </w:tcPr>
          <w:p w:rsidR="00A26375" w:rsidRPr="000A3E4E" w:rsidRDefault="00A26375" w:rsidP="00A26375">
            <w:pPr>
              <w:jc w:val="center"/>
            </w:pPr>
            <w:r w:rsidRPr="000A3E4E">
              <w:t>Accuracy</w:t>
            </w:r>
          </w:p>
        </w:tc>
        <w:tc>
          <w:tcPr>
            <w:tcW w:w="1125" w:type="dxa"/>
            <w:noWrap/>
            <w:hideMark/>
          </w:tcPr>
          <w:p w:rsidR="00A26375" w:rsidRPr="000A3E4E" w:rsidRDefault="00A26375" w:rsidP="00A26375">
            <w:pPr>
              <w:jc w:val="center"/>
            </w:pPr>
            <w:r w:rsidRPr="000A3E4E">
              <w:t>Precision</w:t>
            </w:r>
          </w:p>
        </w:tc>
        <w:tc>
          <w:tcPr>
            <w:tcW w:w="815" w:type="dxa"/>
            <w:noWrap/>
            <w:hideMark/>
          </w:tcPr>
          <w:p w:rsidR="00A26375" w:rsidRPr="000A3E4E" w:rsidRDefault="00A26375" w:rsidP="00A26375">
            <w:pPr>
              <w:jc w:val="center"/>
            </w:pPr>
            <w:r w:rsidRPr="000A3E4E">
              <w:t>Recall</w:t>
            </w:r>
          </w:p>
        </w:tc>
        <w:tc>
          <w:tcPr>
            <w:tcW w:w="1212" w:type="dxa"/>
            <w:noWrap/>
            <w:hideMark/>
          </w:tcPr>
          <w:p w:rsidR="00A26375" w:rsidRPr="000A3E4E" w:rsidRDefault="00A26375" w:rsidP="00A26375">
            <w:pPr>
              <w:jc w:val="center"/>
            </w:pPr>
            <w:r w:rsidRPr="000A3E4E">
              <w:t>F-Measure</w:t>
            </w:r>
          </w:p>
        </w:tc>
      </w:tr>
      <w:tr w:rsidR="00A26375" w:rsidRPr="000A3E4E" w:rsidTr="00A26375">
        <w:trPr>
          <w:trHeight w:val="296"/>
        </w:trPr>
        <w:tc>
          <w:tcPr>
            <w:tcW w:w="1249" w:type="dxa"/>
            <w:noWrap/>
            <w:hideMark/>
          </w:tcPr>
          <w:p w:rsidR="00A26375" w:rsidRPr="000A3E4E" w:rsidRDefault="00A26375" w:rsidP="00A26375">
            <w:pPr>
              <w:jc w:val="center"/>
            </w:pPr>
            <w:r w:rsidRPr="000A3E4E">
              <w:t>1</w:t>
            </w:r>
          </w:p>
        </w:tc>
        <w:tc>
          <w:tcPr>
            <w:tcW w:w="1116" w:type="dxa"/>
            <w:noWrap/>
            <w:hideMark/>
          </w:tcPr>
          <w:p w:rsidR="00A26375" w:rsidRPr="000A3E4E" w:rsidRDefault="00A26375" w:rsidP="00A26375">
            <w:pPr>
              <w:jc w:val="center"/>
            </w:pPr>
            <w:r w:rsidRPr="000A3E4E">
              <w:t>0.959</w:t>
            </w:r>
          </w:p>
        </w:tc>
        <w:tc>
          <w:tcPr>
            <w:tcW w:w="1125" w:type="dxa"/>
            <w:noWrap/>
            <w:hideMark/>
          </w:tcPr>
          <w:p w:rsidR="00A26375" w:rsidRPr="000A3E4E" w:rsidRDefault="00A26375" w:rsidP="00A26375">
            <w:pPr>
              <w:jc w:val="center"/>
            </w:pPr>
            <w:r w:rsidRPr="000A3E4E">
              <w:t>0.945</w:t>
            </w:r>
          </w:p>
        </w:tc>
        <w:tc>
          <w:tcPr>
            <w:tcW w:w="815" w:type="dxa"/>
            <w:noWrap/>
            <w:hideMark/>
          </w:tcPr>
          <w:p w:rsidR="00A26375" w:rsidRPr="000A3E4E" w:rsidRDefault="00A26375" w:rsidP="00A26375">
            <w:pPr>
              <w:jc w:val="center"/>
            </w:pPr>
            <w:r w:rsidRPr="000A3E4E">
              <w:t>0.990</w:t>
            </w:r>
          </w:p>
        </w:tc>
        <w:tc>
          <w:tcPr>
            <w:tcW w:w="1212" w:type="dxa"/>
            <w:noWrap/>
            <w:hideMark/>
          </w:tcPr>
          <w:p w:rsidR="00A26375" w:rsidRPr="000A3E4E" w:rsidRDefault="00A26375" w:rsidP="00A26375">
            <w:pPr>
              <w:jc w:val="center"/>
            </w:pPr>
            <w:r w:rsidRPr="000A3E4E">
              <w:t>0.967</w:t>
            </w:r>
          </w:p>
        </w:tc>
      </w:tr>
      <w:tr w:rsidR="00A26375" w:rsidRPr="000A3E4E" w:rsidTr="00A26375">
        <w:trPr>
          <w:trHeight w:val="296"/>
        </w:trPr>
        <w:tc>
          <w:tcPr>
            <w:tcW w:w="1249" w:type="dxa"/>
            <w:noWrap/>
            <w:hideMark/>
          </w:tcPr>
          <w:p w:rsidR="00A26375" w:rsidRPr="000A3E4E" w:rsidRDefault="00A26375" w:rsidP="00A26375">
            <w:pPr>
              <w:jc w:val="center"/>
            </w:pPr>
            <w:r w:rsidRPr="000A3E4E">
              <w:t>2</w:t>
            </w:r>
          </w:p>
        </w:tc>
        <w:tc>
          <w:tcPr>
            <w:tcW w:w="1116" w:type="dxa"/>
            <w:noWrap/>
            <w:hideMark/>
          </w:tcPr>
          <w:p w:rsidR="00A26375" w:rsidRPr="000A3E4E" w:rsidRDefault="00A26375" w:rsidP="00A26375">
            <w:pPr>
              <w:jc w:val="center"/>
            </w:pPr>
            <w:r w:rsidRPr="000A3E4E">
              <w:t>0.959</w:t>
            </w:r>
          </w:p>
        </w:tc>
        <w:tc>
          <w:tcPr>
            <w:tcW w:w="1125" w:type="dxa"/>
            <w:noWrap/>
            <w:hideMark/>
          </w:tcPr>
          <w:p w:rsidR="00A26375" w:rsidRPr="000A3E4E" w:rsidRDefault="00A26375" w:rsidP="00A26375">
            <w:pPr>
              <w:jc w:val="center"/>
            </w:pPr>
            <w:r w:rsidRPr="000A3E4E">
              <w:t>0.970</w:t>
            </w:r>
          </w:p>
        </w:tc>
        <w:tc>
          <w:tcPr>
            <w:tcW w:w="815" w:type="dxa"/>
            <w:noWrap/>
            <w:hideMark/>
          </w:tcPr>
          <w:p w:rsidR="00A26375" w:rsidRPr="000A3E4E" w:rsidRDefault="00A26375" w:rsidP="00A26375">
            <w:pPr>
              <w:jc w:val="center"/>
            </w:pPr>
            <w:r w:rsidRPr="000A3E4E">
              <w:t>0.961</w:t>
            </w:r>
          </w:p>
        </w:tc>
        <w:tc>
          <w:tcPr>
            <w:tcW w:w="1212" w:type="dxa"/>
            <w:noWrap/>
            <w:hideMark/>
          </w:tcPr>
          <w:p w:rsidR="00A26375" w:rsidRPr="000A3E4E" w:rsidRDefault="00A26375" w:rsidP="00A26375">
            <w:pPr>
              <w:jc w:val="center"/>
            </w:pPr>
            <w:r w:rsidRPr="000A3E4E">
              <w:t>0.966</w:t>
            </w:r>
          </w:p>
        </w:tc>
      </w:tr>
      <w:tr w:rsidR="00A26375" w:rsidRPr="000A3E4E" w:rsidTr="00A26375">
        <w:trPr>
          <w:trHeight w:val="296"/>
        </w:trPr>
        <w:tc>
          <w:tcPr>
            <w:tcW w:w="1249" w:type="dxa"/>
            <w:noWrap/>
            <w:hideMark/>
          </w:tcPr>
          <w:p w:rsidR="00A26375" w:rsidRPr="000A3E4E" w:rsidRDefault="00A26375" w:rsidP="00A26375">
            <w:pPr>
              <w:jc w:val="center"/>
            </w:pPr>
            <w:r w:rsidRPr="000A3E4E">
              <w:t>3</w:t>
            </w:r>
          </w:p>
        </w:tc>
        <w:tc>
          <w:tcPr>
            <w:tcW w:w="1116" w:type="dxa"/>
            <w:noWrap/>
            <w:hideMark/>
          </w:tcPr>
          <w:p w:rsidR="00A26375" w:rsidRPr="000A3E4E" w:rsidRDefault="00A26375" w:rsidP="00A26375">
            <w:pPr>
              <w:jc w:val="center"/>
            </w:pPr>
            <w:r w:rsidRPr="000A3E4E">
              <w:t>0.918</w:t>
            </w:r>
          </w:p>
        </w:tc>
        <w:tc>
          <w:tcPr>
            <w:tcW w:w="1125" w:type="dxa"/>
            <w:noWrap/>
            <w:hideMark/>
          </w:tcPr>
          <w:p w:rsidR="00A26375" w:rsidRPr="000A3E4E" w:rsidRDefault="00A26375" w:rsidP="00A26375">
            <w:pPr>
              <w:jc w:val="center"/>
            </w:pPr>
            <w:r w:rsidRPr="000A3E4E">
              <w:t>0.943</w:t>
            </w:r>
          </w:p>
        </w:tc>
        <w:tc>
          <w:tcPr>
            <w:tcW w:w="815" w:type="dxa"/>
            <w:noWrap/>
            <w:hideMark/>
          </w:tcPr>
          <w:p w:rsidR="00A26375" w:rsidRPr="000A3E4E" w:rsidRDefault="00A26375" w:rsidP="00A26375">
            <w:pPr>
              <w:jc w:val="center"/>
            </w:pPr>
            <w:r w:rsidRPr="000A3E4E">
              <w:t>0.926</w:t>
            </w:r>
          </w:p>
        </w:tc>
        <w:tc>
          <w:tcPr>
            <w:tcW w:w="1212" w:type="dxa"/>
            <w:noWrap/>
            <w:hideMark/>
          </w:tcPr>
          <w:p w:rsidR="00A26375" w:rsidRPr="000A3E4E" w:rsidRDefault="00A26375" w:rsidP="00A26375">
            <w:pPr>
              <w:jc w:val="center"/>
            </w:pPr>
            <w:r w:rsidRPr="000A3E4E">
              <w:t>0.935</w:t>
            </w:r>
          </w:p>
        </w:tc>
      </w:tr>
      <w:tr w:rsidR="00A26375" w:rsidRPr="000A3E4E" w:rsidTr="00A26375">
        <w:trPr>
          <w:trHeight w:val="296"/>
        </w:trPr>
        <w:tc>
          <w:tcPr>
            <w:tcW w:w="1249" w:type="dxa"/>
            <w:noWrap/>
            <w:hideMark/>
          </w:tcPr>
          <w:p w:rsidR="00A26375" w:rsidRPr="000A3E4E" w:rsidRDefault="00A26375" w:rsidP="00A26375">
            <w:pPr>
              <w:jc w:val="center"/>
            </w:pPr>
            <w:r w:rsidRPr="000A3E4E">
              <w:t>4</w:t>
            </w:r>
          </w:p>
        </w:tc>
        <w:tc>
          <w:tcPr>
            <w:tcW w:w="1116" w:type="dxa"/>
            <w:noWrap/>
            <w:hideMark/>
          </w:tcPr>
          <w:p w:rsidR="00A26375" w:rsidRPr="000A3E4E" w:rsidRDefault="00A26375" w:rsidP="00A26375">
            <w:pPr>
              <w:jc w:val="center"/>
            </w:pPr>
            <w:r w:rsidRPr="000A3E4E">
              <w:t>0.947</w:t>
            </w:r>
          </w:p>
        </w:tc>
        <w:tc>
          <w:tcPr>
            <w:tcW w:w="1125" w:type="dxa"/>
            <w:noWrap/>
            <w:hideMark/>
          </w:tcPr>
          <w:p w:rsidR="00A26375" w:rsidRPr="000A3E4E" w:rsidRDefault="00A26375" w:rsidP="00A26375">
            <w:pPr>
              <w:jc w:val="center"/>
            </w:pPr>
            <w:r w:rsidRPr="000A3E4E">
              <w:t>0.924</w:t>
            </w:r>
          </w:p>
        </w:tc>
        <w:tc>
          <w:tcPr>
            <w:tcW w:w="815" w:type="dxa"/>
            <w:noWrap/>
            <w:hideMark/>
          </w:tcPr>
          <w:p w:rsidR="00A26375" w:rsidRPr="000A3E4E" w:rsidRDefault="00A26375" w:rsidP="00A26375">
            <w:pPr>
              <w:jc w:val="center"/>
            </w:pPr>
            <w:r w:rsidRPr="000A3E4E">
              <w:t>0.990</w:t>
            </w:r>
          </w:p>
        </w:tc>
        <w:tc>
          <w:tcPr>
            <w:tcW w:w="1212" w:type="dxa"/>
            <w:noWrap/>
            <w:hideMark/>
          </w:tcPr>
          <w:p w:rsidR="00A26375" w:rsidRPr="000A3E4E" w:rsidRDefault="00A26375" w:rsidP="00A26375">
            <w:pPr>
              <w:jc w:val="center"/>
            </w:pPr>
            <w:r w:rsidRPr="000A3E4E">
              <w:t>0.956</w:t>
            </w:r>
          </w:p>
        </w:tc>
      </w:tr>
      <w:tr w:rsidR="00A26375" w:rsidRPr="000A3E4E" w:rsidTr="00A26375">
        <w:trPr>
          <w:trHeight w:val="296"/>
        </w:trPr>
        <w:tc>
          <w:tcPr>
            <w:tcW w:w="1249" w:type="dxa"/>
            <w:noWrap/>
            <w:hideMark/>
          </w:tcPr>
          <w:p w:rsidR="00A26375" w:rsidRPr="000A3E4E" w:rsidRDefault="00A26375" w:rsidP="00A26375">
            <w:pPr>
              <w:jc w:val="center"/>
            </w:pPr>
            <w:r w:rsidRPr="000A3E4E">
              <w:t>5</w:t>
            </w:r>
          </w:p>
        </w:tc>
        <w:tc>
          <w:tcPr>
            <w:tcW w:w="1116" w:type="dxa"/>
            <w:noWrap/>
            <w:hideMark/>
          </w:tcPr>
          <w:p w:rsidR="00A26375" w:rsidRPr="000A3E4E" w:rsidRDefault="00A26375" w:rsidP="00A26375">
            <w:pPr>
              <w:jc w:val="center"/>
            </w:pPr>
            <w:r w:rsidRPr="000A3E4E">
              <w:t>0.906</w:t>
            </w:r>
          </w:p>
        </w:tc>
        <w:tc>
          <w:tcPr>
            <w:tcW w:w="1125" w:type="dxa"/>
            <w:noWrap/>
            <w:hideMark/>
          </w:tcPr>
          <w:p w:rsidR="00A26375" w:rsidRPr="000A3E4E" w:rsidRDefault="00A26375" w:rsidP="00A26375">
            <w:pPr>
              <w:jc w:val="center"/>
            </w:pPr>
            <w:r w:rsidRPr="000A3E4E">
              <w:t>0.942</w:t>
            </w:r>
          </w:p>
        </w:tc>
        <w:tc>
          <w:tcPr>
            <w:tcW w:w="815" w:type="dxa"/>
            <w:noWrap/>
            <w:hideMark/>
          </w:tcPr>
          <w:p w:rsidR="00A26375" w:rsidRPr="000A3E4E" w:rsidRDefault="00A26375" w:rsidP="00A26375">
            <w:pPr>
              <w:jc w:val="center"/>
            </w:pPr>
            <w:r w:rsidRPr="000A3E4E">
              <w:t>0.907</w:t>
            </w:r>
          </w:p>
        </w:tc>
        <w:tc>
          <w:tcPr>
            <w:tcW w:w="1212" w:type="dxa"/>
            <w:noWrap/>
            <w:hideMark/>
          </w:tcPr>
          <w:p w:rsidR="00A26375" w:rsidRPr="000A3E4E" w:rsidRDefault="00A26375" w:rsidP="00A26375">
            <w:pPr>
              <w:jc w:val="center"/>
            </w:pPr>
            <w:r w:rsidRPr="000A3E4E">
              <w:t>0.925</w:t>
            </w:r>
          </w:p>
        </w:tc>
      </w:tr>
      <w:tr w:rsidR="00A26375" w:rsidRPr="000A3E4E" w:rsidTr="00A26375">
        <w:trPr>
          <w:trHeight w:val="296"/>
        </w:trPr>
        <w:tc>
          <w:tcPr>
            <w:tcW w:w="1249" w:type="dxa"/>
            <w:noWrap/>
            <w:hideMark/>
          </w:tcPr>
          <w:p w:rsidR="00A26375" w:rsidRPr="000A3E4E" w:rsidRDefault="00A26375" w:rsidP="00A26375">
            <w:pPr>
              <w:jc w:val="center"/>
            </w:pPr>
            <w:r w:rsidRPr="000A3E4E">
              <w:t>6</w:t>
            </w:r>
          </w:p>
        </w:tc>
        <w:tc>
          <w:tcPr>
            <w:tcW w:w="1116" w:type="dxa"/>
            <w:noWrap/>
            <w:hideMark/>
          </w:tcPr>
          <w:p w:rsidR="00A26375" w:rsidRPr="000A3E4E" w:rsidRDefault="00A26375" w:rsidP="00A26375">
            <w:pPr>
              <w:jc w:val="center"/>
            </w:pPr>
            <w:r w:rsidRPr="000A3E4E">
              <w:t>0.947</w:t>
            </w:r>
          </w:p>
        </w:tc>
        <w:tc>
          <w:tcPr>
            <w:tcW w:w="1125" w:type="dxa"/>
            <w:noWrap/>
            <w:hideMark/>
          </w:tcPr>
          <w:p w:rsidR="00A26375" w:rsidRPr="000A3E4E" w:rsidRDefault="00A26375" w:rsidP="00A26375">
            <w:pPr>
              <w:jc w:val="center"/>
            </w:pPr>
            <w:r w:rsidRPr="000A3E4E">
              <w:t>0.938</w:t>
            </w:r>
          </w:p>
        </w:tc>
        <w:tc>
          <w:tcPr>
            <w:tcW w:w="815" w:type="dxa"/>
            <w:noWrap/>
            <w:hideMark/>
          </w:tcPr>
          <w:p w:rsidR="00A26375" w:rsidRPr="000A3E4E" w:rsidRDefault="00A26375" w:rsidP="00A26375">
            <w:pPr>
              <w:jc w:val="center"/>
            </w:pPr>
            <w:r w:rsidRPr="000A3E4E">
              <w:t>0.981</w:t>
            </w:r>
          </w:p>
        </w:tc>
        <w:tc>
          <w:tcPr>
            <w:tcW w:w="1212" w:type="dxa"/>
            <w:noWrap/>
            <w:hideMark/>
          </w:tcPr>
          <w:p w:rsidR="00A26375" w:rsidRPr="000A3E4E" w:rsidRDefault="00A26375" w:rsidP="00A26375">
            <w:pPr>
              <w:jc w:val="center"/>
            </w:pPr>
            <w:r w:rsidRPr="000A3E4E">
              <w:t>0.959</w:t>
            </w:r>
          </w:p>
        </w:tc>
      </w:tr>
      <w:tr w:rsidR="00A26375" w:rsidRPr="000A3E4E" w:rsidTr="00A26375">
        <w:trPr>
          <w:trHeight w:val="296"/>
        </w:trPr>
        <w:tc>
          <w:tcPr>
            <w:tcW w:w="1249" w:type="dxa"/>
            <w:noWrap/>
            <w:hideMark/>
          </w:tcPr>
          <w:p w:rsidR="00A26375" w:rsidRPr="000A3E4E" w:rsidRDefault="00A26375" w:rsidP="00A26375">
            <w:pPr>
              <w:jc w:val="center"/>
            </w:pPr>
            <w:r w:rsidRPr="000A3E4E">
              <w:t>7</w:t>
            </w:r>
          </w:p>
        </w:tc>
        <w:tc>
          <w:tcPr>
            <w:tcW w:w="1116" w:type="dxa"/>
            <w:noWrap/>
            <w:hideMark/>
          </w:tcPr>
          <w:p w:rsidR="00A26375" w:rsidRPr="000A3E4E" w:rsidRDefault="00A26375" w:rsidP="00A26375">
            <w:pPr>
              <w:jc w:val="center"/>
            </w:pPr>
            <w:r w:rsidRPr="000A3E4E">
              <w:t>0.924</w:t>
            </w:r>
          </w:p>
        </w:tc>
        <w:tc>
          <w:tcPr>
            <w:tcW w:w="1125" w:type="dxa"/>
            <w:noWrap/>
            <w:hideMark/>
          </w:tcPr>
          <w:p w:rsidR="00A26375" w:rsidRPr="000A3E4E" w:rsidRDefault="00A26375" w:rsidP="00A26375">
            <w:pPr>
              <w:jc w:val="center"/>
            </w:pPr>
            <w:r w:rsidRPr="000A3E4E">
              <w:t>0.962</w:t>
            </w:r>
          </w:p>
        </w:tc>
        <w:tc>
          <w:tcPr>
            <w:tcW w:w="815" w:type="dxa"/>
            <w:noWrap/>
            <w:hideMark/>
          </w:tcPr>
          <w:p w:rsidR="00A26375" w:rsidRPr="000A3E4E" w:rsidRDefault="00A26375" w:rsidP="00A26375">
            <w:pPr>
              <w:jc w:val="center"/>
            </w:pPr>
            <w:r w:rsidRPr="000A3E4E">
              <w:t>0.917</w:t>
            </w:r>
          </w:p>
        </w:tc>
        <w:tc>
          <w:tcPr>
            <w:tcW w:w="1212" w:type="dxa"/>
            <w:noWrap/>
            <w:hideMark/>
          </w:tcPr>
          <w:p w:rsidR="00A26375" w:rsidRPr="000A3E4E" w:rsidRDefault="00A26375" w:rsidP="00A26375">
            <w:pPr>
              <w:jc w:val="center"/>
            </w:pPr>
            <w:r w:rsidRPr="000A3E4E">
              <w:t>0.939</w:t>
            </w:r>
          </w:p>
        </w:tc>
      </w:tr>
      <w:tr w:rsidR="00A26375" w:rsidRPr="000A3E4E" w:rsidTr="00A26375">
        <w:trPr>
          <w:trHeight w:val="296"/>
        </w:trPr>
        <w:tc>
          <w:tcPr>
            <w:tcW w:w="1249" w:type="dxa"/>
            <w:noWrap/>
            <w:hideMark/>
          </w:tcPr>
          <w:p w:rsidR="00A26375" w:rsidRPr="000A3E4E" w:rsidRDefault="00A26375" w:rsidP="00A26375">
            <w:pPr>
              <w:jc w:val="center"/>
            </w:pPr>
            <w:r w:rsidRPr="000A3E4E">
              <w:t>8</w:t>
            </w:r>
          </w:p>
        </w:tc>
        <w:tc>
          <w:tcPr>
            <w:tcW w:w="1116" w:type="dxa"/>
            <w:noWrap/>
            <w:hideMark/>
          </w:tcPr>
          <w:p w:rsidR="00A26375" w:rsidRPr="000A3E4E" w:rsidRDefault="00A26375" w:rsidP="00A26375">
            <w:pPr>
              <w:jc w:val="center"/>
            </w:pPr>
            <w:r w:rsidRPr="000A3E4E">
              <w:t>0.924</w:t>
            </w:r>
          </w:p>
        </w:tc>
        <w:tc>
          <w:tcPr>
            <w:tcW w:w="1125" w:type="dxa"/>
            <w:noWrap/>
            <w:hideMark/>
          </w:tcPr>
          <w:p w:rsidR="00A26375" w:rsidRPr="000A3E4E" w:rsidRDefault="00A26375" w:rsidP="00A26375">
            <w:pPr>
              <w:jc w:val="center"/>
            </w:pPr>
            <w:r w:rsidRPr="000A3E4E">
              <w:t>0.940</w:t>
            </w:r>
          </w:p>
        </w:tc>
        <w:tc>
          <w:tcPr>
            <w:tcW w:w="815" w:type="dxa"/>
            <w:noWrap/>
            <w:hideMark/>
          </w:tcPr>
          <w:p w:rsidR="00A26375" w:rsidRPr="000A3E4E" w:rsidRDefault="00A26375" w:rsidP="00A26375">
            <w:pPr>
              <w:jc w:val="center"/>
            </w:pPr>
            <w:r w:rsidRPr="000A3E4E">
              <w:t>0.931</w:t>
            </w:r>
          </w:p>
        </w:tc>
        <w:tc>
          <w:tcPr>
            <w:tcW w:w="1212" w:type="dxa"/>
            <w:noWrap/>
            <w:hideMark/>
          </w:tcPr>
          <w:p w:rsidR="00A26375" w:rsidRPr="000A3E4E" w:rsidRDefault="00A26375" w:rsidP="00A26375">
            <w:pPr>
              <w:jc w:val="center"/>
            </w:pPr>
            <w:r w:rsidRPr="000A3E4E">
              <w:t>0.935</w:t>
            </w:r>
          </w:p>
        </w:tc>
      </w:tr>
      <w:tr w:rsidR="00A26375" w:rsidRPr="000A3E4E" w:rsidTr="00A26375">
        <w:trPr>
          <w:trHeight w:val="296"/>
        </w:trPr>
        <w:tc>
          <w:tcPr>
            <w:tcW w:w="1249" w:type="dxa"/>
            <w:noWrap/>
            <w:hideMark/>
          </w:tcPr>
          <w:p w:rsidR="00A26375" w:rsidRPr="000A3E4E" w:rsidRDefault="00A26375" w:rsidP="00A26375">
            <w:pPr>
              <w:jc w:val="center"/>
            </w:pPr>
            <w:r w:rsidRPr="000A3E4E">
              <w:t>9</w:t>
            </w:r>
          </w:p>
        </w:tc>
        <w:tc>
          <w:tcPr>
            <w:tcW w:w="1116" w:type="dxa"/>
            <w:noWrap/>
            <w:hideMark/>
          </w:tcPr>
          <w:p w:rsidR="00A26375" w:rsidRPr="000A3E4E" w:rsidRDefault="00A26375" w:rsidP="00A26375">
            <w:pPr>
              <w:jc w:val="center"/>
            </w:pPr>
            <w:r w:rsidRPr="000A3E4E">
              <w:t>0.935</w:t>
            </w:r>
          </w:p>
        </w:tc>
        <w:tc>
          <w:tcPr>
            <w:tcW w:w="1125" w:type="dxa"/>
            <w:noWrap/>
            <w:hideMark/>
          </w:tcPr>
          <w:p w:rsidR="00A26375" w:rsidRPr="000A3E4E" w:rsidRDefault="00A26375" w:rsidP="00A26375">
            <w:pPr>
              <w:jc w:val="center"/>
            </w:pPr>
            <w:r w:rsidRPr="000A3E4E">
              <w:t>0.972</w:t>
            </w:r>
          </w:p>
        </w:tc>
        <w:tc>
          <w:tcPr>
            <w:tcW w:w="815" w:type="dxa"/>
            <w:noWrap/>
            <w:hideMark/>
          </w:tcPr>
          <w:p w:rsidR="00A26375" w:rsidRPr="000A3E4E" w:rsidRDefault="00A26375" w:rsidP="00A26375">
            <w:pPr>
              <w:jc w:val="center"/>
            </w:pPr>
            <w:r w:rsidRPr="000A3E4E">
              <w:t>0.929</w:t>
            </w:r>
          </w:p>
        </w:tc>
        <w:tc>
          <w:tcPr>
            <w:tcW w:w="1212" w:type="dxa"/>
            <w:noWrap/>
            <w:hideMark/>
          </w:tcPr>
          <w:p w:rsidR="00A26375" w:rsidRPr="000A3E4E" w:rsidRDefault="00A26375" w:rsidP="00A26375">
            <w:pPr>
              <w:jc w:val="center"/>
            </w:pPr>
            <w:r w:rsidRPr="000A3E4E">
              <w:t>0.950</w:t>
            </w:r>
          </w:p>
        </w:tc>
      </w:tr>
      <w:tr w:rsidR="00A26375" w:rsidRPr="000A3E4E" w:rsidTr="00A26375">
        <w:trPr>
          <w:trHeight w:val="285"/>
        </w:trPr>
        <w:tc>
          <w:tcPr>
            <w:tcW w:w="1249" w:type="dxa"/>
            <w:noWrap/>
            <w:hideMark/>
          </w:tcPr>
          <w:p w:rsidR="00A26375" w:rsidRPr="000A3E4E" w:rsidRDefault="00A26375" w:rsidP="00A26375">
            <w:pPr>
              <w:jc w:val="center"/>
            </w:pPr>
            <w:r w:rsidRPr="000A3E4E">
              <w:t>10</w:t>
            </w:r>
          </w:p>
        </w:tc>
        <w:tc>
          <w:tcPr>
            <w:tcW w:w="1116" w:type="dxa"/>
            <w:noWrap/>
            <w:hideMark/>
          </w:tcPr>
          <w:p w:rsidR="00A26375" w:rsidRPr="000A3E4E" w:rsidRDefault="00A26375" w:rsidP="00A26375">
            <w:pPr>
              <w:jc w:val="center"/>
            </w:pPr>
            <w:r w:rsidRPr="000A3E4E">
              <w:t>0.929</w:t>
            </w:r>
          </w:p>
        </w:tc>
        <w:tc>
          <w:tcPr>
            <w:tcW w:w="1125" w:type="dxa"/>
            <w:noWrap/>
            <w:hideMark/>
          </w:tcPr>
          <w:p w:rsidR="00A26375" w:rsidRPr="000A3E4E" w:rsidRDefault="00A26375" w:rsidP="00A26375">
            <w:pPr>
              <w:jc w:val="center"/>
            </w:pPr>
            <w:r w:rsidRPr="000A3E4E">
              <w:t>0.935</w:t>
            </w:r>
          </w:p>
        </w:tc>
        <w:tc>
          <w:tcPr>
            <w:tcW w:w="815" w:type="dxa"/>
            <w:noWrap/>
            <w:hideMark/>
          </w:tcPr>
          <w:p w:rsidR="00A26375" w:rsidRPr="000A3E4E" w:rsidRDefault="00A26375" w:rsidP="00A26375">
            <w:pPr>
              <w:jc w:val="center"/>
            </w:pPr>
            <w:r w:rsidRPr="000A3E4E">
              <w:t>0.966</w:t>
            </w:r>
          </w:p>
        </w:tc>
        <w:tc>
          <w:tcPr>
            <w:tcW w:w="1212" w:type="dxa"/>
            <w:noWrap/>
            <w:hideMark/>
          </w:tcPr>
          <w:p w:rsidR="00A26375" w:rsidRPr="000A3E4E" w:rsidRDefault="00A26375" w:rsidP="00A26375">
            <w:pPr>
              <w:jc w:val="center"/>
            </w:pPr>
            <w:r w:rsidRPr="000A3E4E">
              <w:t>0.950</w:t>
            </w:r>
          </w:p>
        </w:tc>
      </w:tr>
    </w:tbl>
    <w:p w:rsidR="00D13318" w:rsidRDefault="00D13318" w:rsidP="003F5D6F">
      <w:pPr>
        <w:ind w:firstLine="720"/>
      </w:pPr>
    </w:p>
    <w:p w:rsidR="00D13318" w:rsidRDefault="00D13318" w:rsidP="003F5D6F">
      <w:pPr>
        <w:ind w:firstLine="720"/>
      </w:pPr>
    </w:p>
    <w:p w:rsidR="00D13318" w:rsidRDefault="00D13318" w:rsidP="003F5D6F">
      <w:pPr>
        <w:ind w:firstLine="720"/>
      </w:pPr>
    </w:p>
    <w:p w:rsidR="00D13318" w:rsidRDefault="00D13318" w:rsidP="003F5D6F">
      <w:pPr>
        <w:ind w:firstLine="720"/>
      </w:pPr>
    </w:p>
    <w:p w:rsidR="00A26375" w:rsidRDefault="00A26375" w:rsidP="003F5D6F">
      <w:pPr>
        <w:ind w:firstLine="720"/>
      </w:pPr>
    </w:p>
    <w:p w:rsidR="00A26375" w:rsidRDefault="00A26375" w:rsidP="003F5D6F">
      <w:pPr>
        <w:ind w:firstLine="720"/>
      </w:pPr>
    </w:p>
    <w:p w:rsidR="00A26375" w:rsidRDefault="00A26375" w:rsidP="003F5D6F">
      <w:pPr>
        <w:ind w:firstLine="720"/>
      </w:pPr>
    </w:p>
    <w:p w:rsidR="00D13318" w:rsidRDefault="00A26375" w:rsidP="00A26375">
      <w:pPr>
        <w:jc w:val="center"/>
      </w:pPr>
      <w:r>
        <w:br/>
      </w:r>
      <w:r>
        <w:br/>
      </w:r>
      <w:r w:rsidR="00D13318">
        <w:br/>
      </w:r>
      <w:r w:rsidR="00D13318">
        <w:br/>
      </w:r>
      <w:r w:rsidR="00D13318">
        <w:rPr>
          <w:i/>
        </w:rPr>
        <w:t xml:space="preserve">Table 2: KNN based </w:t>
      </w:r>
      <w:proofErr w:type="spellStart"/>
      <w:r w:rsidR="00D13318">
        <w:rPr>
          <w:i/>
        </w:rPr>
        <w:t>Adaboost</w:t>
      </w:r>
      <w:proofErr w:type="spellEnd"/>
      <w:r w:rsidR="00D13318">
        <w:rPr>
          <w:i/>
        </w:rPr>
        <w:t xml:space="preserve"> results</w:t>
      </w:r>
    </w:p>
    <w:p w:rsidR="0001591D" w:rsidRDefault="0029737B" w:rsidP="00415787">
      <w:pPr>
        <w:ind w:firstLine="720"/>
      </w:pPr>
      <w:r>
        <w:lastRenderedPageBreak/>
        <w:t xml:space="preserve">The decision tree based </w:t>
      </w:r>
      <w:proofErr w:type="spellStart"/>
      <w:r>
        <w:t>Adaboost</w:t>
      </w:r>
      <w:proofErr w:type="spellEnd"/>
      <w:r>
        <w:t xml:space="preserve"> performed better than the </w:t>
      </w:r>
      <w:r w:rsidR="00D80739">
        <w:t>KNN</w:t>
      </w:r>
      <w:r w:rsidR="00586193">
        <w:t xml:space="preserve"> based approach overall.</w:t>
      </w:r>
      <w:r w:rsidR="003F5D6F">
        <w:t xml:space="preserve"> It had the highest average accuracy at 96.9% with 6 boosting rounds, which was a full percentage point higher than the </w:t>
      </w:r>
      <w:r w:rsidR="00D80739">
        <w:t>KNN</w:t>
      </w:r>
      <w:r w:rsidR="003F5D6F">
        <w:t xml:space="preserve">’s best 95.9% with 1-2 boosting rounds. The decision tree based model had an average accuracy of 94.5% over all boosting rounds, while the </w:t>
      </w:r>
      <w:r w:rsidR="00D80739">
        <w:t>KNN</w:t>
      </w:r>
      <w:r w:rsidR="003F5D6F">
        <w:t xml:space="preserve"> model had an average of 93.5%. The precision values between the two approaches were </w:t>
      </w:r>
      <w:r w:rsidR="00EF6931">
        <w:t>similar.</w:t>
      </w:r>
      <w:r w:rsidR="003F5D6F">
        <w:t xml:space="preserve"> </w:t>
      </w:r>
      <w:r w:rsidR="00EF6931">
        <w:t>T</w:t>
      </w:r>
      <w:r w:rsidR="003F5D6F">
        <w:t xml:space="preserve">he </w:t>
      </w:r>
      <w:r w:rsidR="00D80739">
        <w:t>KNN</w:t>
      </w:r>
      <w:r w:rsidR="003F5D6F">
        <w:t xml:space="preserve"> model had an average over all rounds of 94.7% beating the </w:t>
      </w:r>
      <w:r w:rsidR="00EF6931">
        <w:t>decision tree</w:t>
      </w:r>
      <w:r w:rsidR="003F5D6F">
        <w:t xml:space="preserve"> model</w:t>
      </w:r>
      <w:r w:rsidR="00EF6931">
        <w:t>’s</w:t>
      </w:r>
      <w:r w:rsidR="003F5D6F">
        <w:t xml:space="preserve"> 94.5%. </w:t>
      </w:r>
      <w:r w:rsidR="00EF6931">
        <w:t xml:space="preserve">The decision tree model had a higher average recall at 96.6% and f-measure at 95.5% than the </w:t>
      </w:r>
      <w:r w:rsidR="00D80739">
        <w:t>KNN</w:t>
      </w:r>
      <w:r w:rsidR="00EF6931">
        <w:t xml:space="preserve"> based model with 95% and 94.8% respectively. </w:t>
      </w:r>
    </w:p>
    <w:p w:rsidR="00415787" w:rsidRDefault="00415787" w:rsidP="00415787">
      <w:pPr>
        <w:ind w:firstLine="720"/>
      </w:pPr>
    </w:p>
    <w:p w:rsidR="00415787" w:rsidRDefault="0001591D" w:rsidP="00415787">
      <w:pPr>
        <w:ind w:firstLine="720"/>
        <w:jc w:val="center"/>
      </w:pPr>
      <w:r>
        <w:rPr>
          <w:noProof/>
        </w:rPr>
        <w:drawing>
          <wp:inline distT="0" distB="0" distL="0" distR="0">
            <wp:extent cx="3793067" cy="2510971"/>
            <wp:effectExtent l="0" t="0" r="17145" b="2286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415787" w:rsidRPr="0001591D" w:rsidRDefault="00A26375" w:rsidP="00415787">
      <w:pPr>
        <w:jc w:val="center"/>
        <w:rPr>
          <w:i/>
        </w:rPr>
      </w:pPr>
      <w:r>
        <w:rPr>
          <w:i/>
        </w:rPr>
        <w:t>Figure 7</w:t>
      </w:r>
      <w:r w:rsidR="00415787">
        <w:rPr>
          <w:i/>
        </w:rPr>
        <w:t>: Plot of the decision tree performance measures</w:t>
      </w:r>
    </w:p>
    <w:p w:rsidR="00415787" w:rsidRDefault="00415787" w:rsidP="00415787">
      <w:pPr>
        <w:ind w:firstLine="720"/>
        <w:jc w:val="center"/>
      </w:pPr>
    </w:p>
    <w:p w:rsidR="0001591D" w:rsidRDefault="0001591D" w:rsidP="00415787">
      <w:pPr>
        <w:ind w:firstLine="720"/>
        <w:jc w:val="center"/>
      </w:pPr>
      <w:r>
        <w:rPr>
          <w:noProof/>
        </w:rPr>
        <w:drawing>
          <wp:inline distT="0" distB="0" distL="0" distR="0">
            <wp:extent cx="3701142" cy="2631924"/>
            <wp:effectExtent l="0" t="0" r="13970" b="1651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415787" w:rsidRPr="00A26375" w:rsidRDefault="00A26375" w:rsidP="00A26375">
      <w:pPr>
        <w:jc w:val="center"/>
        <w:rPr>
          <w:i/>
        </w:rPr>
      </w:pPr>
      <w:r>
        <w:rPr>
          <w:i/>
        </w:rPr>
        <w:t>Figure 8</w:t>
      </w:r>
      <w:r w:rsidR="00415787" w:rsidRPr="00BD6EA3">
        <w:rPr>
          <w:i/>
        </w:rPr>
        <w:t xml:space="preserve">: Plot of the </w:t>
      </w:r>
      <w:r w:rsidR="00D80739">
        <w:rPr>
          <w:i/>
        </w:rPr>
        <w:t>KNN</w:t>
      </w:r>
      <w:r w:rsidR="00415787" w:rsidRPr="00BD6EA3">
        <w:rPr>
          <w:i/>
        </w:rPr>
        <w:t xml:space="preserve"> performance measures</w:t>
      </w:r>
    </w:p>
    <w:p w:rsidR="0001591D" w:rsidRPr="00BD6EA3" w:rsidRDefault="00474937" w:rsidP="00415787">
      <w:pPr>
        <w:ind w:firstLine="720"/>
      </w:pPr>
      <w:r>
        <w:lastRenderedPageBreak/>
        <w:t>The most interesting thing about the results outlined above in table 1 and 2 are the trends in the pe</w:t>
      </w:r>
      <w:r w:rsidR="00A26375">
        <w:t>rformance measurements. Figure 7 and 8</w:t>
      </w:r>
      <w:r>
        <w:t xml:space="preserve"> show plots of the performance measures over the boosting rounds. The decision tree based ensemble learner behaves as you would expect, as you increase the number of boosting rounds the performance increases up until about the 6</w:t>
      </w:r>
      <w:r w:rsidRPr="00474937">
        <w:rPr>
          <w:vertAlign w:val="superscript"/>
        </w:rPr>
        <w:t>th</w:t>
      </w:r>
      <w:r>
        <w:t xml:space="preserve"> boosting round, and then flattens out. The </w:t>
      </w:r>
      <w:r w:rsidR="00D80739">
        <w:t>KNN</w:t>
      </w:r>
      <w:r>
        <w:t xml:space="preserve"> based ensemble learner is all over the place. Its accuracy is highest during the 1</w:t>
      </w:r>
      <w:r w:rsidRPr="00474937">
        <w:rPr>
          <w:vertAlign w:val="superscript"/>
        </w:rPr>
        <w:t>st</w:t>
      </w:r>
      <w:r>
        <w:t xml:space="preserve"> and 2</w:t>
      </w:r>
      <w:r w:rsidRPr="00474937">
        <w:rPr>
          <w:vertAlign w:val="superscript"/>
        </w:rPr>
        <w:t>nd</w:t>
      </w:r>
      <w:r>
        <w:t xml:space="preserve"> boosting rounds. The inverse proportionality of recall and precision are clearly evident, as one spikes up the other spikes down. </w:t>
      </w:r>
      <w:r w:rsidR="00AA4165">
        <w:t>There is</w:t>
      </w:r>
      <w:r>
        <w:t xml:space="preserve"> no point at which the </w:t>
      </w:r>
      <w:r w:rsidR="00AA4165">
        <w:t xml:space="preserve">model stabilizes. </w:t>
      </w:r>
      <w:r>
        <w:t xml:space="preserve"> </w:t>
      </w:r>
    </w:p>
    <w:p w:rsidR="0001591D" w:rsidRPr="006C202D" w:rsidRDefault="006C202D" w:rsidP="007F5F48">
      <w:r>
        <w:tab/>
        <w:t xml:space="preserve">Next we tested an off the shelf implementation of </w:t>
      </w:r>
      <w:proofErr w:type="spellStart"/>
      <w:r>
        <w:t>Adaboost</w:t>
      </w:r>
      <w:proofErr w:type="spellEnd"/>
      <w:r>
        <w:t xml:space="preserve"> from Weka. Again we tested a decision tree based approach using the Weka J48 implementation, and a </w:t>
      </w:r>
      <w:r w:rsidR="00D80739">
        <w:t>KNN</w:t>
      </w:r>
      <w:r>
        <w:t xml:space="preserve"> based approach using the Weka </w:t>
      </w:r>
      <w:proofErr w:type="spellStart"/>
      <w:r>
        <w:t>lBk</w:t>
      </w:r>
      <w:proofErr w:type="spellEnd"/>
      <w:r>
        <w:t xml:space="preserve"> implementation. The results are shown in table 3 and 4.</w:t>
      </w:r>
    </w:p>
    <w:tbl>
      <w:tblPr>
        <w:tblStyle w:val="TableGrid"/>
        <w:tblpPr w:leftFromText="180" w:rightFromText="180" w:vertAnchor="text" w:horzAnchor="page" w:tblpXSpec="center" w:tblpY="16"/>
        <w:tblW w:w="0" w:type="auto"/>
        <w:tblLook w:val="04A0" w:firstRow="1" w:lastRow="0" w:firstColumn="1" w:lastColumn="0" w:noHBand="0" w:noVBand="1"/>
      </w:tblPr>
      <w:tblGrid>
        <w:gridCol w:w="1188"/>
        <w:gridCol w:w="1200"/>
        <w:gridCol w:w="1116"/>
        <w:gridCol w:w="809"/>
        <w:gridCol w:w="1195"/>
      </w:tblGrid>
      <w:tr w:rsidR="00572E1C" w:rsidRPr="00547DB5" w:rsidTr="00415787">
        <w:trPr>
          <w:trHeight w:val="368"/>
        </w:trPr>
        <w:tc>
          <w:tcPr>
            <w:tcW w:w="5508" w:type="dxa"/>
            <w:gridSpan w:val="5"/>
            <w:noWrap/>
            <w:hideMark/>
          </w:tcPr>
          <w:p w:rsidR="00572E1C" w:rsidRPr="00547DB5" w:rsidRDefault="00A537DA" w:rsidP="00572E1C">
            <w:pPr>
              <w:jc w:val="center"/>
            </w:pPr>
            <w:r>
              <w:t>Weka</w:t>
            </w:r>
            <w:r w:rsidR="00572E1C">
              <w:t>-</w:t>
            </w:r>
            <w:r w:rsidR="00572E1C" w:rsidRPr="00547DB5">
              <w:t>Decision Trees</w:t>
            </w:r>
          </w:p>
        </w:tc>
      </w:tr>
      <w:tr w:rsidR="00572E1C" w:rsidRPr="00547DB5" w:rsidTr="00415787">
        <w:trPr>
          <w:trHeight w:val="144"/>
        </w:trPr>
        <w:tc>
          <w:tcPr>
            <w:tcW w:w="1188" w:type="dxa"/>
            <w:noWrap/>
            <w:hideMark/>
          </w:tcPr>
          <w:p w:rsidR="00572E1C" w:rsidRPr="00547DB5" w:rsidRDefault="00572E1C" w:rsidP="00572E1C">
            <w:pPr>
              <w:jc w:val="center"/>
            </w:pPr>
            <w:r w:rsidRPr="00547DB5">
              <w:t>Boosting Rounds</w:t>
            </w:r>
          </w:p>
        </w:tc>
        <w:tc>
          <w:tcPr>
            <w:tcW w:w="1200" w:type="dxa"/>
            <w:noWrap/>
            <w:hideMark/>
          </w:tcPr>
          <w:p w:rsidR="00572E1C" w:rsidRPr="00547DB5" w:rsidRDefault="00572E1C" w:rsidP="00572E1C">
            <w:pPr>
              <w:jc w:val="center"/>
            </w:pPr>
            <w:r w:rsidRPr="00547DB5">
              <w:t>Accuracy</w:t>
            </w:r>
          </w:p>
        </w:tc>
        <w:tc>
          <w:tcPr>
            <w:tcW w:w="1116" w:type="dxa"/>
            <w:noWrap/>
            <w:hideMark/>
          </w:tcPr>
          <w:p w:rsidR="00572E1C" w:rsidRPr="00547DB5" w:rsidRDefault="00572E1C" w:rsidP="00572E1C">
            <w:pPr>
              <w:jc w:val="center"/>
            </w:pPr>
            <w:r w:rsidRPr="00547DB5">
              <w:t>Precision</w:t>
            </w:r>
          </w:p>
        </w:tc>
        <w:tc>
          <w:tcPr>
            <w:tcW w:w="809" w:type="dxa"/>
            <w:noWrap/>
            <w:hideMark/>
          </w:tcPr>
          <w:p w:rsidR="00572E1C" w:rsidRPr="00547DB5" w:rsidRDefault="00572E1C" w:rsidP="00572E1C">
            <w:pPr>
              <w:jc w:val="center"/>
            </w:pPr>
            <w:r w:rsidRPr="00547DB5">
              <w:t>Recall</w:t>
            </w:r>
          </w:p>
        </w:tc>
        <w:tc>
          <w:tcPr>
            <w:tcW w:w="1195" w:type="dxa"/>
            <w:noWrap/>
            <w:hideMark/>
          </w:tcPr>
          <w:p w:rsidR="00572E1C" w:rsidRPr="00547DB5" w:rsidRDefault="00572E1C" w:rsidP="00572E1C">
            <w:pPr>
              <w:jc w:val="center"/>
            </w:pPr>
            <w:r w:rsidRPr="00547DB5">
              <w:t>F-Measure</w:t>
            </w:r>
          </w:p>
        </w:tc>
      </w:tr>
      <w:tr w:rsidR="007A1762" w:rsidRPr="00547DB5" w:rsidTr="00415787">
        <w:trPr>
          <w:trHeight w:val="144"/>
        </w:trPr>
        <w:tc>
          <w:tcPr>
            <w:tcW w:w="1188" w:type="dxa"/>
            <w:noWrap/>
            <w:hideMark/>
          </w:tcPr>
          <w:p w:rsidR="007A1762" w:rsidRPr="00547DB5" w:rsidRDefault="007A1762" w:rsidP="00572E1C">
            <w:pPr>
              <w:jc w:val="center"/>
            </w:pPr>
            <w:r w:rsidRPr="00547DB5">
              <w:t>1</w:t>
            </w:r>
          </w:p>
        </w:tc>
        <w:tc>
          <w:tcPr>
            <w:tcW w:w="1200" w:type="dxa"/>
            <w:noWrap/>
            <w:vAlign w:val="bottom"/>
            <w:hideMark/>
          </w:tcPr>
          <w:p w:rsidR="007A1762" w:rsidRDefault="007A1762">
            <w:pPr>
              <w:jc w:val="center"/>
              <w:rPr>
                <w:rFonts w:ascii="Calibri" w:hAnsi="Calibri"/>
                <w:color w:val="000000"/>
              </w:rPr>
            </w:pPr>
            <w:r>
              <w:rPr>
                <w:rFonts w:ascii="Calibri" w:hAnsi="Calibri"/>
                <w:color w:val="000000"/>
              </w:rPr>
              <w:t>0.936</w:t>
            </w:r>
          </w:p>
        </w:tc>
        <w:tc>
          <w:tcPr>
            <w:tcW w:w="1116" w:type="dxa"/>
            <w:noWrap/>
            <w:vAlign w:val="bottom"/>
            <w:hideMark/>
          </w:tcPr>
          <w:p w:rsidR="007A1762" w:rsidRDefault="007A1762">
            <w:pPr>
              <w:jc w:val="center"/>
              <w:rPr>
                <w:rFonts w:ascii="Calibri" w:hAnsi="Calibri"/>
                <w:color w:val="000000"/>
              </w:rPr>
            </w:pPr>
            <w:r>
              <w:rPr>
                <w:rFonts w:ascii="Calibri" w:hAnsi="Calibri"/>
                <w:color w:val="000000"/>
              </w:rPr>
              <w:t>0.936</w:t>
            </w:r>
          </w:p>
        </w:tc>
        <w:tc>
          <w:tcPr>
            <w:tcW w:w="809" w:type="dxa"/>
            <w:noWrap/>
            <w:vAlign w:val="bottom"/>
            <w:hideMark/>
          </w:tcPr>
          <w:p w:rsidR="007A1762" w:rsidRDefault="007A1762">
            <w:pPr>
              <w:jc w:val="center"/>
              <w:rPr>
                <w:rFonts w:ascii="Calibri" w:hAnsi="Calibri"/>
                <w:color w:val="000000"/>
              </w:rPr>
            </w:pPr>
            <w:r>
              <w:rPr>
                <w:rFonts w:ascii="Calibri" w:hAnsi="Calibri"/>
                <w:color w:val="000000"/>
              </w:rPr>
              <w:t>0.962</w:t>
            </w:r>
          </w:p>
        </w:tc>
        <w:tc>
          <w:tcPr>
            <w:tcW w:w="1195" w:type="dxa"/>
            <w:noWrap/>
            <w:vAlign w:val="bottom"/>
            <w:hideMark/>
          </w:tcPr>
          <w:p w:rsidR="007A1762" w:rsidRDefault="007A1762">
            <w:pPr>
              <w:jc w:val="center"/>
              <w:rPr>
                <w:rFonts w:ascii="Calibri" w:hAnsi="Calibri"/>
                <w:color w:val="000000"/>
              </w:rPr>
            </w:pPr>
            <w:r>
              <w:rPr>
                <w:rFonts w:ascii="Calibri" w:hAnsi="Calibri"/>
                <w:color w:val="000000"/>
              </w:rPr>
              <w:t>0.949</w:t>
            </w:r>
          </w:p>
        </w:tc>
      </w:tr>
      <w:tr w:rsidR="007A1762" w:rsidRPr="00547DB5" w:rsidTr="00415787">
        <w:trPr>
          <w:trHeight w:val="144"/>
        </w:trPr>
        <w:tc>
          <w:tcPr>
            <w:tcW w:w="1188" w:type="dxa"/>
            <w:noWrap/>
            <w:hideMark/>
          </w:tcPr>
          <w:p w:rsidR="007A1762" w:rsidRPr="00547DB5" w:rsidRDefault="007A1762" w:rsidP="00572E1C">
            <w:pPr>
              <w:jc w:val="center"/>
            </w:pPr>
            <w:r w:rsidRPr="00547DB5">
              <w:t>2</w:t>
            </w:r>
          </w:p>
        </w:tc>
        <w:tc>
          <w:tcPr>
            <w:tcW w:w="1200" w:type="dxa"/>
            <w:noWrap/>
            <w:vAlign w:val="bottom"/>
            <w:hideMark/>
          </w:tcPr>
          <w:p w:rsidR="007A1762" w:rsidRDefault="007A1762">
            <w:pPr>
              <w:jc w:val="center"/>
              <w:rPr>
                <w:rFonts w:ascii="Calibri" w:hAnsi="Calibri"/>
                <w:color w:val="000000"/>
              </w:rPr>
            </w:pPr>
            <w:r>
              <w:rPr>
                <w:rFonts w:ascii="Calibri" w:hAnsi="Calibri"/>
                <w:color w:val="000000"/>
              </w:rPr>
              <w:t>0.936</w:t>
            </w:r>
          </w:p>
        </w:tc>
        <w:tc>
          <w:tcPr>
            <w:tcW w:w="1116" w:type="dxa"/>
            <w:noWrap/>
            <w:vAlign w:val="bottom"/>
            <w:hideMark/>
          </w:tcPr>
          <w:p w:rsidR="007A1762" w:rsidRDefault="007A1762">
            <w:pPr>
              <w:jc w:val="center"/>
              <w:rPr>
                <w:rFonts w:ascii="Calibri" w:hAnsi="Calibri"/>
                <w:color w:val="000000"/>
              </w:rPr>
            </w:pPr>
            <w:r>
              <w:rPr>
                <w:rFonts w:ascii="Calibri" w:hAnsi="Calibri"/>
                <w:color w:val="000000"/>
              </w:rPr>
              <w:t>0.936</w:t>
            </w:r>
          </w:p>
        </w:tc>
        <w:tc>
          <w:tcPr>
            <w:tcW w:w="809" w:type="dxa"/>
            <w:noWrap/>
            <w:vAlign w:val="bottom"/>
            <w:hideMark/>
          </w:tcPr>
          <w:p w:rsidR="007A1762" w:rsidRDefault="007A1762">
            <w:pPr>
              <w:jc w:val="center"/>
              <w:rPr>
                <w:rFonts w:ascii="Calibri" w:hAnsi="Calibri"/>
                <w:color w:val="000000"/>
              </w:rPr>
            </w:pPr>
            <w:r>
              <w:rPr>
                <w:rFonts w:ascii="Calibri" w:hAnsi="Calibri"/>
                <w:color w:val="000000"/>
              </w:rPr>
              <w:t>0.962</w:t>
            </w:r>
          </w:p>
        </w:tc>
        <w:tc>
          <w:tcPr>
            <w:tcW w:w="1195" w:type="dxa"/>
            <w:noWrap/>
            <w:vAlign w:val="bottom"/>
            <w:hideMark/>
          </w:tcPr>
          <w:p w:rsidR="007A1762" w:rsidRDefault="007A1762">
            <w:pPr>
              <w:jc w:val="center"/>
              <w:rPr>
                <w:rFonts w:ascii="Calibri" w:hAnsi="Calibri"/>
                <w:color w:val="000000"/>
              </w:rPr>
            </w:pPr>
            <w:r>
              <w:rPr>
                <w:rFonts w:ascii="Calibri" w:hAnsi="Calibri"/>
                <w:color w:val="000000"/>
              </w:rPr>
              <w:t>0.949</w:t>
            </w:r>
          </w:p>
        </w:tc>
      </w:tr>
      <w:tr w:rsidR="007A1762" w:rsidRPr="00547DB5" w:rsidTr="00415787">
        <w:trPr>
          <w:trHeight w:val="144"/>
        </w:trPr>
        <w:tc>
          <w:tcPr>
            <w:tcW w:w="1188" w:type="dxa"/>
            <w:noWrap/>
            <w:hideMark/>
          </w:tcPr>
          <w:p w:rsidR="007A1762" w:rsidRPr="00547DB5" w:rsidRDefault="007A1762" w:rsidP="00572E1C">
            <w:pPr>
              <w:jc w:val="center"/>
            </w:pPr>
            <w:r w:rsidRPr="00547DB5">
              <w:t>3</w:t>
            </w:r>
          </w:p>
        </w:tc>
        <w:tc>
          <w:tcPr>
            <w:tcW w:w="1200" w:type="dxa"/>
            <w:noWrap/>
            <w:vAlign w:val="bottom"/>
            <w:hideMark/>
          </w:tcPr>
          <w:p w:rsidR="007A1762" w:rsidRDefault="007A1762">
            <w:pPr>
              <w:jc w:val="center"/>
              <w:rPr>
                <w:rFonts w:ascii="Calibri" w:hAnsi="Calibri"/>
                <w:color w:val="000000"/>
              </w:rPr>
            </w:pPr>
            <w:r>
              <w:rPr>
                <w:rFonts w:ascii="Calibri" w:hAnsi="Calibri"/>
                <w:color w:val="000000"/>
              </w:rPr>
              <w:t>0.960</w:t>
            </w:r>
          </w:p>
        </w:tc>
        <w:tc>
          <w:tcPr>
            <w:tcW w:w="1116" w:type="dxa"/>
            <w:noWrap/>
            <w:vAlign w:val="bottom"/>
            <w:hideMark/>
          </w:tcPr>
          <w:p w:rsidR="007A1762" w:rsidRDefault="007A1762">
            <w:pPr>
              <w:jc w:val="center"/>
              <w:rPr>
                <w:rFonts w:ascii="Calibri" w:hAnsi="Calibri"/>
                <w:color w:val="000000"/>
              </w:rPr>
            </w:pPr>
            <w:r>
              <w:rPr>
                <w:rFonts w:ascii="Calibri" w:hAnsi="Calibri"/>
                <w:color w:val="000000"/>
              </w:rPr>
              <w:t>0.971</w:t>
            </w:r>
          </w:p>
        </w:tc>
        <w:tc>
          <w:tcPr>
            <w:tcW w:w="809" w:type="dxa"/>
            <w:noWrap/>
            <w:vAlign w:val="bottom"/>
            <w:hideMark/>
          </w:tcPr>
          <w:p w:rsidR="007A1762" w:rsidRDefault="007A1762">
            <w:pPr>
              <w:jc w:val="center"/>
              <w:rPr>
                <w:rFonts w:ascii="Calibri" w:hAnsi="Calibri"/>
                <w:color w:val="000000"/>
              </w:rPr>
            </w:pPr>
            <w:r>
              <w:rPr>
                <w:rFonts w:ascii="Calibri" w:hAnsi="Calibri"/>
                <w:color w:val="000000"/>
              </w:rPr>
              <w:t>0.962</w:t>
            </w:r>
          </w:p>
        </w:tc>
        <w:tc>
          <w:tcPr>
            <w:tcW w:w="1195" w:type="dxa"/>
            <w:noWrap/>
            <w:vAlign w:val="bottom"/>
            <w:hideMark/>
          </w:tcPr>
          <w:p w:rsidR="007A1762" w:rsidRDefault="007A1762">
            <w:pPr>
              <w:jc w:val="center"/>
              <w:rPr>
                <w:rFonts w:ascii="Calibri" w:hAnsi="Calibri"/>
                <w:color w:val="000000"/>
              </w:rPr>
            </w:pPr>
            <w:r>
              <w:rPr>
                <w:rFonts w:ascii="Calibri" w:hAnsi="Calibri"/>
                <w:color w:val="000000"/>
              </w:rPr>
              <w:t>0.967</w:t>
            </w:r>
          </w:p>
        </w:tc>
      </w:tr>
      <w:tr w:rsidR="007A1762" w:rsidRPr="00547DB5" w:rsidTr="00415787">
        <w:trPr>
          <w:trHeight w:val="144"/>
        </w:trPr>
        <w:tc>
          <w:tcPr>
            <w:tcW w:w="1188" w:type="dxa"/>
            <w:noWrap/>
            <w:hideMark/>
          </w:tcPr>
          <w:p w:rsidR="007A1762" w:rsidRPr="00547DB5" w:rsidRDefault="007A1762" w:rsidP="00572E1C">
            <w:pPr>
              <w:jc w:val="center"/>
            </w:pPr>
            <w:r w:rsidRPr="00547DB5">
              <w:t>4</w:t>
            </w:r>
          </w:p>
        </w:tc>
        <w:tc>
          <w:tcPr>
            <w:tcW w:w="1200" w:type="dxa"/>
            <w:noWrap/>
            <w:vAlign w:val="bottom"/>
            <w:hideMark/>
          </w:tcPr>
          <w:p w:rsidR="007A1762" w:rsidRDefault="007A1762">
            <w:pPr>
              <w:jc w:val="center"/>
              <w:rPr>
                <w:rFonts w:ascii="Calibri" w:hAnsi="Calibri"/>
                <w:color w:val="000000"/>
              </w:rPr>
            </w:pPr>
            <w:r>
              <w:rPr>
                <w:rFonts w:ascii="Calibri" w:hAnsi="Calibri"/>
                <w:color w:val="000000"/>
              </w:rPr>
              <w:t>0.953</w:t>
            </w:r>
          </w:p>
        </w:tc>
        <w:tc>
          <w:tcPr>
            <w:tcW w:w="1116" w:type="dxa"/>
            <w:noWrap/>
            <w:vAlign w:val="bottom"/>
            <w:hideMark/>
          </w:tcPr>
          <w:p w:rsidR="007A1762" w:rsidRDefault="007A1762">
            <w:pPr>
              <w:jc w:val="center"/>
              <w:rPr>
                <w:rFonts w:ascii="Calibri" w:hAnsi="Calibri"/>
                <w:color w:val="000000"/>
              </w:rPr>
            </w:pPr>
            <w:r>
              <w:rPr>
                <w:rFonts w:ascii="Calibri" w:hAnsi="Calibri"/>
                <w:color w:val="000000"/>
              </w:rPr>
              <w:t>0.954</w:t>
            </w:r>
          </w:p>
        </w:tc>
        <w:tc>
          <w:tcPr>
            <w:tcW w:w="809" w:type="dxa"/>
            <w:noWrap/>
            <w:vAlign w:val="bottom"/>
            <w:hideMark/>
          </w:tcPr>
          <w:p w:rsidR="007A1762" w:rsidRDefault="007A1762">
            <w:pPr>
              <w:jc w:val="center"/>
              <w:rPr>
                <w:rFonts w:ascii="Calibri" w:hAnsi="Calibri"/>
                <w:color w:val="000000"/>
              </w:rPr>
            </w:pPr>
            <w:r>
              <w:rPr>
                <w:rFonts w:ascii="Calibri" w:hAnsi="Calibri"/>
                <w:color w:val="000000"/>
              </w:rPr>
              <w:t>0.972</w:t>
            </w:r>
          </w:p>
        </w:tc>
        <w:tc>
          <w:tcPr>
            <w:tcW w:w="1195" w:type="dxa"/>
            <w:noWrap/>
            <w:vAlign w:val="bottom"/>
            <w:hideMark/>
          </w:tcPr>
          <w:p w:rsidR="007A1762" w:rsidRDefault="007A1762">
            <w:pPr>
              <w:jc w:val="center"/>
              <w:rPr>
                <w:rFonts w:ascii="Calibri" w:hAnsi="Calibri"/>
                <w:color w:val="000000"/>
              </w:rPr>
            </w:pPr>
            <w:r>
              <w:rPr>
                <w:rFonts w:ascii="Calibri" w:hAnsi="Calibri"/>
                <w:color w:val="000000"/>
              </w:rPr>
              <w:t>0.963</w:t>
            </w:r>
          </w:p>
        </w:tc>
      </w:tr>
      <w:tr w:rsidR="007A1762" w:rsidRPr="00547DB5" w:rsidTr="00415787">
        <w:trPr>
          <w:trHeight w:val="144"/>
        </w:trPr>
        <w:tc>
          <w:tcPr>
            <w:tcW w:w="1188" w:type="dxa"/>
            <w:noWrap/>
            <w:hideMark/>
          </w:tcPr>
          <w:p w:rsidR="007A1762" w:rsidRPr="00547DB5" w:rsidRDefault="007A1762" w:rsidP="00572E1C">
            <w:pPr>
              <w:jc w:val="center"/>
            </w:pPr>
            <w:r w:rsidRPr="00547DB5">
              <w:t>5</w:t>
            </w:r>
          </w:p>
        </w:tc>
        <w:tc>
          <w:tcPr>
            <w:tcW w:w="1200" w:type="dxa"/>
            <w:noWrap/>
            <w:vAlign w:val="bottom"/>
            <w:hideMark/>
          </w:tcPr>
          <w:p w:rsidR="007A1762" w:rsidRDefault="007A1762">
            <w:pPr>
              <w:jc w:val="center"/>
              <w:rPr>
                <w:rFonts w:ascii="Calibri" w:hAnsi="Calibri"/>
                <w:color w:val="000000"/>
              </w:rPr>
            </w:pPr>
            <w:r>
              <w:rPr>
                <w:rFonts w:ascii="Calibri" w:hAnsi="Calibri"/>
                <w:color w:val="000000"/>
              </w:rPr>
              <w:t>0.960</w:t>
            </w:r>
          </w:p>
        </w:tc>
        <w:tc>
          <w:tcPr>
            <w:tcW w:w="1116" w:type="dxa"/>
            <w:noWrap/>
            <w:vAlign w:val="bottom"/>
            <w:hideMark/>
          </w:tcPr>
          <w:p w:rsidR="007A1762" w:rsidRDefault="007A1762">
            <w:pPr>
              <w:jc w:val="center"/>
              <w:rPr>
                <w:rFonts w:ascii="Calibri" w:hAnsi="Calibri"/>
                <w:color w:val="000000"/>
              </w:rPr>
            </w:pPr>
            <w:r>
              <w:rPr>
                <w:rFonts w:ascii="Calibri" w:hAnsi="Calibri"/>
                <w:color w:val="000000"/>
              </w:rPr>
              <w:t>0.971</w:t>
            </w:r>
          </w:p>
        </w:tc>
        <w:tc>
          <w:tcPr>
            <w:tcW w:w="809" w:type="dxa"/>
            <w:noWrap/>
            <w:vAlign w:val="bottom"/>
            <w:hideMark/>
          </w:tcPr>
          <w:p w:rsidR="007A1762" w:rsidRDefault="007A1762">
            <w:pPr>
              <w:jc w:val="center"/>
              <w:rPr>
                <w:rFonts w:ascii="Calibri" w:hAnsi="Calibri"/>
                <w:color w:val="000000"/>
              </w:rPr>
            </w:pPr>
            <w:r>
              <w:rPr>
                <w:rFonts w:ascii="Calibri" w:hAnsi="Calibri"/>
                <w:color w:val="000000"/>
              </w:rPr>
              <w:t>0.962</w:t>
            </w:r>
          </w:p>
        </w:tc>
        <w:tc>
          <w:tcPr>
            <w:tcW w:w="1195" w:type="dxa"/>
            <w:noWrap/>
            <w:vAlign w:val="bottom"/>
            <w:hideMark/>
          </w:tcPr>
          <w:p w:rsidR="007A1762" w:rsidRDefault="007A1762">
            <w:pPr>
              <w:jc w:val="center"/>
              <w:rPr>
                <w:rFonts w:ascii="Calibri" w:hAnsi="Calibri"/>
                <w:color w:val="000000"/>
              </w:rPr>
            </w:pPr>
            <w:r>
              <w:rPr>
                <w:rFonts w:ascii="Calibri" w:hAnsi="Calibri"/>
                <w:color w:val="000000"/>
              </w:rPr>
              <w:t>0.967</w:t>
            </w:r>
          </w:p>
        </w:tc>
      </w:tr>
      <w:tr w:rsidR="007A1762" w:rsidRPr="00547DB5" w:rsidTr="00415787">
        <w:trPr>
          <w:trHeight w:val="144"/>
        </w:trPr>
        <w:tc>
          <w:tcPr>
            <w:tcW w:w="1188" w:type="dxa"/>
            <w:noWrap/>
            <w:hideMark/>
          </w:tcPr>
          <w:p w:rsidR="007A1762" w:rsidRPr="00547DB5" w:rsidRDefault="007A1762" w:rsidP="00572E1C">
            <w:pPr>
              <w:jc w:val="center"/>
            </w:pPr>
            <w:r w:rsidRPr="00547DB5">
              <w:t>6</w:t>
            </w:r>
          </w:p>
        </w:tc>
        <w:tc>
          <w:tcPr>
            <w:tcW w:w="1200" w:type="dxa"/>
            <w:noWrap/>
            <w:vAlign w:val="bottom"/>
            <w:hideMark/>
          </w:tcPr>
          <w:p w:rsidR="007A1762" w:rsidRDefault="007A1762">
            <w:pPr>
              <w:jc w:val="center"/>
              <w:rPr>
                <w:rFonts w:ascii="Calibri" w:hAnsi="Calibri"/>
                <w:color w:val="000000"/>
              </w:rPr>
            </w:pPr>
            <w:r>
              <w:rPr>
                <w:rFonts w:ascii="Calibri" w:hAnsi="Calibri"/>
                <w:color w:val="000000"/>
              </w:rPr>
              <w:t>0.936</w:t>
            </w:r>
          </w:p>
        </w:tc>
        <w:tc>
          <w:tcPr>
            <w:tcW w:w="1116" w:type="dxa"/>
            <w:noWrap/>
            <w:vAlign w:val="bottom"/>
            <w:hideMark/>
          </w:tcPr>
          <w:p w:rsidR="007A1762" w:rsidRDefault="007A1762">
            <w:pPr>
              <w:jc w:val="center"/>
              <w:rPr>
                <w:rFonts w:ascii="Calibri" w:hAnsi="Calibri"/>
                <w:color w:val="000000"/>
              </w:rPr>
            </w:pPr>
            <w:r>
              <w:rPr>
                <w:rFonts w:ascii="Calibri" w:hAnsi="Calibri"/>
                <w:color w:val="000000"/>
              </w:rPr>
              <w:t>0.952</w:t>
            </w:r>
          </w:p>
        </w:tc>
        <w:tc>
          <w:tcPr>
            <w:tcW w:w="809" w:type="dxa"/>
            <w:noWrap/>
            <w:vAlign w:val="bottom"/>
            <w:hideMark/>
          </w:tcPr>
          <w:p w:rsidR="007A1762" w:rsidRDefault="007A1762">
            <w:pPr>
              <w:jc w:val="center"/>
              <w:rPr>
                <w:rFonts w:ascii="Calibri" w:hAnsi="Calibri"/>
                <w:color w:val="000000"/>
              </w:rPr>
            </w:pPr>
            <w:r>
              <w:rPr>
                <w:rFonts w:ascii="Calibri" w:hAnsi="Calibri"/>
                <w:color w:val="000000"/>
              </w:rPr>
              <w:t>0.943</w:t>
            </w:r>
          </w:p>
        </w:tc>
        <w:tc>
          <w:tcPr>
            <w:tcW w:w="1195" w:type="dxa"/>
            <w:noWrap/>
            <w:vAlign w:val="bottom"/>
            <w:hideMark/>
          </w:tcPr>
          <w:p w:rsidR="007A1762" w:rsidRDefault="007A1762">
            <w:pPr>
              <w:jc w:val="center"/>
              <w:rPr>
                <w:rFonts w:ascii="Calibri" w:hAnsi="Calibri"/>
                <w:color w:val="000000"/>
              </w:rPr>
            </w:pPr>
            <w:r>
              <w:rPr>
                <w:rFonts w:ascii="Calibri" w:hAnsi="Calibri"/>
                <w:color w:val="000000"/>
              </w:rPr>
              <w:t>0.948</w:t>
            </w:r>
          </w:p>
        </w:tc>
      </w:tr>
      <w:tr w:rsidR="007A1762" w:rsidRPr="00547DB5" w:rsidTr="00415787">
        <w:trPr>
          <w:trHeight w:val="144"/>
        </w:trPr>
        <w:tc>
          <w:tcPr>
            <w:tcW w:w="1188" w:type="dxa"/>
            <w:noWrap/>
            <w:hideMark/>
          </w:tcPr>
          <w:p w:rsidR="007A1762" w:rsidRPr="00547DB5" w:rsidRDefault="007A1762" w:rsidP="00572E1C">
            <w:pPr>
              <w:jc w:val="center"/>
            </w:pPr>
            <w:r w:rsidRPr="00547DB5">
              <w:t>7</w:t>
            </w:r>
          </w:p>
        </w:tc>
        <w:tc>
          <w:tcPr>
            <w:tcW w:w="1200" w:type="dxa"/>
            <w:noWrap/>
            <w:vAlign w:val="bottom"/>
            <w:hideMark/>
          </w:tcPr>
          <w:p w:rsidR="007A1762" w:rsidRDefault="007A1762">
            <w:pPr>
              <w:jc w:val="center"/>
              <w:rPr>
                <w:rFonts w:ascii="Calibri" w:hAnsi="Calibri"/>
                <w:color w:val="000000"/>
              </w:rPr>
            </w:pPr>
            <w:r>
              <w:rPr>
                <w:rFonts w:ascii="Calibri" w:hAnsi="Calibri"/>
                <w:color w:val="000000"/>
              </w:rPr>
              <w:t>0.930</w:t>
            </w:r>
          </w:p>
        </w:tc>
        <w:tc>
          <w:tcPr>
            <w:tcW w:w="1116" w:type="dxa"/>
            <w:noWrap/>
            <w:vAlign w:val="bottom"/>
            <w:hideMark/>
          </w:tcPr>
          <w:p w:rsidR="007A1762" w:rsidRDefault="007A1762">
            <w:pPr>
              <w:jc w:val="center"/>
              <w:rPr>
                <w:rFonts w:ascii="Calibri" w:hAnsi="Calibri"/>
                <w:color w:val="000000"/>
              </w:rPr>
            </w:pPr>
            <w:r>
              <w:rPr>
                <w:rFonts w:ascii="Calibri" w:hAnsi="Calibri"/>
                <w:color w:val="000000"/>
              </w:rPr>
              <w:t>0.943</w:t>
            </w:r>
          </w:p>
        </w:tc>
        <w:tc>
          <w:tcPr>
            <w:tcW w:w="809" w:type="dxa"/>
            <w:noWrap/>
            <w:vAlign w:val="bottom"/>
            <w:hideMark/>
          </w:tcPr>
          <w:p w:rsidR="007A1762" w:rsidRDefault="007A1762">
            <w:pPr>
              <w:jc w:val="center"/>
              <w:rPr>
                <w:rFonts w:ascii="Calibri" w:hAnsi="Calibri"/>
                <w:color w:val="000000"/>
              </w:rPr>
            </w:pPr>
            <w:r>
              <w:rPr>
                <w:rFonts w:ascii="Calibri" w:hAnsi="Calibri"/>
                <w:color w:val="000000"/>
              </w:rPr>
              <w:t>0.943</w:t>
            </w:r>
          </w:p>
        </w:tc>
        <w:tc>
          <w:tcPr>
            <w:tcW w:w="1195" w:type="dxa"/>
            <w:noWrap/>
            <w:vAlign w:val="bottom"/>
            <w:hideMark/>
          </w:tcPr>
          <w:p w:rsidR="007A1762" w:rsidRDefault="007A1762">
            <w:pPr>
              <w:jc w:val="center"/>
              <w:rPr>
                <w:rFonts w:ascii="Calibri" w:hAnsi="Calibri"/>
                <w:color w:val="000000"/>
              </w:rPr>
            </w:pPr>
            <w:r>
              <w:rPr>
                <w:rFonts w:ascii="Calibri" w:hAnsi="Calibri"/>
                <w:color w:val="000000"/>
              </w:rPr>
              <w:t>0.943</w:t>
            </w:r>
          </w:p>
        </w:tc>
      </w:tr>
      <w:tr w:rsidR="007A1762" w:rsidRPr="00547DB5" w:rsidTr="00415787">
        <w:trPr>
          <w:trHeight w:val="144"/>
        </w:trPr>
        <w:tc>
          <w:tcPr>
            <w:tcW w:w="1188" w:type="dxa"/>
            <w:noWrap/>
            <w:hideMark/>
          </w:tcPr>
          <w:p w:rsidR="007A1762" w:rsidRPr="00547DB5" w:rsidRDefault="007A1762" w:rsidP="00572E1C">
            <w:pPr>
              <w:jc w:val="center"/>
            </w:pPr>
            <w:r w:rsidRPr="00547DB5">
              <w:t>8</w:t>
            </w:r>
          </w:p>
        </w:tc>
        <w:tc>
          <w:tcPr>
            <w:tcW w:w="1200" w:type="dxa"/>
            <w:noWrap/>
            <w:vAlign w:val="bottom"/>
            <w:hideMark/>
          </w:tcPr>
          <w:p w:rsidR="007A1762" w:rsidRDefault="007A1762">
            <w:pPr>
              <w:jc w:val="center"/>
              <w:rPr>
                <w:rFonts w:ascii="Calibri" w:hAnsi="Calibri"/>
                <w:color w:val="000000"/>
              </w:rPr>
            </w:pPr>
            <w:r>
              <w:rPr>
                <w:rFonts w:ascii="Calibri" w:hAnsi="Calibri"/>
                <w:color w:val="000000"/>
              </w:rPr>
              <w:t>0.930</w:t>
            </w:r>
          </w:p>
        </w:tc>
        <w:tc>
          <w:tcPr>
            <w:tcW w:w="1116" w:type="dxa"/>
            <w:noWrap/>
            <w:vAlign w:val="bottom"/>
            <w:hideMark/>
          </w:tcPr>
          <w:p w:rsidR="007A1762" w:rsidRDefault="007A1762">
            <w:pPr>
              <w:jc w:val="center"/>
              <w:rPr>
                <w:rFonts w:ascii="Calibri" w:hAnsi="Calibri"/>
                <w:color w:val="000000"/>
              </w:rPr>
            </w:pPr>
            <w:r>
              <w:rPr>
                <w:rFonts w:ascii="Calibri" w:hAnsi="Calibri"/>
                <w:color w:val="000000"/>
              </w:rPr>
              <w:t>0.943</w:t>
            </w:r>
          </w:p>
        </w:tc>
        <w:tc>
          <w:tcPr>
            <w:tcW w:w="809" w:type="dxa"/>
            <w:noWrap/>
            <w:vAlign w:val="bottom"/>
            <w:hideMark/>
          </w:tcPr>
          <w:p w:rsidR="007A1762" w:rsidRDefault="007A1762">
            <w:pPr>
              <w:jc w:val="center"/>
              <w:rPr>
                <w:rFonts w:ascii="Calibri" w:hAnsi="Calibri"/>
                <w:color w:val="000000"/>
              </w:rPr>
            </w:pPr>
            <w:r>
              <w:rPr>
                <w:rFonts w:ascii="Calibri" w:hAnsi="Calibri"/>
                <w:color w:val="000000"/>
              </w:rPr>
              <w:t>0.943</w:t>
            </w:r>
          </w:p>
        </w:tc>
        <w:tc>
          <w:tcPr>
            <w:tcW w:w="1195" w:type="dxa"/>
            <w:noWrap/>
            <w:vAlign w:val="bottom"/>
            <w:hideMark/>
          </w:tcPr>
          <w:p w:rsidR="007A1762" w:rsidRDefault="007A1762">
            <w:pPr>
              <w:jc w:val="center"/>
              <w:rPr>
                <w:rFonts w:ascii="Calibri" w:hAnsi="Calibri"/>
                <w:color w:val="000000"/>
              </w:rPr>
            </w:pPr>
            <w:r>
              <w:rPr>
                <w:rFonts w:ascii="Calibri" w:hAnsi="Calibri"/>
                <w:color w:val="000000"/>
              </w:rPr>
              <w:t>0.943</w:t>
            </w:r>
          </w:p>
        </w:tc>
      </w:tr>
      <w:tr w:rsidR="007A1762" w:rsidRPr="00547DB5" w:rsidTr="00415787">
        <w:trPr>
          <w:trHeight w:val="144"/>
        </w:trPr>
        <w:tc>
          <w:tcPr>
            <w:tcW w:w="1188" w:type="dxa"/>
            <w:noWrap/>
            <w:hideMark/>
          </w:tcPr>
          <w:p w:rsidR="007A1762" w:rsidRPr="00547DB5" w:rsidRDefault="007A1762" w:rsidP="00572E1C">
            <w:pPr>
              <w:jc w:val="center"/>
            </w:pPr>
            <w:r w:rsidRPr="00547DB5">
              <w:t>9</w:t>
            </w:r>
          </w:p>
        </w:tc>
        <w:tc>
          <w:tcPr>
            <w:tcW w:w="1200" w:type="dxa"/>
            <w:noWrap/>
            <w:vAlign w:val="bottom"/>
            <w:hideMark/>
          </w:tcPr>
          <w:p w:rsidR="007A1762" w:rsidRDefault="007A1762">
            <w:pPr>
              <w:jc w:val="center"/>
              <w:rPr>
                <w:rFonts w:ascii="Calibri" w:hAnsi="Calibri"/>
                <w:color w:val="000000"/>
              </w:rPr>
            </w:pPr>
            <w:r>
              <w:rPr>
                <w:rFonts w:ascii="Calibri" w:hAnsi="Calibri"/>
                <w:color w:val="000000"/>
              </w:rPr>
              <w:t>0.936</w:t>
            </w:r>
          </w:p>
        </w:tc>
        <w:tc>
          <w:tcPr>
            <w:tcW w:w="1116" w:type="dxa"/>
            <w:noWrap/>
            <w:vAlign w:val="bottom"/>
            <w:hideMark/>
          </w:tcPr>
          <w:p w:rsidR="007A1762" w:rsidRDefault="007A1762">
            <w:pPr>
              <w:jc w:val="center"/>
              <w:rPr>
                <w:rFonts w:ascii="Calibri" w:hAnsi="Calibri"/>
                <w:color w:val="000000"/>
              </w:rPr>
            </w:pPr>
            <w:r>
              <w:rPr>
                <w:rFonts w:ascii="Calibri" w:hAnsi="Calibri"/>
                <w:color w:val="000000"/>
              </w:rPr>
              <w:t>0.952</w:t>
            </w:r>
          </w:p>
        </w:tc>
        <w:tc>
          <w:tcPr>
            <w:tcW w:w="809" w:type="dxa"/>
            <w:noWrap/>
            <w:vAlign w:val="bottom"/>
            <w:hideMark/>
          </w:tcPr>
          <w:p w:rsidR="007A1762" w:rsidRDefault="007A1762">
            <w:pPr>
              <w:jc w:val="center"/>
              <w:rPr>
                <w:rFonts w:ascii="Calibri" w:hAnsi="Calibri"/>
                <w:color w:val="000000"/>
              </w:rPr>
            </w:pPr>
            <w:r>
              <w:rPr>
                <w:rFonts w:ascii="Calibri" w:hAnsi="Calibri"/>
                <w:color w:val="000000"/>
              </w:rPr>
              <w:t>0.943</w:t>
            </w:r>
          </w:p>
        </w:tc>
        <w:tc>
          <w:tcPr>
            <w:tcW w:w="1195" w:type="dxa"/>
            <w:noWrap/>
            <w:vAlign w:val="bottom"/>
            <w:hideMark/>
          </w:tcPr>
          <w:p w:rsidR="007A1762" w:rsidRDefault="007A1762">
            <w:pPr>
              <w:jc w:val="center"/>
              <w:rPr>
                <w:rFonts w:ascii="Calibri" w:hAnsi="Calibri"/>
                <w:color w:val="000000"/>
              </w:rPr>
            </w:pPr>
            <w:r>
              <w:rPr>
                <w:rFonts w:ascii="Calibri" w:hAnsi="Calibri"/>
                <w:color w:val="000000"/>
              </w:rPr>
              <w:t>0.948</w:t>
            </w:r>
          </w:p>
        </w:tc>
      </w:tr>
      <w:tr w:rsidR="007A1762" w:rsidRPr="00547DB5" w:rsidTr="00415787">
        <w:trPr>
          <w:trHeight w:val="137"/>
        </w:trPr>
        <w:tc>
          <w:tcPr>
            <w:tcW w:w="1188" w:type="dxa"/>
            <w:noWrap/>
            <w:hideMark/>
          </w:tcPr>
          <w:p w:rsidR="007A1762" w:rsidRPr="00547DB5" w:rsidRDefault="007A1762" w:rsidP="00572E1C">
            <w:pPr>
              <w:jc w:val="center"/>
            </w:pPr>
            <w:r w:rsidRPr="00547DB5">
              <w:t>10</w:t>
            </w:r>
          </w:p>
        </w:tc>
        <w:tc>
          <w:tcPr>
            <w:tcW w:w="1200" w:type="dxa"/>
            <w:noWrap/>
            <w:vAlign w:val="bottom"/>
            <w:hideMark/>
          </w:tcPr>
          <w:p w:rsidR="007A1762" w:rsidRDefault="007A1762">
            <w:pPr>
              <w:jc w:val="center"/>
              <w:rPr>
                <w:rFonts w:ascii="Calibri" w:hAnsi="Calibri"/>
                <w:color w:val="000000"/>
              </w:rPr>
            </w:pPr>
            <w:r>
              <w:rPr>
                <w:rFonts w:ascii="Calibri" w:hAnsi="Calibri"/>
                <w:color w:val="000000"/>
              </w:rPr>
              <w:t>0.936</w:t>
            </w:r>
          </w:p>
        </w:tc>
        <w:tc>
          <w:tcPr>
            <w:tcW w:w="1116" w:type="dxa"/>
            <w:noWrap/>
            <w:vAlign w:val="bottom"/>
            <w:hideMark/>
          </w:tcPr>
          <w:p w:rsidR="007A1762" w:rsidRDefault="007A1762">
            <w:pPr>
              <w:jc w:val="center"/>
              <w:rPr>
                <w:rFonts w:ascii="Calibri" w:hAnsi="Calibri"/>
                <w:color w:val="000000"/>
              </w:rPr>
            </w:pPr>
            <w:r>
              <w:rPr>
                <w:rFonts w:ascii="Calibri" w:hAnsi="Calibri"/>
                <w:color w:val="000000"/>
              </w:rPr>
              <w:t>0.944</w:t>
            </w:r>
          </w:p>
        </w:tc>
        <w:tc>
          <w:tcPr>
            <w:tcW w:w="809" w:type="dxa"/>
            <w:noWrap/>
            <w:vAlign w:val="bottom"/>
            <w:hideMark/>
          </w:tcPr>
          <w:p w:rsidR="007A1762" w:rsidRDefault="007A1762">
            <w:pPr>
              <w:jc w:val="center"/>
              <w:rPr>
                <w:rFonts w:ascii="Calibri" w:hAnsi="Calibri"/>
                <w:color w:val="000000"/>
              </w:rPr>
            </w:pPr>
            <w:r>
              <w:rPr>
                <w:rFonts w:ascii="Calibri" w:hAnsi="Calibri"/>
                <w:color w:val="000000"/>
              </w:rPr>
              <w:t>0.953</w:t>
            </w:r>
          </w:p>
        </w:tc>
        <w:tc>
          <w:tcPr>
            <w:tcW w:w="1195" w:type="dxa"/>
            <w:noWrap/>
            <w:vAlign w:val="bottom"/>
            <w:hideMark/>
          </w:tcPr>
          <w:p w:rsidR="007A1762" w:rsidRDefault="007A1762">
            <w:pPr>
              <w:jc w:val="center"/>
              <w:rPr>
                <w:rFonts w:ascii="Calibri" w:hAnsi="Calibri"/>
                <w:color w:val="000000"/>
              </w:rPr>
            </w:pPr>
            <w:r>
              <w:rPr>
                <w:rFonts w:ascii="Calibri" w:hAnsi="Calibri"/>
                <w:color w:val="000000"/>
              </w:rPr>
              <w:t>0.945</w:t>
            </w:r>
          </w:p>
        </w:tc>
      </w:tr>
    </w:tbl>
    <w:p w:rsidR="0001591D" w:rsidRPr="00CB6A49" w:rsidRDefault="0001591D" w:rsidP="007F5F48">
      <w:pPr>
        <w:rPr>
          <w:rFonts w:asciiTheme="majorHAnsi" w:hAnsiTheme="majorHAnsi"/>
        </w:rPr>
      </w:pPr>
    </w:p>
    <w:p w:rsidR="0001591D" w:rsidRDefault="0001591D" w:rsidP="007F5F48">
      <w:pPr>
        <w:rPr>
          <w:rFonts w:asciiTheme="majorHAnsi" w:hAnsiTheme="majorHAnsi"/>
          <w:b/>
          <w:u w:val="single"/>
        </w:rPr>
      </w:pPr>
    </w:p>
    <w:p w:rsidR="00415787" w:rsidRDefault="00415787" w:rsidP="007F5F48">
      <w:pPr>
        <w:rPr>
          <w:rFonts w:asciiTheme="majorHAnsi" w:hAnsiTheme="majorHAnsi"/>
          <w:b/>
          <w:u w:val="single"/>
        </w:rPr>
      </w:pPr>
    </w:p>
    <w:p w:rsidR="00415787" w:rsidRDefault="00415787" w:rsidP="007F5F48">
      <w:pPr>
        <w:rPr>
          <w:rFonts w:asciiTheme="majorHAnsi" w:hAnsiTheme="majorHAnsi"/>
          <w:b/>
          <w:u w:val="single"/>
        </w:rPr>
      </w:pPr>
    </w:p>
    <w:p w:rsidR="00415787" w:rsidRDefault="00415787" w:rsidP="007F5F48">
      <w:pPr>
        <w:rPr>
          <w:rFonts w:asciiTheme="majorHAnsi" w:hAnsiTheme="majorHAnsi"/>
          <w:b/>
          <w:u w:val="single"/>
        </w:rPr>
      </w:pPr>
    </w:p>
    <w:p w:rsidR="00415787" w:rsidRDefault="00415787" w:rsidP="007F5F48">
      <w:pPr>
        <w:rPr>
          <w:rFonts w:asciiTheme="majorHAnsi" w:hAnsiTheme="majorHAnsi"/>
          <w:b/>
          <w:u w:val="single"/>
        </w:rPr>
      </w:pPr>
    </w:p>
    <w:p w:rsidR="00415787" w:rsidRDefault="00415787" w:rsidP="007F5F48">
      <w:pPr>
        <w:rPr>
          <w:rFonts w:asciiTheme="majorHAnsi" w:hAnsiTheme="majorHAnsi"/>
          <w:b/>
          <w:u w:val="single"/>
        </w:rPr>
      </w:pPr>
    </w:p>
    <w:p w:rsidR="00415787" w:rsidRPr="00415787" w:rsidRDefault="00415787" w:rsidP="00415787">
      <w:pPr>
        <w:jc w:val="center"/>
        <w:rPr>
          <w:i/>
        </w:rPr>
      </w:pPr>
      <w:r>
        <w:rPr>
          <w:rFonts w:asciiTheme="majorHAnsi" w:hAnsiTheme="majorHAnsi"/>
          <w:b/>
          <w:u w:val="single"/>
        </w:rPr>
        <w:br/>
      </w:r>
      <w:r>
        <w:rPr>
          <w:rFonts w:asciiTheme="majorHAnsi" w:hAnsiTheme="majorHAnsi"/>
          <w:b/>
          <w:u w:val="single"/>
        </w:rPr>
        <w:br/>
      </w:r>
      <w:r w:rsidRPr="00572E1C">
        <w:rPr>
          <w:i/>
        </w:rPr>
        <w:t>Table 3: Weka-</w:t>
      </w:r>
      <w:proofErr w:type="spellStart"/>
      <w:r w:rsidRPr="00572E1C">
        <w:rPr>
          <w:i/>
        </w:rPr>
        <w:t>Adaboost</w:t>
      </w:r>
      <w:proofErr w:type="spellEnd"/>
      <w:r w:rsidRPr="00572E1C">
        <w:rPr>
          <w:i/>
        </w:rPr>
        <w:t xml:space="preserve"> </w:t>
      </w:r>
      <w:r>
        <w:rPr>
          <w:i/>
        </w:rPr>
        <w:t>DT based performance measures</w:t>
      </w:r>
    </w:p>
    <w:tbl>
      <w:tblPr>
        <w:tblStyle w:val="TableGrid"/>
        <w:tblpPr w:leftFromText="180" w:rightFromText="180" w:vertAnchor="text" w:horzAnchor="page" w:tblpXSpec="center" w:tblpY="1"/>
        <w:tblW w:w="0" w:type="auto"/>
        <w:tblLook w:val="04A0" w:firstRow="1" w:lastRow="0" w:firstColumn="1" w:lastColumn="0" w:noHBand="0" w:noVBand="1"/>
      </w:tblPr>
      <w:tblGrid>
        <w:gridCol w:w="1321"/>
        <w:gridCol w:w="1180"/>
        <w:gridCol w:w="1190"/>
        <w:gridCol w:w="863"/>
        <w:gridCol w:w="1224"/>
      </w:tblGrid>
      <w:tr w:rsidR="00415787" w:rsidRPr="000A3E4E" w:rsidTr="00A537DA">
        <w:trPr>
          <w:trHeight w:val="271"/>
        </w:trPr>
        <w:tc>
          <w:tcPr>
            <w:tcW w:w="5778" w:type="dxa"/>
            <w:gridSpan w:val="5"/>
            <w:noWrap/>
            <w:hideMark/>
          </w:tcPr>
          <w:p w:rsidR="00415787" w:rsidRPr="000A3E4E" w:rsidRDefault="00A537DA" w:rsidP="006C4A6A">
            <w:pPr>
              <w:jc w:val="center"/>
            </w:pPr>
            <w:r>
              <w:t>Weka</w:t>
            </w:r>
            <w:r w:rsidR="00415787">
              <w:t>-</w:t>
            </w:r>
            <w:r w:rsidR="00415787" w:rsidRPr="000A3E4E">
              <w:t>K-Nearest Neighbors</w:t>
            </w:r>
          </w:p>
        </w:tc>
      </w:tr>
      <w:tr w:rsidR="00415787" w:rsidRPr="000A3E4E" w:rsidTr="00A537DA">
        <w:trPr>
          <w:trHeight w:val="282"/>
        </w:trPr>
        <w:tc>
          <w:tcPr>
            <w:tcW w:w="1321" w:type="dxa"/>
            <w:noWrap/>
            <w:hideMark/>
          </w:tcPr>
          <w:p w:rsidR="00415787" w:rsidRPr="000A3E4E" w:rsidRDefault="00415787" w:rsidP="006C4A6A">
            <w:pPr>
              <w:jc w:val="center"/>
            </w:pPr>
            <w:r w:rsidRPr="000A3E4E">
              <w:t>Boosting Rounds</w:t>
            </w:r>
          </w:p>
        </w:tc>
        <w:tc>
          <w:tcPr>
            <w:tcW w:w="1180" w:type="dxa"/>
            <w:noWrap/>
            <w:hideMark/>
          </w:tcPr>
          <w:p w:rsidR="00415787" w:rsidRPr="000A3E4E" w:rsidRDefault="00415787" w:rsidP="006C4A6A">
            <w:pPr>
              <w:jc w:val="center"/>
            </w:pPr>
            <w:r w:rsidRPr="000A3E4E">
              <w:t>Accuracy</w:t>
            </w:r>
          </w:p>
        </w:tc>
        <w:tc>
          <w:tcPr>
            <w:tcW w:w="1190" w:type="dxa"/>
            <w:noWrap/>
            <w:hideMark/>
          </w:tcPr>
          <w:p w:rsidR="00415787" w:rsidRPr="000A3E4E" w:rsidRDefault="00415787" w:rsidP="006C4A6A">
            <w:pPr>
              <w:jc w:val="center"/>
            </w:pPr>
            <w:r w:rsidRPr="000A3E4E">
              <w:t>Precision</w:t>
            </w:r>
          </w:p>
        </w:tc>
        <w:tc>
          <w:tcPr>
            <w:tcW w:w="863" w:type="dxa"/>
            <w:noWrap/>
            <w:hideMark/>
          </w:tcPr>
          <w:p w:rsidR="00415787" w:rsidRPr="000A3E4E" w:rsidRDefault="00415787" w:rsidP="006C4A6A">
            <w:pPr>
              <w:jc w:val="center"/>
            </w:pPr>
            <w:r w:rsidRPr="000A3E4E">
              <w:t>Recall</w:t>
            </w:r>
          </w:p>
        </w:tc>
        <w:tc>
          <w:tcPr>
            <w:tcW w:w="1224" w:type="dxa"/>
            <w:noWrap/>
            <w:hideMark/>
          </w:tcPr>
          <w:p w:rsidR="00415787" w:rsidRPr="000A3E4E" w:rsidRDefault="00415787" w:rsidP="006C4A6A">
            <w:pPr>
              <w:jc w:val="center"/>
            </w:pPr>
            <w:r w:rsidRPr="000A3E4E">
              <w:t>F-Measure</w:t>
            </w:r>
          </w:p>
        </w:tc>
      </w:tr>
      <w:tr w:rsidR="00415787" w:rsidRPr="000A3E4E" w:rsidTr="00A537DA">
        <w:trPr>
          <w:trHeight w:val="282"/>
        </w:trPr>
        <w:tc>
          <w:tcPr>
            <w:tcW w:w="1321" w:type="dxa"/>
            <w:noWrap/>
            <w:hideMark/>
          </w:tcPr>
          <w:p w:rsidR="00415787" w:rsidRPr="000A3E4E" w:rsidRDefault="00415787" w:rsidP="006C4A6A">
            <w:pPr>
              <w:jc w:val="center"/>
            </w:pPr>
            <w:r w:rsidRPr="000A3E4E">
              <w:t>1</w:t>
            </w:r>
          </w:p>
        </w:tc>
        <w:tc>
          <w:tcPr>
            <w:tcW w:w="1180" w:type="dxa"/>
            <w:noWrap/>
            <w:vAlign w:val="bottom"/>
            <w:hideMark/>
          </w:tcPr>
          <w:p w:rsidR="00415787" w:rsidRDefault="00415787" w:rsidP="006C4A6A">
            <w:pPr>
              <w:jc w:val="center"/>
              <w:rPr>
                <w:rFonts w:ascii="Calibri" w:hAnsi="Calibri"/>
                <w:color w:val="000000"/>
              </w:rPr>
            </w:pPr>
            <w:r>
              <w:rPr>
                <w:rFonts w:ascii="Calibri" w:hAnsi="Calibri"/>
                <w:color w:val="000000"/>
              </w:rPr>
              <w:t>0.971</w:t>
            </w:r>
          </w:p>
        </w:tc>
        <w:tc>
          <w:tcPr>
            <w:tcW w:w="1190" w:type="dxa"/>
            <w:noWrap/>
            <w:vAlign w:val="bottom"/>
            <w:hideMark/>
          </w:tcPr>
          <w:p w:rsidR="00415787" w:rsidRDefault="00415787" w:rsidP="006C4A6A">
            <w:pPr>
              <w:jc w:val="center"/>
              <w:rPr>
                <w:rFonts w:ascii="Calibri" w:hAnsi="Calibri"/>
                <w:color w:val="000000"/>
              </w:rPr>
            </w:pPr>
            <w:r>
              <w:rPr>
                <w:rFonts w:ascii="Calibri" w:hAnsi="Calibri"/>
                <w:color w:val="000000"/>
              </w:rPr>
              <w:t>0.963</w:t>
            </w:r>
          </w:p>
        </w:tc>
        <w:tc>
          <w:tcPr>
            <w:tcW w:w="863" w:type="dxa"/>
            <w:noWrap/>
            <w:vAlign w:val="bottom"/>
            <w:hideMark/>
          </w:tcPr>
          <w:p w:rsidR="00415787" w:rsidRDefault="00415787" w:rsidP="006C4A6A">
            <w:pPr>
              <w:jc w:val="center"/>
              <w:rPr>
                <w:rFonts w:ascii="Calibri" w:hAnsi="Calibri"/>
                <w:color w:val="000000"/>
              </w:rPr>
            </w:pPr>
            <w:r>
              <w:rPr>
                <w:rFonts w:ascii="Calibri" w:hAnsi="Calibri"/>
                <w:color w:val="000000"/>
              </w:rPr>
              <w:t>0.991</w:t>
            </w:r>
          </w:p>
        </w:tc>
        <w:tc>
          <w:tcPr>
            <w:tcW w:w="1224" w:type="dxa"/>
            <w:noWrap/>
            <w:vAlign w:val="bottom"/>
            <w:hideMark/>
          </w:tcPr>
          <w:p w:rsidR="00415787" w:rsidRDefault="00415787" w:rsidP="006C4A6A">
            <w:pPr>
              <w:jc w:val="center"/>
              <w:rPr>
                <w:rFonts w:ascii="Calibri" w:hAnsi="Calibri"/>
                <w:color w:val="000000"/>
              </w:rPr>
            </w:pPr>
            <w:r>
              <w:rPr>
                <w:rFonts w:ascii="Calibri" w:hAnsi="Calibri"/>
                <w:color w:val="000000"/>
              </w:rPr>
              <w:t>0.977</w:t>
            </w:r>
          </w:p>
        </w:tc>
      </w:tr>
      <w:tr w:rsidR="00415787" w:rsidRPr="000A3E4E" w:rsidTr="00A537DA">
        <w:trPr>
          <w:trHeight w:val="282"/>
        </w:trPr>
        <w:tc>
          <w:tcPr>
            <w:tcW w:w="1321" w:type="dxa"/>
            <w:noWrap/>
            <w:hideMark/>
          </w:tcPr>
          <w:p w:rsidR="00415787" w:rsidRPr="000A3E4E" w:rsidRDefault="00415787" w:rsidP="006C4A6A">
            <w:pPr>
              <w:jc w:val="center"/>
            </w:pPr>
            <w:r w:rsidRPr="000A3E4E">
              <w:t>2</w:t>
            </w:r>
          </w:p>
        </w:tc>
        <w:tc>
          <w:tcPr>
            <w:tcW w:w="1180" w:type="dxa"/>
            <w:noWrap/>
            <w:vAlign w:val="bottom"/>
            <w:hideMark/>
          </w:tcPr>
          <w:p w:rsidR="00415787" w:rsidRDefault="00415787" w:rsidP="006C4A6A">
            <w:pPr>
              <w:jc w:val="center"/>
              <w:rPr>
                <w:rFonts w:ascii="Calibri" w:hAnsi="Calibri"/>
                <w:color w:val="000000"/>
              </w:rPr>
            </w:pPr>
            <w:r>
              <w:rPr>
                <w:rFonts w:ascii="Calibri" w:hAnsi="Calibri"/>
                <w:color w:val="000000"/>
              </w:rPr>
              <w:t>0.971</w:t>
            </w:r>
          </w:p>
        </w:tc>
        <w:tc>
          <w:tcPr>
            <w:tcW w:w="1190" w:type="dxa"/>
            <w:noWrap/>
            <w:vAlign w:val="bottom"/>
            <w:hideMark/>
          </w:tcPr>
          <w:p w:rsidR="00415787" w:rsidRDefault="00415787" w:rsidP="006C4A6A">
            <w:pPr>
              <w:jc w:val="center"/>
              <w:rPr>
                <w:rFonts w:ascii="Calibri" w:hAnsi="Calibri"/>
                <w:color w:val="000000"/>
              </w:rPr>
            </w:pPr>
            <w:r>
              <w:rPr>
                <w:rFonts w:ascii="Calibri" w:hAnsi="Calibri"/>
                <w:color w:val="000000"/>
              </w:rPr>
              <w:t>0.963</w:t>
            </w:r>
          </w:p>
        </w:tc>
        <w:tc>
          <w:tcPr>
            <w:tcW w:w="863" w:type="dxa"/>
            <w:noWrap/>
            <w:vAlign w:val="bottom"/>
            <w:hideMark/>
          </w:tcPr>
          <w:p w:rsidR="00415787" w:rsidRDefault="00415787" w:rsidP="006C4A6A">
            <w:pPr>
              <w:jc w:val="center"/>
              <w:rPr>
                <w:rFonts w:ascii="Calibri" w:hAnsi="Calibri"/>
                <w:color w:val="000000"/>
              </w:rPr>
            </w:pPr>
            <w:r>
              <w:rPr>
                <w:rFonts w:ascii="Calibri" w:hAnsi="Calibri"/>
                <w:color w:val="000000"/>
              </w:rPr>
              <w:t>0.991</w:t>
            </w:r>
          </w:p>
        </w:tc>
        <w:tc>
          <w:tcPr>
            <w:tcW w:w="1224" w:type="dxa"/>
            <w:noWrap/>
            <w:vAlign w:val="bottom"/>
            <w:hideMark/>
          </w:tcPr>
          <w:p w:rsidR="00415787" w:rsidRDefault="00415787" w:rsidP="006C4A6A">
            <w:pPr>
              <w:jc w:val="center"/>
              <w:rPr>
                <w:rFonts w:ascii="Calibri" w:hAnsi="Calibri"/>
                <w:color w:val="000000"/>
              </w:rPr>
            </w:pPr>
            <w:r>
              <w:rPr>
                <w:rFonts w:ascii="Calibri" w:hAnsi="Calibri"/>
                <w:color w:val="000000"/>
              </w:rPr>
              <w:t>0.977</w:t>
            </w:r>
          </w:p>
        </w:tc>
      </w:tr>
      <w:tr w:rsidR="00415787" w:rsidRPr="000A3E4E" w:rsidTr="00A537DA">
        <w:trPr>
          <w:trHeight w:val="282"/>
        </w:trPr>
        <w:tc>
          <w:tcPr>
            <w:tcW w:w="1321" w:type="dxa"/>
            <w:noWrap/>
            <w:hideMark/>
          </w:tcPr>
          <w:p w:rsidR="00415787" w:rsidRPr="000A3E4E" w:rsidRDefault="00415787" w:rsidP="006C4A6A">
            <w:pPr>
              <w:jc w:val="center"/>
            </w:pPr>
            <w:r w:rsidRPr="000A3E4E">
              <w:t>3</w:t>
            </w:r>
          </w:p>
        </w:tc>
        <w:tc>
          <w:tcPr>
            <w:tcW w:w="1180" w:type="dxa"/>
            <w:noWrap/>
            <w:vAlign w:val="bottom"/>
            <w:hideMark/>
          </w:tcPr>
          <w:p w:rsidR="00415787" w:rsidRDefault="00415787" w:rsidP="006C4A6A">
            <w:pPr>
              <w:jc w:val="center"/>
              <w:rPr>
                <w:rFonts w:ascii="Calibri" w:hAnsi="Calibri"/>
                <w:color w:val="000000"/>
              </w:rPr>
            </w:pPr>
            <w:r>
              <w:rPr>
                <w:rFonts w:ascii="Calibri" w:hAnsi="Calibri"/>
                <w:color w:val="000000"/>
              </w:rPr>
              <w:t>0.942</w:t>
            </w:r>
          </w:p>
        </w:tc>
        <w:tc>
          <w:tcPr>
            <w:tcW w:w="1190" w:type="dxa"/>
            <w:noWrap/>
            <w:vAlign w:val="bottom"/>
            <w:hideMark/>
          </w:tcPr>
          <w:p w:rsidR="00415787" w:rsidRDefault="00415787" w:rsidP="006C4A6A">
            <w:pPr>
              <w:jc w:val="center"/>
              <w:rPr>
                <w:rFonts w:ascii="Calibri" w:hAnsi="Calibri"/>
                <w:color w:val="000000"/>
              </w:rPr>
            </w:pPr>
            <w:r>
              <w:rPr>
                <w:rFonts w:ascii="Calibri" w:hAnsi="Calibri"/>
                <w:color w:val="000000"/>
              </w:rPr>
              <w:t>0.953</w:t>
            </w:r>
          </w:p>
        </w:tc>
        <w:tc>
          <w:tcPr>
            <w:tcW w:w="863" w:type="dxa"/>
            <w:noWrap/>
            <w:vAlign w:val="bottom"/>
            <w:hideMark/>
          </w:tcPr>
          <w:p w:rsidR="00415787" w:rsidRDefault="00415787" w:rsidP="006C4A6A">
            <w:pPr>
              <w:jc w:val="center"/>
              <w:rPr>
                <w:rFonts w:ascii="Calibri" w:hAnsi="Calibri"/>
                <w:color w:val="000000"/>
              </w:rPr>
            </w:pPr>
            <w:r>
              <w:rPr>
                <w:rFonts w:ascii="Calibri" w:hAnsi="Calibri"/>
                <w:color w:val="000000"/>
              </w:rPr>
              <w:t>0.953</w:t>
            </w:r>
          </w:p>
        </w:tc>
        <w:tc>
          <w:tcPr>
            <w:tcW w:w="1224" w:type="dxa"/>
            <w:noWrap/>
            <w:vAlign w:val="bottom"/>
            <w:hideMark/>
          </w:tcPr>
          <w:p w:rsidR="00415787" w:rsidRDefault="00415787" w:rsidP="006C4A6A">
            <w:pPr>
              <w:jc w:val="center"/>
              <w:rPr>
                <w:rFonts w:ascii="Calibri" w:hAnsi="Calibri"/>
                <w:color w:val="000000"/>
              </w:rPr>
            </w:pPr>
            <w:r>
              <w:rPr>
                <w:rFonts w:ascii="Calibri" w:hAnsi="Calibri"/>
                <w:color w:val="000000"/>
              </w:rPr>
              <w:t>0.953</w:t>
            </w:r>
          </w:p>
        </w:tc>
      </w:tr>
      <w:tr w:rsidR="00415787" w:rsidRPr="000A3E4E" w:rsidTr="00A537DA">
        <w:trPr>
          <w:trHeight w:val="282"/>
        </w:trPr>
        <w:tc>
          <w:tcPr>
            <w:tcW w:w="1321" w:type="dxa"/>
            <w:noWrap/>
            <w:hideMark/>
          </w:tcPr>
          <w:p w:rsidR="00415787" w:rsidRPr="000A3E4E" w:rsidRDefault="00415787" w:rsidP="006C4A6A">
            <w:pPr>
              <w:jc w:val="center"/>
            </w:pPr>
            <w:r w:rsidRPr="000A3E4E">
              <w:t>4</w:t>
            </w:r>
          </w:p>
        </w:tc>
        <w:tc>
          <w:tcPr>
            <w:tcW w:w="1180" w:type="dxa"/>
            <w:noWrap/>
            <w:vAlign w:val="bottom"/>
            <w:hideMark/>
          </w:tcPr>
          <w:p w:rsidR="00415787" w:rsidRDefault="00415787" w:rsidP="006C4A6A">
            <w:pPr>
              <w:jc w:val="center"/>
              <w:rPr>
                <w:rFonts w:ascii="Calibri" w:hAnsi="Calibri"/>
                <w:color w:val="000000"/>
              </w:rPr>
            </w:pPr>
            <w:r>
              <w:rPr>
                <w:rFonts w:ascii="Calibri" w:hAnsi="Calibri"/>
                <w:color w:val="000000"/>
              </w:rPr>
              <w:t>0.953</w:t>
            </w:r>
          </w:p>
        </w:tc>
        <w:tc>
          <w:tcPr>
            <w:tcW w:w="1190" w:type="dxa"/>
            <w:noWrap/>
            <w:vAlign w:val="bottom"/>
            <w:hideMark/>
          </w:tcPr>
          <w:p w:rsidR="00415787" w:rsidRDefault="00415787" w:rsidP="006C4A6A">
            <w:pPr>
              <w:jc w:val="center"/>
              <w:rPr>
                <w:rFonts w:ascii="Calibri" w:hAnsi="Calibri"/>
                <w:color w:val="000000"/>
              </w:rPr>
            </w:pPr>
            <w:r>
              <w:rPr>
                <w:rFonts w:ascii="Calibri" w:hAnsi="Calibri"/>
                <w:color w:val="000000"/>
              </w:rPr>
              <w:t>0.971</w:t>
            </w:r>
          </w:p>
        </w:tc>
        <w:tc>
          <w:tcPr>
            <w:tcW w:w="863" w:type="dxa"/>
            <w:noWrap/>
            <w:vAlign w:val="bottom"/>
            <w:hideMark/>
          </w:tcPr>
          <w:p w:rsidR="00415787" w:rsidRDefault="00415787" w:rsidP="006C4A6A">
            <w:pPr>
              <w:jc w:val="center"/>
              <w:rPr>
                <w:rFonts w:ascii="Calibri" w:hAnsi="Calibri"/>
                <w:color w:val="000000"/>
              </w:rPr>
            </w:pPr>
            <w:r>
              <w:rPr>
                <w:rFonts w:ascii="Calibri" w:hAnsi="Calibri"/>
                <w:color w:val="000000"/>
              </w:rPr>
              <w:t>0.953</w:t>
            </w:r>
          </w:p>
        </w:tc>
        <w:tc>
          <w:tcPr>
            <w:tcW w:w="1224" w:type="dxa"/>
            <w:noWrap/>
            <w:vAlign w:val="bottom"/>
            <w:hideMark/>
          </w:tcPr>
          <w:p w:rsidR="00415787" w:rsidRDefault="00415787" w:rsidP="006C4A6A">
            <w:pPr>
              <w:jc w:val="center"/>
              <w:rPr>
                <w:rFonts w:ascii="Calibri" w:hAnsi="Calibri"/>
                <w:color w:val="000000"/>
              </w:rPr>
            </w:pPr>
            <w:r>
              <w:rPr>
                <w:rFonts w:ascii="Calibri" w:hAnsi="Calibri"/>
                <w:color w:val="000000"/>
              </w:rPr>
              <w:t>0.962</w:t>
            </w:r>
          </w:p>
        </w:tc>
      </w:tr>
      <w:tr w:rsidR="00415787" w:rsidRPr="000A3E4E" w:rsidTr="00A537DA">
        <w:trPr>
          <w:trHeight w:val="282"/>
        </w:trPr>
        <w:tc>
          <w:tcPr>
            <w:tcW w:w="1321" w:type="dxa"/>
            <w:noWrap/>
            <w:hideMark/>
          </w:tcPr>
          <w:p w:rsidR="00415787" w:rsidRPr="000A3E4E" w:rsidRDefault="00415787" w:rsidP="006C4A6A">
            <w:pPr>
              <w:jc w:val="center"/>
            </w:pPr>
            <w:r w:rsidRPr="000A3E4E">
              <w:t>5</w:t>
            </w:r>
          </w:p>
        </w:tc>
        <w:tc>
          <w:tcPr>
            <w:tcW w:w="1180" w:type="dxa"/>
            <w:noWrap/>
            <w:vAlign w:val="bottom"/>
            <w:hideMark/>
          </w:tcPr>
          <w:p w:rsidR="00415787" w:rsidRDefault="00415787" w:rsidP="006C4A6A">
            <w:pPr>
              <w:jc w:val="center"/>
              <w:rPr>
                <w:rFonts w:ascii="Calibri" w:hAnsi="Calibri"/>
                <w:color w:val="000000"/>
              </w:rPr>
            </w:pPr>
            <w:r>
              <w:rPr>
                <w:rFonts w:ascii="Calibri" w:hAnsi="Calibri"/>
                <w:color w:val="000000"/>
              </w:rPr>
              <w:t>0.953</w:t>
            </w:r>
          </w:p>
        </w:tc>
        <w:tc>
          <w:tcPr>
            <w:tcW w:w="1190" w:type="dxa"/>
            <w:noWrap/>
            <w:vAlign w:val="bottom"/>
            <w:hideMark/>
          </w:tcPr>
          <w:p w:rsidR="00415787" w:rsidRDefault="00415787" w:rsidP="006C4A6A">
            <w:pPr>
              <w:jc w:val="center"/>
              <w:rPr>
                <w:rFonts w:ascii="Calibri" w:hAnsi="Calibri"/>
                <w:color w:val="000000"/>
              </w:rPr>
            </w:pPr>
            <w:r>
              <w:rPr>
                <w:rFonts w:ascii="Calibri" w:hAnsi="Calibri"/>
                <w:color w:val="000000"/>
              </w:rPr>
              <w:t>0.971</w:t>
            </w:r>
          </w:p>
        </w:tc>
        <w:tc>
          <w:tcPr>
            <w:tcW w:w="863" w:type="dxa"/>
            <w:noWrap/>
            <w:vAlign w:val="bottom"/>
            <w:hideMark/>
          </w:tcPr>
          <w:p w:rsidR="00415787" w:rsidRDefault="00415787" w:rsidP="006C4A6A">
            <w:pPr>
              <w:jc w:val="center"/>
              <w:rPr>
                <w:rFonts w:ascii="Calibri" w:hAnsi="Calibri"/>
                <w:color w:val="000000"/>
              </w:rPr>
            </w:pPr>
            <w:r>
              <w:rPr>
                <w:rFonts w:ascii="Calibri" w:hAnsi="Calibri"/>
                <w:color w:val="000000"/>
              </w:rPr>
              <w:t>0.953</w:t>
            </w:r>
          </w:p>
        </w:tc>
        <w:tc>
          <w:tcPr>
            <w:tcW w:w="1224" w:type="dxa"/>
            <w:noWrap/>
            <w:vAlign w:val="bottom"/>
            <w:hideMark/>
          </w:tcPr>
          <w:p w:rsidR="00415787" w:rsidRDefault="00415787" w:rsidP="006C4A6A">
            <w:pPr>
              <w:jc w:val="center"/>
              <w:rPr>
                <w:rFonts w:ascii="Calibri" w:hAnsi="Calibri"/>
                <w:color w:val="000000"/>
              </w:rPr>
            </w:pPr>
            <w:r>
              <w:rPr>
                <w:rFonts w:ascii="Calibri" w:hAnsi="Calibri"/>
                <w:color w:val="000000"/>
              </w:rPr>
              <w:t>0.962</w:t>
            </w:r>
          </w:p>
        </w:tc>
      </w:tr>
      <w:tr w:rsidR="00415787" w:rsidRPr="000A3E4E" w:rsidTr="00A537DA">
        <w:trPr>
          <w:trHeight w:val="282"/>
        </w:trPr>
        <w:tc>
          <w:tcPr>
            <w:tcW w:w="1321" w:type="dxa"/>
            <w:noWrap/>
            <w:hideMark/>
          </w:tcPr>
          <w:p w:rsidR="00415787" w:rsidRPr="000A3E4E" w:rsidRDefault="00415787" w:rsidP="006C4A6A">
            <w:pPr>
              <w:jc w:val="center"/>
            </w:pPr>
            <w:r w:rsidRPr="000A3E4E">
              <w:t>6</w:t>
            </w:r>
          </w:p>
        </w:tc>
        <w:tc>
          <w:tcPr>
            <w:tcW w:w="1180" w:type="dxa"/>
            <w:noWrap/>
            <w:vAlign w:val="bottom"/>
            <w:hideMark/>
          </w:tcPr>
          <w:p w:rsidR="00415787" w:rsidRDefault="00415787" w:rsidP="006C4A6A">
            <w:pPr>
              <w:jc w:val="center"/>
              <w:rPr>
                <w:rFonts w:ascii="Calibri" w:hAnsi="Calibri"/>
                <w:color w:val="000000"/>
              </w:rPr>
            </w:pPr>
            <w:r>
              <w:rPr>
                <w:rFonts w:ascii="Calibri" w:hAnsi="Calibri"/>
                <w:color w:val="000000"/>
              </w:rPr>
              <w:t>0.953</w:t>
            </w:r>
          </w:p>
        </w:tc>
        <w:tc>
          <w:tcPr>
            <w:tcW w:w="1190" w:type="dxa"/>
            <w:noWrap/>
            <w:vAlign w:val="bottom"/>
            <w:hideMark/>
          </w:tcPr>
          <w:p w:rsidR="00415787" w:rsidRDefault="00415787" w:rsidP="006C4A6A">
            <w:pPr>
              <w:jc w:val="center"/>
              <w:rPr>
                <w:rFonts w:ascii="Calibri" w:hAnsi="Calibri"/>
                <w:color w:val="000000"/>
              </w:rPr>
            </w:pPr>
            <w:r>
              <w:rPr>
                <w:rFonts w:ascii="Calibri" w:hAnsi="Calibri"/>
                <w:color w:val="000000"/>
              </w:rPr>
              <w:t>0.971</w:t>
            </w:r>
          </w:p>
        </w:tc>
        <w:tc>
          <w:tcPr>
            <w:tcW w:w="863" w:type="dxa"/>
            <w:noWrap/>
            <w:vAlign w:val="bottom"/>
            <w:hideMark/>
          </w:tcPr>
          <w:p w:rsidR="00415787" w:rsidRDefault="00415787" w:rsidP="006C4A6A">
            <w:pPr>
              <w:jc w:val="center"/>
              <w:rPr>
                <w:rFonts w:ascii="Calibri" w:hAnsi="Calibri"/>
                <w:color w:val="000000"/>
              </w:rPr>
            </w:pPr>
            <w:r>
              <w:rPr>
                <w:rFonts w:ascii="Calibri" w:hAnsi="Calibri"/>
                <w:color w:val="000000"/>
              </w:rPr>
              <w:t>0.953</w:t>
            </w:r>
          </w:p>
        </w:tc>
        <w:tc>
          <w:tcPr>
            <w:tcW w:w="1224" w:type="dxa"/>
            <w:noWrap/>
            <w:vAlign w:val="bottom"/>
            <w:hideMark/>
          </w:tcPr>
          <w:p w:rsidR="00415787" w:rsidRDefault="00415787" w:rsidP="006C4A6A">
            <w:pPr>
              <w:jc w:val="center"/>
              <w:rPr>
                <w:rFonts w:ascii="Calibri" w:hAnsi="Calibri"/>
                <w:color w:val="000000"/>
              </w:rPr>
            </w:pPr>
            <w:r>
              <w:rPr>
                <w:rFonts w:ascii="Calibri" w:hAnsi="Calibri"/>
                <w:color w:val="000000"/>
              </w:rPr>
              <w:t>0.962</w:t>
            </w:r>
          </w:p>
        </w:tc>
      </w:tr>
      <w:tr w:rsidR="00415787" w:rsidRPr="000A3E4E" w:rsidTr="00A537DA">
        <w:trPr>
          <w:trHeight w:val="282"/>
        </w:trPr>
        <w:tc>
          <w:tcPr>
            <w:tcW w:w="1321" w:type="dxa"/>
            <w:noWrap/>
            <w:hideMark/>
          </w:tcPr>
          <w:p w:rsidR="00415787" w:rsidRPr="000A3E4E" w:rsidRDefault="00415787" w:rsidP="006C4A6A">
            <w:pPr>
              <w:jc w:val="center"/>
            </w:pPr>
            <w:r w:rsidRPr="000A3E4E">
              <w:t>7</w:t>
            </w:r>
          </w:p>
        </w:tc>
        <w:tc>
          <w:tcPr>
            <w:tcW w:w="1180" w:type="dxa"/>
            <w:noWrap/>
            <w:vAlign w:val="bottom"/>
            <w:hideMark/>
          </w:tcPr>
          <w:p w:rsidR="00415787" w:rsidRDefault="00415787" w:rsidP="006C4A6A">
            <w:pPr>
              <w:jc w:val="center"/>
              <w:rPr>
                <w:rFonts w:ascii="Calibri" w:hAnsi="Calibri"/>
                <w:color w:val="000000"/>
              </w:rPr>
            </w:pPr>
            <w:r>
              <w:rPr>
                <w:rFonts w:ascii="Calibri" w:hAnsi="Calibri"/>
                <w:color w:val="000000"/>
              </w:rPr>
              <w:t>0.953</w:t>
            </w:r>
          </w:p>
        </w:tc>
        <w:tc>
          <w:tcPr>
            <w:tcW w:w="1190" w:type="dxa"/>
            <w:noWrap/>
            <w:vAlign w:val="bottom"/>
            <w:hideMark/>
          </w:tcPr>
          <w:p w:rsidR="00415787" w:rsidRDefault="00415787" w:rsidP="006C4A6A">
            <w:pPr>
              <w:jc w:val="center"/>
              <w:rPr>
                <w:rFonts w:ascii="Calibri" w:hAnsi="Calibri"/>
                <w:color w:val="000000"/>
              </w:rPr>
            </w:pPr>
            <w:r>
              <w:rPr>
                <w:rFonts w:ascii="Calibri" w:hAnsi="Calibri"/>
                <w:color w:val="000000"/>
              </w:rPr>
              <w:t>0.971</w:t>
            </w:r>
          </w:p>
        </w:tc>
        <w:tc>
          <w:tcPr>
            <w:tcW w:w="863" w:type="dxa"/>
            <w:noWrap/>
            <w:vAlign w:val="bottom"/>
            <w:hideMark/>
          </w:tcPr>
          <w:p w:rsidR="00415787" w:rsidRDefault="00415787" w:rsidP="006C4A6A">
            <w:pPr>
              <w:jc w:val="center"/>
              <w:rPr>
                <w:rFonts w:ascii="Calibri" w:hAnsi="Calibri"/>
                <w:color w:val="000000"/>
              </w:rPr>
            </w:pPr>
            <w:r>
              <w:rPr>
                <w:rFonts w:ascii="Calibri" w:hAnsi="Calibri"/>
                <w:color w:val="000000"/>
              </w:rPr>
              <w:t>0.953</w:t>
            </w:r>
          </w:p>
        </w:tc>
        <w:tc>
          <w:tcPr>
            <w:tcW w:w="1224" w:type="dxa"/>
            <w:noWrap/>
            <w:vAlign w:val="bottom"/>
            <w:hideMark/>
          </w:tcPr>
          <w:p w:rsidR="00415787" w:rsidRDefault="00415787" w:rsidP="006C4A6A">
            <w:pPr>
              <w:jc w:val="center"/>
              <w:rPr>
                <w:rFonts w:ascii="Calibri" w:hAnsi="Calibri"/>
                <w:color w:val="000000"/>
              </w:rPr>
            </w:pPr>
            <w:r>
              <w:rPr>
                <w:rFonts w:ascii="Calibri" w:hAnsi="Calibri"/>
                <w:color w:val="000000"/>
              </w:rPr>
              <w:t>0.962</w:t>
            </w:r>
          </w:p>
        </w:tc>
      </w:tr>
      <w:tr w:rsidR="00415787" w:rsidRPr="000A3E4E" w:rsidTr="00A537DA">
        <w:trPr>
          <w:trHeight w:val="282"/>
        </w:trPr>
        <w:tc>
          <w:tcPr>
            <w:tcW w:w="1321" w:type="dxa"/>
            <w:noWrap/>
            <w:hideMark/>
          </w:tcPr>
          <w:p w:rsidR="00415787" w:rsidRPr="000A3E4E" w:rsidRDefault="00415787" w:rsidP="006C4A6A">
            <w:pPr>
              <w:jc w:val="center"/>
            </w:pPr>
            <w:r w:rsidRPr="000A3E4E">
              <w:t>8</w:t>
            </w:r>
          </w:p>
        </w:tc>
        <w:tc>
          <w:tcPr>
            <w:tcW w:w="1180" w:type="dxa"/>
            <w:noWrap/>
            <w:vAlign w:val="bottom"/>
            <w:hideMark/>
          </w:tcPr>
          <w:p w:rsidR="00415787" w:rsidRDefault="00415787" w:rsidP="006C4A6A">
            <w:pPr>
              <w:jc w:val="center"/>
              <w:rPr>
                <w:rFonts w:ascii="Calibri" w:hAnsi="Calibri"/>
                <w:color w:val="000000"/>
              </w:rPr>
            </w:pPr>
            <w:r>
              <w:rPr>
                <w:rFonts w:ascii="Calibri" w:hAnsi="Calibri"/>
                <w:color w:val="000000"/>
              </w:rPr>
              <w:t>0.953</w:t>
            </w:r>
          </w:p>
        </w:tc>
        <w:tc>
          <w:tcPr>
            <w:tcW w:w="1190" w:type="dxa"/>
            <w:noWrap/>
            <w:vAlign w:val="bottom"/>
            <w:hideMark/>
          </w:tcPr>
          <w:p w:rsidR="00415787" w:rsidRDefault="00415787" w:rsidP="006C4A6A">
            <w:pPr>
              <w:jc w:val="center"/>
              <w:rPr>
                <w:rFonts w:ascii="Calibri" w:hAnsi="Calibri"/>
                <w:color w:val="000000"/>
              </w:rPr>
            </w:pPr>
            <w:r>
              <w:rPr>
                <w:rFonts w:ascii="Calibri" w:hAnsi="Calibri"/>
                <w:color w:val="000000"/>
              </w:rPr>
              <w:t>0.971</w:t>
            </w:r>
          </w:p>
        </w:tc>
        <w:tc>
          <w:tcPr>
            <w:tcW w:w="863" w:type="dxa"/>
            <w:noWrap/>
            <w:vAlign w:val="bottom"/>
            <w:hideMark/>
          </w:tcPr>
          <w:p w:rsidR="00415787" w:rsidRDefault="00415787" w:rsidP="006C4A6A">
            <w:pPr>
              <w:jc w:val="center"/>
              <w:rPr>
                <w:rFonts w:ascii="Calibri" w:hAnsi="Calibri"/>
                <w:color w:val="000000"/>
              </w:rPr>
            </w:pPr>
            <w:r>
              <w:rPr>
                <w:rFonts w:ascii="Calibri" w:hAnsi="Calibri"/>
                <w:color w:val="000000"/>
              </w:rPr>
              <w:t>0.953</w:t>
            </w:r>
          </w:p>
        </w:tc>
        <w:tc>
          <w:tcPr>
            <w:tcW w:w="1224" w:type="dxa"/>
            <w:noWrap/>
            <w:vAlign w:val="bottom"/>
            <w:hideMark/>
          </w:tcPr>
          <w:p w:rsidR="00415787" w:rsidRDefault="00415787" w:rsidP="006C4A6A">
            <w:pPr>
              <w:jc w:val="center"/>
              <w:rPr>
                <w:rFonts w:ascii="Calibri" w:hAnsi="Calibri"/>
                <w:color w:val="000000"/>
              </w:rPr>
            </w:pPr>
            <w:r>
              <w:rPr>
                <w:rFonts w:ascii="Calibri" w:hAnsi="Calibri"/>
                <w:color w:val="000000"/>
              </w:rPr>
              <w:t>0.962</w:t>
            </w:r>
          </w:p>
        </w:tc>
      </w:tr>
      <w:tr w:rsidR="00415787" w:rsidRPr="000A3E4E" w:rsidTr="00A537DA">
        <w:trPr>
          <w:trHeight w:val="282"/>
        </w:trPr>
        <w:tc>
          <w:tcPr>
            <w:tcW w:w="1321" w:type="dxa"/>
            <w:noWrap/>
            <w:hideMark/>
          </w:tcPr>
          <w:p w:rsidR="00415787" w:rsidRPr="000A3E4E" w:rsidRDefault="00415787" w:rsidP="006C4A6A">
            <w:pPr>
              <w:jc w:val="center"/>
            </w:pPr>
            <w:r w:rsidRPr="000A3E4E">
              <w:t>9</w:t>
            </w:r>
          </w:p>
        </w:tc>
        <w:tc>
          <w:tcPr>
            <w:tcW w:w="1180" w:type="dxa"/>
            <w:noWrap/>
            <w:vAlign w:val="bottom"/>
            <w:hideMark/>
          </w:tcPr>
          <w:p w:rsidR="00415787" w:rsidRDefault="00415787" w:rsidP="006C4A6A">
            <w:pPr>
              <w:jc w:val="center"/>
              <w:rPr>
                <w:rFonts w:ascii="Calibri" w:hAnsi="Calibri"/>
                <w:color w:val="000000"/>
              </w:rPr>
            </w:pPr>
            <w:r>
              <w:rPr>
                <w:rFonts w:ascii="Calibri" w:hAnsi="Calibri"/>
                <w:color w:val="000000"/>
              </w:rPr>
              <w:t>0.953</w:t>
            </w:r>
          </w:p>
        </w:tc>
        <w:tc>
          <w:tcPr>
            <w:tcW w:w="1190" w:type="dxa"/>
            <w:noWrap/>
            <w:vAlign w:val="bottom"/>
            <w:hideMark/>
          </w:tcPr>
          <w:p w:rsidR="00415787" w:rsidRDefault="00415787" w:rsidP="006C4A6A">
            <w:pPr>
              <w:jc w:val="center"/>
              <w:rPr>
                <w:rFonts w:ascii="Calibri" w:hAnsi="Calibri"/>
                <w:color w:val="000000"/>
              </w:rPr>
            </w:pPr>
            <w:r>
              <w:rPr>
                <w:rFonts w:ascii="Calibri" w:hAnsi="Calibri"/>
                <w:color w:val="000000"/>
              </w:rPr>
              <w:t>0.971</w:t>
            </w:r>
          </w:p>
        </w:tc>
        <w:tc>
          <w:tcPr>
            <w:tcW w:w="863" w:type="dxa"/>
            <w:noWrap/>
            <w:vAlign w:val="bottom"/>
            <w:hideMark/>
          </w:tcPr>
          <w:p w:rsidR="00415787" w:rsidRDefault="00415787" w:rsidP="006C4A6A">
            <w:pPr>
              <w:jc w:val="center"/>
              <w:rPr>
                <w:rFonts w:ascii="Calibri" w:hAnsi="Calibri"/>
                <w:color w:val="000000"/>
              </w:rPr>
            </w:pPr>
            <w:r>
              <w:rPr>
                <w:rFonts w:ascii="Calibri" w:hAnsi="Calibri"/>
                <w:color w:val="000000"/>
              </w:rPr>
              <w:t>0.953</w:t>
            </w:r>
          </w:p>
        </w:tc>
        <w:tc>
          <w:tcPr>
            <w:tcW w:w="1224" w:type="dxa"/>
            <w:noWrap/>
            <w:vAlign w:val="bottom"/>
            <w:hideMark/>
          </w:tcPr>
          <w:p w:rsidR="00415787" w:rsidRDefault="00415787" w:rsidP="006C4A6A">
            <w:pPr>
              <w:jc w:val="center"/>
              <w:rPr>
                <w:rFonts w:ascii="Calibri" w:hAnsi="Calibri"/>
                <w:color w:val="000000"/>
              </w:rPr>
            </w:pPr>
            <w:r>
              <w:rPr>
                <w:rFonts w:ascii="Calibri" w:hAnsi="Calibri"/>
                <w:color w:val="000000"/>
              </w:rPr>
              <w:t>0.962</w:t>
            </w:r>
          </w:p>
        </w:tc>
      </w:tr>
      <w:tr w:rsidR="00415787" w:rsidRPr="000A3E4E" w:rsidTr="00A537DA">
        <w:trPr>
          <w:trHeight w:val="271"/>
        </w:trPr>
        <w:tc>
          <w:tcPr>
            <w:tcW w:w="1321" w:type="dxa"/>
            <w:noWrap/>
            <w:hideMark/>
          </w:tcPr>
          <w:p w:rsidR="00415787" w:rsidRPr="000A3E4E" w:rsidRDefault="00415787" w:rsidP="006C4A6A">
            <w:pPr>
              <w:jc w:val="center"/>
            </w:pPr>
            <w:r w:rsidRPr="000A3E4E">
              <w:t>10</w:t>
            </w:r>
          </w:p>
        </w:tc>
        <w:tc>
          <w:tcPr>
            <w:tcW w:w="1180" w:type="dxa"/>
            <w:noWrap/>
            <w:vAlign w:val="bottom"/>
            <w:hideMark/>
          </w:tcPr>
          <w:p w:rsidR="00415787" w:rsidRDefault="00415787" w:rsidP="006C4A6A">
            <w:pPr>
              <w:jc w:val="center"/>
              <w:rPr>
                <w:rFonts w:ascii="Calibri" w:hAnsi="Calibri"/>
                <w:color w:val="000000"/>
              </w:rPr>
            </w:pPr>
            <w:r>
              <w:rPr>
                <w:rFonts w:ascii="Calibri" w:hAnsi="Calibri"/>
                <w:color w:val="000000"/>
              </w:rPr>
              <w:t>0.953</w:t>
            </w:r>
          </w:p>
        </w:tc>
        <w:tc>
          <w:tcPr>
            <w:tcW w:w="1190" w:type="dxa"/>
            <w:noWrap/>
            <w:vAlign w:val="bottom"/>
            <w:hideMark/>
          </w:tcPr>
          <w:p w:rsidR="00415787" w:rsidRDefault="00415787" w:rsidP="006C4A6A">
            <w:pPr>
              <w:jc w:val="center"/>
              <w:rPr>
                <w:rFonts w:ascii="Calibri" w:hAnsi="Calibri"/>
                <w:color w:val="000000"/>
              </w:rPr>
            </w:pPr>
            <w:r>
              <w:rPr>
                <w:rFonts w:ascii="Calibri" w:hAnsi="Calibri"/>
                <w:color w:val="000000"/>
              </w:rPr>
              <w:t>0.971</w:t>
            </w:r>
          </w:p>
        </w:tc>
        <w:tc>
          <w:tcPr>
            <w:tcW w:w="863" w:type="dxa"/>
            <w:noWrap/>
            <w:vAlign w:val="bottom"/>
            <w:hideMark/>
          </w:tcPr>
          <w:p w:rsidR="00415787" w:rsidRDefault="00415787" w:rsidP="006C4A6A">
            <w:pPr>
              <w:jc w:val="center"/>
              <w:rPr>
                <w:rFonts w:ascii="Calibri" w:hAnsi="Calibri"/>
                <w:color w:val="000000"/>
              </w:rPr>
            </w:pPr>
            <w:r>
              <w:rPr>
                <w:rFonts w:ascii="Calibri" w:hAnsi="Calibri"/>
                <w:color w:val="000000"/>
              </w:rPr>
              <w:t>0.953</w:t>
            </w:r>
          </w:p>
        </w:tc>
        <w:tc>
          <w:tcPr>
            <w:tcW w:w="1224" w:type="dxa"/>
            <w:noWrap/>
            <w:vAlign w:val="bottom"/>
            <w:hideMark/>
          </w:tcPr>
          <w:p w:rsidR="00415787" w:rsidRDefault="00415787" w:rsidP="006C4A6A">
            <w:pPr>
              <w:jc w:val="center"/>
              <w:rPr>
                <w:rFonts w:ascii="Calibri" w:hAnsi="Calibri"/>
                <w:color w:val="000000"/>
              </w:rPr>
            </w:pPr>
            <w:r>
              <w:rPr>
                <w:rFonts w:ascii="Calibri" w:hAnsi="Calibri"/>
                <w:color w:val="000000"/>
              </w:rPr>
              <w:t>0.962</w:t>
            </w:r>
          </w:p>
        </w:tc>
      </w:tr>
    </w:tbl>
    <w:p w:rsidR="00415787" w:rsidRDefault="00415787" w:rsidP="007F5F48">
      <w:pPr>
        <w:rPr>
          <w:rFonts w:asciiTheme="majorHAnsi" w:hAnsiTheme="majorHAnsi"/>
        </w:rPr>
      </w:pPr>
    </w:p>
    <w:p w:rsidR="00415787" w:rsidRDefault="00415787" w:rsidP="007F5F48">
      <w:pPr>
        <w:rPr>
          <w:rFonts w:asciiTheme="majorHAnsi" w:hAnsiTheme="majorHAnsi"/>
        </w:rPr>
      </w:pPr>
    </w:p>
    <w:p w:rsidR="00415787" w:rsidRDefault="00415787" w:rsidP="007F5F48">
      <w:pPr>
        <w:rPr>
          <w:rFonts w:asciiTheme="majorHAnsi" w:hAnsiTheme="majorHAnsi"/>
        </w:rPr>
      </w:pPr>
    </w:p>
    <w:p w:rsidR="00415787" w:rsidRDefault="00415787" w:rsidP="007F5F48">
      <w:pPr>
        <w:rPr>
          <w:rFonts w:asciiTheme="majorHAnsi" w:hAnsiTheme="majorHAnsi"/>
        </w:rPr>
      </w:pPr>
    </w:p>
    <w:p w:rsidR="00415787" w:rsidRDefault="00415787" w:rsidP="007F5F48">
      <w:pPr>
        <w:rPr>
          <w:rFonts w:asciiTheme="majorHAnsi" w:hAnsiTheme="majorHAnsi"/>
        </w:rPr>
      </w:pPr>
    </w:p>
    <w:p w:rsidR="00415787" w:rsidRDefault="00415787" w:rsidP="007F5F48">
      <w:pPr>
        <w:rPr>
          <w:rFonts w:asciiTheme="majorHAnsi" w:hAnsiTheme="majorHAnsi"/>
        </w:rPr>
      </w:pPr>
    </w:p>
    <w:p w:rsidR="00415787" w:rsidRDefault="00415787" w:rsidP="00415787">
      <w:pPr>
        <w:jc w:val="center"/>
        <w:rPr>
          <w:i/>
        </w:rPr>
      </w:pPr>
      <w:r>
        <w:rPr>
          <w:rFonts w:asciiTheme="majorHAnsi" w:hAnsiTheme="majorHAnsi"/>
        </w:rPr>
        <w:br/>
      </w:r>
      <w:r>
        <w:rPr>
          <w:rFonts w:asciiTheme="majorHAnsi" w:hAnsiTheme="majorHAnsi"/>
        </w:rPr>
        <w:br/>
      </w:r>
      <w:r>
        <w:rPr>
          <w:rFonts w:asciiTheme="majorHAnsi" w:hAnsiTheme="majorHAnsi"/>
        </w:rPr>
        <w:br/>
      </w:r>
      <w:r>
        <w:rPr>
          <w:rFonts w:asciiTheme="majorHAnsi" w:hAnsiTheme="majorHAnsi"/>
        </w:rPr>
        <w:br/>
      </w:r>
      <w:r>
        <w:rPr>
          <w:rFonts w:asciiTheme="majorHAnsi" w:hAnsiTheme="majorHAnsi"/>
        </w:rPr>
        <w:br/>
      </w:r>
      <w:r>
        <w:rPr>
          <w:rFonts w:asciiTheme="majorHAnsi" w:hAnsiTheme="majorHAnsi"/>
        </w:rPr>
        <w:br/>
      </w:r>
      <w:r w:rsidRPr="00572E1C">
        <w:rPr>
          <w:i/>
        </w:rPr>
        <w:t>Table 4: Weka-</w:t>
      </w:r>
      <w:proofErr w:type="spellStart"/>
      <w:r w:rsidRPr="00572E1C">
        <w:rPr>
          <w:i/>
        </w:rPr>
        <w:t>Adaboost</w:t>
      </w:r>
      <w:proofErr w:type="spellEnd"/>
      <w:r w:rsidRPr="00572E1C">
        <w:rPr>
          <w:i/>
        </w:rPr>
        <w:t xml:space="preserve"> </w:t>
      </w:r>
      <w:r w:rsidR="00D80739">
        <w:rPr>
          <w:i/>
        </w:rPr>
        <w:t>KNN</w:t>
      </w:r>
      <w:r w:rsidRPr="00572E1C">
        <w:rPr>
          <w:i/>
        </w:rPr>
        <w:t xml:space="preserve"> based performance measures</w:t>
      </w:r>
    </w:p>
    <w:p w:rsidR="00A26375" w:rsidRDefault="00A26375" w:rsidP="00415787">
      <w:pPr>
        <w:jc w:val="center"/>
        <w:rPr>
          <w:i/>
        </w:rPr>
      </w:pPr>
    </w:p>
    <w:p w:rsidR="00A26375" w:rsidRPr="00415787" w:rsidRDefault="00A26375" w:rsidP="00415787">
      <w:pPr>
        <w:jc w:val="center"/>
        <w:rPr>
          <w:i/>
        </w:rPr>
      </w:pPr>
    </w:p>
    <w:p w:rsidR="007E741E" w:rsidRPr="007E741E" w:rsidRDefault="007E741E" w:rsidP="009A32D7">
      <w:pPr>
        <w:ind w:firstLine="720"/>
      </w:pPr>
      <w:r>
        <w:lastRenderedPageBreak/>
        <w:t xml:space="preserve">The Weka </w:t>
      </w:r>
      <w:proofErr w:type="spellStart"/>
      <w:r>
        <w:t>Adaboost</w:t>
      </w:r>
      <w:proofErr w:type="spellEnd"/>
      <w:r>
        <w:t xml:space="preserve"> implementations performed opposite to our results In terms of which base classifier model performed better. The </w:t>
      </w:r>
      <w:r w:rsidR="00D80739">
        <w:t>KNN</w:t>
      </w:r>
      <w:r>
        <w:t xml:space="preserve"> based </w:t>
      </w:r>
      <w:proofErr w:type="spellStart"/>
      <w:r>
        <w:t>Adaboost</w:t>
      </w:r>
      <w:proofErr w:type="spellEnd"/>
      <w:r>
        <w:t xml:space="preserve"> implementation outperformed the decision tree based model with an average accuracy of 95.6%, average precision of 96.8%, average recall of 96.1%, and an average f-measure of 96.4%. The decision tree based </w:t>
      </w:r>
      <w:proofErr w:type="spellStart"/>
      <w:r>
        <w:t>Adaboost</w:t>
      </w:r>
      <w:proofErr w:type="spellEnd"/>
      <w:r>
        <w:t xml:space="preserve"> implementation had an average accuracy of 94.1%, average precision of 95%, average recall of 95.5%, and an average f-measure of 95.2%. The value of K was fixed to 7 </w:t>
      </w:r>
      <w:r w:rsidR="00A94BED">
        <w:t xml:space="preserve">for the </w:t>
      </w:r>
      <w:r w:rsidR="00D80739">
        <w:t>KNN</w:t>
      </w:r>
      <w:r w:rsidR="00A94BED">
        <w:t xml:space="preserve"> based implementation, as it was in our implementation, for testing purposes. </w:t>
      </w:r>
    </w:p>
    <w:p w:rsidR="00415787" w:rsidRPr="00464DCD" w:rsidRDefault="00464DCD" w:rsidP="00415787">
      <w:pPr>
        <w:jc w:val="center"/>
        <w:rPr>
          <w:i/>
        </w:rPr>
      </w:pPr>
      <w:r>
        <w:rPr>
          <w:noProof/>
        </w:rPr>
        <w:drawing>
          <wp:inline distT="0" distB="0" distL="0" distR="0" wp14:anchorId="425BAE7F" wp14:editId="52421893">
            <wp:extent cx="4300152" cy="3163330"/>
            <wp:effectExtent l="0" t="0" r="24765" b="18415"/>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r w:rsidR="00415787">
        <w:rPr>
          <w:rFonts w:asciiTheme="majorHAnsi" w:hAnsiTheme="majorHAnsi"/>
          <w:b/>
          <w:u w:val="single"/>
        </w:rPr>
        <w:br/>
      </w:r>
      <w:r w:rsidR="00A26375">
        <w:rPr>
          <w:i/>
        </w:rPr>
        <w:t>Figure 9</w:t>
      </w:r>
      <w:r w:rsidR="00415787" w:rsidRPr="00464DCD">
        <w:rPr>
          <w:i/>
        </w:rPr>
        <w:t xml:space="preserve">: Plot of </w:t>
      </w:r>
      <w:r w:rsidR="00415787">
        <w:rPr>
          <w:i/>
        </w:rPr>
        <w:t xml:space="preserve">the </w:t>
      </w:r>
      <w:r w:rsidR="00415787" w:rsidRPr="00464DCD">
        <w:rPr>
          <w:i/>
        </w:rPr>
        <w:t>Weka DT performance measures</w:t>
      </w:r>
    </w:p>
    <w:p w:rsidR="0001591D" w:rsidRDefault="0001591D" w:rsidP="00415787">
      <w:pPr>
        <w:rPr>
          <w:rFonts w:asciiTheme="majorHAnsi" w:hAnsiTheme="majorHAnsi"/>
          <w:b/>
          <w:u w:val="single"/>
        </w:rPr>
      </w:pPr>
    </w:p>
    <w:p w:rsidR="00415787" w:rsidRDefault="00415787" w:rsidP="00415787">
      <w:pPr>
        <w:jc w:val="center"/>
      </w:pPr>
      <w:r>
        <w:rPr>
          <w:noProof/>
        </w:rPr>
        <w:drawing>
          <wp:inline distT="0" distB="0" distL="0" distR="0" wp14:anchorId="3ACD7595" wp14:editId="7724AA2B">
            <wp:extent cx="3592830" cy="2609215"/>
            <wp:effectExtent l="0" t="0" r="26670" b="19685"/>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r>
        <w:rPr>
          <w:rFonts w:asciiTheme="majorHAnsi" w:hAnsiTheme="majorHAnsi"/>
          <w:b/>
          <w:u w:val="single"/>
        </w:rPr>
        <w:br/>
      </w:r>
      <w:r w:rsidR="00A26375">
        <w:t>Figure 10</w:t>
      </w:r>
      <w:r>
        <w:t xml:space="preserve">: Plot of the Weka </w:t>
      </w:r>
      <w:r w:rsidR="00D80739">
        <w:t>KNN</w:t>
      </w:r>
      <w:r>
        <w:t xml:space="preserve"> performance measures</w:t>
      </w:r>
    </w:p>
    <w:p w:rsidR="00B130C5" w:rsidRPr="00413323" w:rsidRDefault="00413323" w:rsidP="00415787">
      <w:pPr>
        <w:ind w:firstLine="720"/>
      </w:pPr>
      <w:r>
        <w:lastRenderedPageBreak/>
        <w:t xml:space="preserve">Once again the performance trends in the decision based model follow expectations, as we increase the number of boosting rounds the performance measures increase. Here they decline slightly and then </w:t>
      </w:r>
      <w:r w:rsidR="00C95CA4">
        <w:t>begin to level off, giving a plot which looks like a local maxim</w:t>
      </w:r>
      <w:r w:rsidR="00A62E30">
        <w:t xml:space="preserve">a. The Weka </w:t>
      </w:r>
      <w:r w:rsidR="00D80739">
        <w:t>KNN</w:t>
      </w:r>
      <w:r w:rsidR="00A26375">
        <w:t xml:space="preserve"> plot in figure 10</w:t>
      </w:r>
      <w:r w:rsidR="00C95CA4">
        <w:t xml:space="preserve"> was surprising, the models best performance were once again found at the lower boosting rounds. The results then dip, and after the 4</w:t>
      </w:r>
      <w:r w:rsidR="00C95CA4" w:rsidRPr="00C95CA4">
        <w:rPr>
          <w:vertAlign w:val="superscript"/>
        </w:rPr>
        <w:t>th</w:t>
      </w:r>
      <w:r w:rsidR="00C95CA4">
        <w:t xml:space="preserve"> boosting round they remain completely static. </w:t>
      </w:r>
    </w:p>
    <w:tbl>
      <w:tblPr>
        <w:tblStyle w:val="TableGrid"/>
        <w:tblW w:w="0" w:type="auto"/>
        <w:tblLook w:val="04A0" w:firstRow="1" w:lastRow="0" w:firstColumn="1" w:lastColumn="0" w:noHBand="0" w:noVBand="1"/>
      </w:tblPr>
      <w:tblGrid>
        <w:gridCol w:w="1458"/>
        <w:gridCol w:w="1620"/>
        <w:gridCol w:w="2160"/>
        <w:gridCol w:w="2160"/>
        <w:gridCol w:w="2178"/>
      </w:tblGrid>
      <w:tr w:rsidR="0013674C" w:rsidTr="0013674C">
        <w:tc>
          <w:tcPr>
            <w:tcW w:w="1458" w:type="dxa"/>
          </w:tcPr>
          <w:p w:rsidR="0013674C" w:rsidRPr="0013674C" w:rsidRDefault="0013674C" w:rsidP="0013674C">
            <w:pPr>
              <w:jc w:val="center"/>
              <w:rPr>
                <w:b/>
              </w:rPr>
            </w:pPr>
            <w:r w:rsidRPr="0013674C">
              <w:rPr>
                <w:b/>
              </w:rPr>
              <w:t>Model</w:t>
            </w:r>
          </w:p>
        </w:tc>
        <w:tc>
          <w:tcPr>
            <w:tcW w:w="1620" w:type="dxa"/>
          </w:tcPr>
          <w:p w:rsidR="0013674C" w:rsidRPr="0013674C" w:rsidRDefault="0013674C" w:rsidP="0013674C">
            <w:pPr>
              <w:jc w:val="center"/>
              <w:rPr>
                <w:b/>
              </w:rPr>
            </w:pPr>
            <w:proofErr w:type="spellStart"/>
            <w:r>
              <w:rPr>
                <w:b/>
              </w:rPr>
              <w:t>Adaboost</w:t>
            </w:r>
            <w:proofErr w:type="spellEnd"/>
            <w:r>
              <w:rPr>
                <w:b/>
              </w:rPr>
              <w:t>-DT</w:t>
            </w:r>
          </w:p>
        </w:tc>
        <w:tc>
          <w:tcPr>
            <w:tcW w:w="2160" w:type="dxa"/>
          </w:tcPr>
          <w:p w:rsidR="0013674C" w:rsidRPr="0013674C" w:rsidRDefault="0013674C" w:rsidP="0013674C">
            <w:pPr>
              <w:jc w:val="center"/>
              <w:rPr>
                <w:b/>
              </w:rPr>
            </w:pPr>
            <w:proofErr w:type="spellStart"/>
            <w:r>
              <w:rPr>
                <w:b/>
              </w:rPr>
              <w:t>Adaboost</w:t>
            </w:r>
            <w:proofErr w:type="spellEnd"/>
            <w:r>
              <w:rPr>
                <w:b/>
              </w:rPr>
              <w:t>-KNN</w:t>
            </w:r>
          </w:p>
        </w:tc>
        <w:tc>
          <w:tcPr>
            <w:tcW w:w="2160" w:type="dxa"/>
          </w:tcPr>
          <w:p w:rsidR="0013674C" w:rsidRPr="0013674C" w:rsidRDefault="0013674C" w:rsidP="0013674C">
            <w:pPr>
              <w:jc w:val="center"/>
              <w:rPr>
                <w:b/>
              </w:rPr>
            </w:pPr>
            <w:r>
              <w:rPr>
                <w:b/>
              </w:rPr>
              <w:t>Weka-</w:t>
            </w:r>
            <w:proofErr w:type="spellStart"/>
            <w:r>
              <w:rPr>
                <w:b/>
              </w:rPr>
              <w:t>Adaboost</w:t>
            </w:r>
            <w:proofErr w:type="spellEnd"/>
            <w:r>
              <w:rPr>
                <w:b/>
              </w:rPr>
              <w:t>-DT</w:t>
            </w:r>
          </w:p>
        </w:tc>
        <w:tc>
          <w:tcPr>
            <w:tcW w:w="2178" w:type="dxa"/>
          </w:tcPr>
          <w:p w:rsidR="0013674C" w:rsidRPr="0013674C" w:rsidRDefault="0013674C" w:rsidP="0013674C">
            <w:pPr>
              <w:jc w:val="center"/>
              <w:rPr>
                <w:b/>
              </w:rPr>
            </w:pPr>
            <w:r>
              <w:rPr>
                <w:b/>
              </w:rPr>
              <w:t>Weka-</w:t>
            </w:r>
            <w:proofErr w:type="spellStart"/>
            <w:r>
              <w:rPr>
                <w:b/>
              </w:rPr>
              <w:t>Adaboost</w:t>
            </w:r>
            <w:proofErr w:type="spellEnd"/>
            <w:r>
              <w:rPr>
                <w:b/>
              </w:rPr>
              <w:t>-KNN</w:t>
            </w:r>
          </w:p>
        </w:tc>
      </w:tr>
      <w:tr w:rsidR="0013674C" w:rsidTr="0037451B">
        <w:tc>
          <w:tcPr>
            <w:tcW w:w="1458" w:type="dxa"/>
          </w:tcPr>
          <w:p w:rsidR="0013674C" w:rsidRDefault="0013674C" w:rsidP="0013674C">
            <w:pPr>
              <w:jc w:val="center"/>
            </w:pPr>
            <w:r>
              <w:t>Accuracy</w:t>
            </w:r>
          </w:p>
        </w:tc>
        <w:tc>
          <w:tcPr>
            <w:tcW w:w="1620" w:type="dxa"/>
            <w:vAlign w:val="bottom"/>
          </w:tcPr>
          <w:p w:rsidR="0013674C" w:rsidRDefault="0013674C" w:rsidP="0013674C">
            <w:pPr>
              <w:jc w:val="center"/>
              <w:rPr>
                <w:rFonts w:ascii="Calibri" w:hAnsi="Calibri"/>
                <w:color w:val="000000"/>
              </w:rPr>
            </w:pPr>
            <w:r>
              <w:rPr>
                <w:rFonts w:ascii="Calibri" w:hAnsi="Calibri"/>
                <w:color w:val="000000"/>
              </w:rPr>
              <w:t>0.945</w:t>
            </w:r>
          </w:p>
        </w:tc>
        <w:tc>
          <w:tcPr>
            <w:tcW w:w="2160" w:type="dxa"/>
            <w:vAlign w:val="bottom"/>
          </w:tcPr>
          <w:p w:rsidR="0013674C" w:rsidRDefault="0013674C" w:rsidP="0013674C">
            <w:pPr>
              <w:jc w:val="center"/>
              <w:rPr>
                <w:rFonts w:ascii="Calibri" w:hAnsi="Calibri"/>
                <w:color w:val="000000"/>
              </w:rPr>
            </w:pPr>
            <w:r>
              <w:rPr>
                <w:rFonts w:ascii="Calibri" w:hAnsi="Calibri"/>
                <w:color w:val="000000"/>
              </w:rPr>
              <w:t>0.935</w:t>
            </w:r>
          </w:p>
        </w:tc>
        <w:tc>
          <w:tcPr>
            <w:tcW w:w="2160" w:type="dxa"/>
            <w:vAlign w:val="bottom"/>
          </w:tcPr>
          <w:p w:rsidR="0013674C" w:rsidRDefault="0013674C" w:rsidP="0013674C">
            <w:pPr>
              <w:jc w:val="center"/>
              <w:rPr>
                <w:rFonts w:ascii="Calibri" w:hAnsi="Calibri"/>
                <w:color w:val="000000"/>
              </w:rPr>
            </w:pPr>
            <w:r>
              <w:rPr>
                <w:rFonts w:ascii="Calibri" w:hAnsi="Calibri"/>
                <w:color w:val="000000"/>
              </w:rPr>
              <w:t>0.941</w:t>
            </w:r>
          </w:p>
        </w:tc>
        <w:tc>
          <w:tcPr>
            <w:tcW w:w="2178" w:type="dxa"/>
            <w:vAlign w:val="bottom"/>
          </w:tcPr>
          <w:p w:rsidR="0013674C" w:rsidRDefault="0013674C" w:rsidP="0013674C">
            <w:pPr>
              <w:jc w:val="center"/>
              <w:rPr>
                <w:rFonts w:ascii="Calibri" w:hAnsi="Calibri"/>
                <w:color w:val="000000"/>
              </w:rPr>
            </w:pPr>
            <w:r>
              <w:rPr>
                <w:rFonts w:ascii="Calibri" w:hAnsi="Calibri"/>
                <w:color w:val="000000"/>
              </w:rPr>
              <w:t>0.956</w:t>
            </w:r>
          </w:p>
        </w:tc>
      </w:tr>
      <w:tr w:rsidR="0013674C" w:rsidTr="0037451B">
        <w:tc>
          <w:tcPr>
            <w:tcW w:w="1458" w:type="dxa"/>
          </w:tcPr>
          <w:p w:rsidR="0013674C" w:rsidRDefault="0013674C" w:rsidP="0013674C">
            <w:pPr>
              <w:jc w:val="center"/>
            </w:pPr>
            <w:r>
              <w:t>Precision</w:t>
            </w:r>
          </w:p>
        </w:tc>
        <w:tc>
          <w:tcPr>
            <w:tcW w:w="1620" w:type="dxa"/>
            <w:vAlign w:val="bottom"/>
          </w:tcPr>
          <w:p w:rsidR="0013674C" w:rsidRDefault="0013674C" w:rsidP="0013674C">
            <w:pPr>
              <w:jc w:val="center"/>
              <w:rPr>
                <w:rFonts w:ascii="Calibri" w:hAnsi="Calibri"/>
                <w:color w:val="000000"/>
              </w:rPr>
            </w:pPr>
            <w:r>
              <w:rPr>
                <w:rFonts w:ascii="Calibri" w:hAnsi="Calibri"/>
                <w:color w:val="000000"/>
              </w:rPr>
              <w:t>0.945</w:t>
            </w:r>
          </w:p>
        </w:tc>
        <w:tc>
          <w:tcPr>
            <w:tcW w:w="2160" w:type="dxa"/>
            <w:vAlign w:val="bottom"/>
          </w:tcPr>
          <w:p w:rsidR="0013674C" w:rsidRDefault="0013674C" w:rsidP="0013674C">
            <w:pPr>
              <w:jc w:val="center"/>
              <w:rPr>
                <w:rFonts w:ascii="Calibri" w:hAnsi="Calibri"/>
                <w:color w:val="000000"/>
              </w:rPr>
            </w:pPr>
            <w:r>
              <w:rPr>
                <w:rFonts w:ascii="Calibri" w:hAnsi="Calibri"/>
                <w:color w:val="000000"/>
              </w:rPr>
              <w:t>0.947</w:t>
            </w:r>
          </w:p>
        </w:tc>
        <w:tc>
          <w:tcPr>
            <w:tcW w:w="2160" w:type="dxa"/>
            <w:vAlign w:val="bottom"/>
          </w:tcPr>
          <w:p w:rsidR="0013674C" w:rsidRDefault="0013674C" w:rsidP="0013674C">
            <w:pPr>
              <w:jc w:val="center"/>
              <w:rPr>
                <w:rFonts w:ascii="Calibri" w:hAnsi="Calibri"/>
                <w:color w:val="000000"/>
              </w:rPr>
            </w:pPr>
            <w:r>
              <w:rPr>
                <w:rFonts w:ascii="Calibri" w:hAnsi="Calibri"/>
                <w:color w:val="000000"/>
              </w:rPr>
              <w:t>0.950</w:t>
            </w:r>
          </w:p>
        </w:tc>
        <w:tc>
          <w:tcPr>
            <w:tcW w:w="2178" w:type="dxa"/>
            <w:vAlign w:val="bottom"/>
          </w:tcPr>
          <w:p w:rsidR="0013674C" w:rsidRDefault="0013674C" w:rsidP="0013674C">
            <w:pPr>
              <w:jc w:val="center"/>
              <w:rPr>
                <w:rFonts w:ascii="Calibri" w:hAnsi="Calibri"/>
                <w:color w:val="000000"/>
              </w:rPr>
            </w:pPr>
            <w:r>
              <w:rPr>
                <w:rFonts w:ascii="Calibri" w:hAnsi="Calibri"/>
                <w:color w:val="000000"/>
              </w:rPr>
              <w:t>0.968</w:t>
            </w:r>
          </w:p>
        </w:tc>
      </w:tr>
      <w:tr w:rsidR="0013674C" w:rsidTr="0037451B">
        <w:tc>
          <w:tcPr>
            <w:tcW w:w="1458" w:type="dxa"/>
          </w:tcPr>
          <w:p w:rsidR="0013674C" w:rsidRDefault="0013674C" w:rsidP="0013674C">
            <w:pPr>
              <w:jc w:val="center"/>
            </w:pPr>
            <w:r>
              <w:t>Recall</w:t>
            </w:r>
          </w:p>
        </w:tc>
        <w:tc>
          <w:tcPr>
            <w:tcW w:w="1620" w:type="dxa"/>
            <w:vAlign w:val="bottom"/>
          </w:tcPr>
          <w:p w:rsidR="0013674C" w:rsidRDefault="0013674C" w:rsidP="0013674C">
            <w:pPr>
              <w:jc w:val="center"/>
              <w:rPr>
                <w:rFonts w:ascii="Calibri" w:hAnsi="Calibri"/>
                <w:color w:val="000000"/>
              </w:rPr>
            </w:pPr>
            <w:r>
              <w:rPr>
                <w:rFonts w:ascii="Calibri" w:hAnsi="Calibri"/>
                <w:color w:val="000000"/>
              </w:rPr>
              <w:t>0.966</w:t>
            </w:r>
          </w:p>
        </w:tc>
        <w:tc>
          <w:tcPr>
            <w:tcW w:w="2160" w:type="dxa"/>
            <w:vAlign w:val="bottom"/>
          </w:tcPr>
          <w:p w:rsidR="0013674C" w:rsidRDefault="0013674C" w:rsidP="0013674C">
            <w:pPr>
              <w:jc w:val="center"/>
              <w:rPr>
                <w:rFonts w:ascii="Calibri" w:hAnsi="Calibri"/>
                <w:color w:val="000000"/>
              </w:rPr>
            </w:pPr>
            <w:r>
              <w:rPr>
                <w:rFonts w:ascii="Calibri" w:hAnsi="Calibri"/>
                <w:color w:val="000000"/>
              </w:rPr>
              <w:t>0.950</w:t>
            </w:r>
          </w:p>
        </w:tc>
        <w:tc>
          <w:tcPr>
            <w:tcW w:w="2160" w:type="dxa"/>
            <w:vAlign w:val="bottom"/>
          </w:tcPr>
          <w:p w:rsidR="0013674C" w:rsidRDefault="0013674C" w:rsidP="0013674C">
            <w:pPr>
              <w:jc w:val="center"/>
              <w:rPr>
                <w:rFonts w:ascii="Calibri" w:hAnsi="Calibri"/>
                <w:color w:val="000000"/>
              </w:rPr>
            </w:pPr>
            <w:r>
              <w:rPr>
                <w:rFonts w:ascii="Calibri" w:hAnsi="Calibri"/>
                <w:color w:val="000000"/>
              </w:rPr>
              <w:t>0.955</w:t>
            </w:r>
          </w:p>
        </w:tc>
        <w:tc>
          <w:tcPr>
            <w:tcW w:w="2178" w:type="dxa"/>
            <w:vAlign w:val="bottom"/>
          </w:tcPr>
          <w:p w:rsidR="0013674C" w:rsidRDefault="0013674C" w:rsidP="0013674C">
            <w:pPr>
              <w:jc w:val="center"/>
              <w:rPr>
                <w:rFonts w:ascii="Calibri" w:hAnsi="Calibri"/>
                <w:color w:val="000000"/>
              </w:rPr>
            </w:pPr>
            <w:r>
              <w:rPr>
                <w:rFonts w:ascii="Calibri" w:hAnsi="Calibri"/>
                <w:color w:val="000000"/>
              </w:rPr>
              <w:t>0.961</w:t>
            </w:r>
          </w:p>
        </w:tc>
      </w:tr>
      <w:tr w:rsidR="0013674C" w:rsidTr="0037451B">
        <w:tc>
          <w:tcPr>
            <w:tcW w:w="1458" w:type="dxa"/>
          </w:tcPr>
          <w:p w:rsidR="0013674C" w:rsidRDefault="0013674C" w:rsidP="0013674C">
            <w:pPr>
              <w:jc w:val="center"/>
            </w:pPr>
            <w:r>
              <w:t>F-Measure</w:t>
            </w:r>
          </w:p>
        </w:tc>
        <w:tc>
          <w:tcPr>
            <w:tcW w:w="1620" w:type="dxa"/>
            <w:vAlign w:val="bottom"/>
          </w:tcPr>
          <w:p w:rsidR="0013674C" w:rsidRDefault="0013674C" w:rsidP="0013674C">
            <w:pPr>
              <w:jc w:val="center"/>
              <w:rPr>
                <w:rFonts w:ascii="Calibri" w:hAnsi="Calibri"/>
                <w:color w:val="000000"/>
              </w:rPr>
            </w:pPr>
            <w:r>
              <w:rPr>
                <w:rFonts w:ascii="Calibri" w:hAnsi="Calibri"/>
                <w:color w:val="000000"/>
              </w:rPr>
              <w:t>0.955</w:t>
            </w:r>
          </w:p>
        </w:tc>
        <w:tc>
          <w:tcPr>
            <w:tcW w:w="2160" w:type="dxa"/>
            <w:vAlign w:val="bottom"/>
          </w:tcPr>
          <w:p w:rsidR="0013674C" w:rsidRDefault="0013674C" w:rsidP="0013674C">
            <w:pPr>
              <w:jc w:val="center"/>
              <w:rPr>
                <w:rFonts w:ascii="Calibri" w:hAnsi="Calibri"/>
                <w:color w:val="000000"/>
              </w:rPr>
            </w:pPr>
            <w:r>
              <w:rPr>
                <w:rFonts w:ascii="Calibri" w:hAnsi="Calibri"/>
                <w:color w:val="000000"/>
              </w:rPr>
              <w:t>0.948</w:t>
            </w:r>
          </w:p>
        </w:tc>
        <w:tc>
          <w:tcPr>
            <w:tcW w:w="2160" w:type="dxa"/>
            <w:vAlign w:val="bottom"/>
          </w:tcPr>
          <w:p w:rsidR="0013674C" w:rsidRDefault="0013674C" w:rsidP="0013674C">
            <w:pPr>
              <w:jc w:val="center"/>
              <w:rPr>
                <w:rFonts w:ascii="Calibri" w:hAnsi="Calibri"/>
                <w:color w:val="000000"/>
              </w:rPr>
            </w:pPr>
            <w:r>
              <w:rPr>
                <w:rFonts w:ascii="Calibri" w:hAnsi="Calibri"/>
                <w:color w:val="000000"/>
              </w:rPr>
              <w:t>0.952</w:t>
            </w:r>
          </w:p>
        </w:tc>
        <w:tc>
          <w:tcPr>
            <w:tcW w:w="2178" w:type="dxa"/>
            <w:vAlign w:val="bottom"/>
          </w:tcPr>
          <w:p w:rsidR="0013674C" w:rsidRDefault="0013674C" w:rsidP="0013674C">
            <w:pPr>
              <w:jc w:val="center"/>
              <w:rPr>
                <w:rFonts w:ascii="Calibri" w:hAnsi="Calibri"/>
                <w:color w:val="000000"/>
              </w:rPr>
            </w:pPr>
            <w:r>
              <w:rPr>
                <w:rFonts w:ascii="Calibri" w:hAnsi="Calibri"/>
                <w:color w:val="000000"/>
              </w:rPr>
              <w:t>0.964</w:t>
            </w:r>
          </w:p>
        </w:tc>
      </w:tr>
    </w:tbl>
    <w:p w:rsidR="00464DCD" w:rsidRPr="0013674C" w:rsidRDefault="0013674C" w:rsidP="0013674C">
      <w:pPr>
        <w:jc w:val="center"/>
        <w:rPr>
          <w:i/>
        </w:rPr>
      </w:pPr>
      <w:r>
        <w:rPr>
          <w:i/>
        </w:rPr>
        <w:t>Table 5: Summary of the average performance measures for all models tested</w:t>
      </w:r>
    </w:p>
    <w:p w:rsidR="0001591D" w:rsidRPr="00811252" w:rsidRDefault="00811252" w:rsidP="007F5F48">
      <w:r>
        <w:tab/>
        <w:t xml:space="preserve">Overall our decision tree based implementation outperformed the Weka decision tree based implementation. Our model had a higher average accuracy, average recall, and average f-measure. The Weka </w:t>
      </w:r>
      <w:r w:rsidR="00D80739">
        <w:t>KNN</w:t>
      </w:r>
      <w:r>
        <w:t xml:space="preserve"> based implementation outperformed our </w:t>
      </w:r>
      <w:r w:rsidR="00D80739">
        <w:t>KNN</w:t>
      </w:r>
      <w:r>
        <w:t xml:space="preserve"> implementation in every category. </w:t>
      </w:r>
      <w:r w:rsidR="0079153E">
        <w:t xml:space="preserve">The best model </w:t>
      </w:r>
      <w:r w:rsidR="00D63BCD">
        <w:t xml:space="preserve">on average </w:t>
      </w:r>
      <w:r w:rsidR="0079153E">
        <w:t xml:space="preserve">was the Weka </w:t>
      </w:r>
      <w:proofErr w:type="spellStart"/>
      <w:r w:rsidR="0079153E">
        <w:t>Adaboost</w:t>
      </w:r>
      <w:proofErr w:type="spellEnd"/>
      <w:r w:rsidR="0079153E">
        <w:t xml:space="preserve"> implementation using a </w:t>
      </w:r>
      <w:r w:rsidR="00D80739">
        <w:t>KNN</w:t>
      </w:r>
      <w:r w:rsidR="0079153E">
        <w:t xml:space="preserve"> base classifier with k = 7 and a boosting round of either 1 or 2. </w:t>
      </w:r>
    </w:p>
    <w:p w:rsidR="00415787" w:rsidRDefault="00415787" w:rsidP="007F5F48">
      <w:pPr>
        <w:rPr>
          <w:rFonts w:asciiTheme="majorHAnsi" w:hAnsiTheme="majorHAnsi"/>
          <w:b/>
          <w:u w:val="single"/>
        </w:rPr>
      </w:pPr>
    </w:p>
    <w:p w:rsidR="00415787" w:rsidRDefault="00415787" w:rsidP="007F5F48">
      <w:pPr>
        <w:rPr>
          <w:rFonts w:asciiTheme="majorHAnsi" w:hAnsiTheme="majorHAnsi"/>
          <w:b/>
          <w:u w:val="single"/>
        </w:rPr>
      </w:pPr>
    </w:p>
    <w:p w:rsidR="00415787" w:rsidRDefault="00415787" w:rsidP="007F5F48">
      <w:pPr>
        <w:rPr>
          <w:rFonts w:asciiTheme="majorHAnsi" w:hAnsiTheme="majorHAnsi"/>
          <w:b/>
          <w:u w:val="single"/>
        </w:rPr>
      </w:pPr>
    </w:p>
    <w:p w:rsidR="00415787" w:rsidRDefault="00415787" w:rsidP="007F5F48">
      <w:pPr>
        <w:rPr>
          <w:rFonts w:asciiTheme="majorHAnsi" w:hAnsiTheme="majorHAnsi"/>
          <w:b/>
          <w:u w:val="single"/>
        </w:rPr>
      </w:pPr>
    </w:p>
    <w:p w:rsidR="00415787" w:rsidRDefault="00415787" w:rsidP="007F5F48">
      <w:pPr>
        <w:rPr>
          <w:rFonts w:asciiTheme="majorHAnsi" w:hAnsiTheme="majorHAnsi"/>
          <w:b/>
          <w:u w:val="single"/>
        </w:rPr>
      </w:pPr>
    </w:p>
    <w:p w:rsidR="00415787" w:rsidRDefault="00415787" w:rsidP="007F5F48">
      <w:pPr>
        <w:rPr>
          <w:rFonts w:asciiTheme="majorHAnsi" w:hAnsiTheme="majorHAnsi"/>
          <w:b/>
          <w:u w:val="single"/>
        </w:rPr>
      </w:pPr>
    </w:p>
    <w:p w:rsidR="00A26375" w:rsidRDefault="00A26375" w:rsidP="007F5F48">
      <w:pPr>
        <w:rPr>
          <w:rFonts w:asciiTheme="majorHAnsi" w:hAnsiTheme="majorHAnsi"/>
          <w:b/>
          <w:u w:val="single"/>
        </w:rPr>
      </w:pPr>
    </w:p>
    <w:p w:rsidR="00A26375" w:rsidRDefault="00A26375" w:rsidP="007F5F48">
      <w:pPr>
        <w:rPr>
          <w:rFonts w:asciiTheme="majorHAnsi" w:hAnsiTheme="majorHAnsi"/>
          <w:b/>
          <w:u w:val="single"/>
        </w:rPr>
      </w:pPr>
    </w:p>
    <w:p w:rsidR="00A26375" w:rsidRDefault="00A26375" w:rsidP="007F5F48">
      <w:pPr>
        <w:rPr>
          <w:rFonts w:asciiTheme="majorHAnsi" w:hAnsiTheme="majorHAnsi"/>
          <w:b/>
          <w:u w:val="single"/>
        </w:rPr>
      </w:pPr>
    </w:p>
    <w:p w:rsidR="00A26375" w:rsidRDefault="00A26375" w:rsidP="007F5F48">
      <w:pPr>
        <w:rPr>
          <w:rFonts w:asciiTheme="majorHAnsi" w:hAnsiTheme="majorHAnsi"/>
          <w:b/>
          <w:u w:val="single"/>
        </w:rPr>
      </w:pPr>
    </w:p>
    <w:p w:rsidR="00A26375" w:rsidRDefault="00A26375" w:rsidP="007F5F48">
      <w:pPr>
        <w:rPr>
          <w:rFonts w:asciiTheme="majorHAnsi" w:hAnsiTheme="majorHAnsi"/>
          <w:b/>
          <w:u w:val="single"/>
        </w:rPr>
      </w:pPr>
    </w:p>
    <w:p w:rsidR="00A26375" w:rsidRDefault="00A26375" w:rsidP="007F5F48">
      <w:pPr>
        <w:rPr>
          <w:rFonts w:asciiTheme="majorHAnsi" w:hAnsiTheme="majorHAnsi"/>
          <w:b/>
          <w:u w:val="single"/>
        </w:rPr>
      </w:pPr>
    </w:p>
    <w:p w:rsidR="00A26375" w:rsidRDefault="00A26375" w:rsidP="007F5F48">
      <w:pPr>
        <w:rPr>
          <w:rFonts w:asciiTheme="majorHAnsi" w:hAnsiTheme="majorHAnsi"/>
          <w:b/>
          <w:u w:val="single"/>
        </w:rPr>
      </w:pPr>
    </w:p>
    <w:p w:rsidR="00A26375" w:rsidRDefault="00A26375" w:rsidP="007F5F48">
      <w:pPr>
        <w:rPr>
          <w:rFonts w:asciiTheme="majorHAnsi" w:hAnsiTheme="majorHAnsi"/>
          <w:b/>
          <w:u w:val="single"/>
        </w:rPr>
      </w:pPr>
    </w:p>
    <w:p w:rsidR="00A26375" w:rsidRDefault="00A26375" w:rsidP="007F5F48">
      <w:pPr>
        <w:rPr>
          <w:rFonts w:asciiTheme="majorHAnsi" w:hAnsiTheme="majorHAnsi"/>
          <w:b/>
          <w:u w:val="single"/>
        </w:rPr>
      </w:pPr>
    </w:p>
    <w:p w:rsidR="007F5F48" w:rsidRDefault="007F5F48" w:rsidP="007F5F48">
      <w:pPr>
        <w:rPr>
          <w:rFonts w:asciiTheme="majorHAnsi" w:hAnsiTheme="majorHAnsi"/>
          <w:b/>
          <w:u w:val="single"/>
        </w:rPr>
      </w:pPr>
      <w:r>
        <w:rPr>
          <w:rFonts w:asciiTheme="majorHAnsi" w:hAnsiTheme="majorHAnsi"/>
          <w:b/>
          <w:u w:val="single"/>
        </w:rPr>
        <w:lastRenderedPageBreak/>
        <w:t>Conclusion</w:t>
      </w:r>
    </w:p>
    <w:p w:rsidR="00D80739" w:rsidRDefault="0072583B" w:rsidP="007F5F48">
      <w:r>
        <w:tab/>
      </w:r>
      <w:r w:rsidR="000911F1">
        <w:t xml:space="preserve">The project was a success overall, we were able to implement the </w:t>
      </w:r>
      <w:proofErr w:type="spellStart"/>
      <w:r w:rsidR="000911F1">
        <w:t>Adaboost</w:t>
      </w:r>
      <w:proofErr w:type="spellEnd"/>
      <w:r w:rsidR="000911F1">
        <w:t xml:space="preserve"> algorithm based on two different classifiers and then compare our results against an off the shelf implementation from Weka. </w:t>
      </w:r>
      <w:r w:rsidR="00D80739">
        <w:t>So can we determine if a tumor is benign or malignant from a digitized image? The answer appears to be yes, o</w:t>
      </w:r>
      <w:r w:rsidR="000911F1">
        <w:t xml:space="preserve">ur ensemble learner models were able to accurately classify the type of tumor between 90.6%-96.9% of the time. </w:t>
      </w:r>
      <w:r w:rsidR="00D80739">
        <w:t xml:space="preserve">Which base classifier was better within the </w:t>
      </w:r>
      <w:proofErr w:type="spellStart"/>
      <w:r w:rsidR="00D80739">
        <w:t>Adaboost</w:t>
      </w:r>
      <w:proofErr w:type="spellEnd"/>
      <w:r w:rsidR="00D80739">
        <w:t xml:space="preserve"> framework? In our implementation the decision tree models worked best, but with the Weka</w:t>
      </w:r>
      <w:r w:rsidR="00B744CF">
        <w:t xml:space="preserve"> </w:t>
      </w:r>
      <w:proofErr w:type="spellStart"/>
      <w:r w:rsidR="00B744CF">
        <w:t>Adaboost</w:t>
      </w:r>
      <w:proofErr w:type="spellEnd"/>
      <w:r w:rsidR="00B744CF">
        <w:t xml:space="preserve"> implementation the KNN models came out ahead.</w:t>
      </w:r>
    </w:p>
    <w:p w:rsidR="00B46679" w:rsidRDefault="000911F1" w:rsidP="00B744CF">
      <w:pPr>
        <w:ind w:firstLine="720"/>
      </w:pPr>
      <w:r>
        <w:t xml:space="preserve">Given our results I </w:t>
      </w:r>
      <w:r w:rsidR="00D63BCD">
        <w:t xml:space="preserve">would recommend the Weka </w:t>
      </w:r>
      <w:proofErr w:type="spellStart"/>
      <w:r w:rsidR="00D63BCD">
        <w:t>Adaboost</w:t>
      </w:r>
      <w:proofErr w:type="spellEnd"/>
      <w:r w:rsidR="00D63BCD">
        <w:t xml:space="preserve"> implementation using a </w:t>
      </w:r>
      <w:r w:rsidR="00D80739">
        <w:t>KNN</w:t>
      </w:r>
      <w:r w:rsidR="00D63BCD">
        <w:t xml:space="preserve"> base classifier with k = 7 and a boosting round of either 1 or 2. Our decision tree model came with 0.1% of the best model in terms of accuracy, which was an off the shelf implementation, for our first attempt at implementing the </w:t>
      </w:r>
      <w:proofErr w:type="spellStart"/>
      <w:r w:rsidR="00D63BCD">
        <w:t>Adaboost</w:t>
      </w:r>
      <w:proofErr w:type="spellEnd"/>
      <w:r w:rsidR="00D63BCD">
        <w:t xml:space="preserve"> algorithm we felt it was successful.  </w:t>
      </w:r>
      <w:bookmarkStart w:id="0" w:name="_GoBack"/>
      <w:bookmarkEnd w:id="0"/>
    </w:p>
    <w:p w:rsidR="00703A76" w:rsidRPr="0072583B" w:rsidRDefault="00703A76" w:rsidP="007F5F48">
      <w:r>
        <w:tab/>
        <w:t xml:space="preserve">It was unclear how the Weka </w:t>
      </w:r>
      <w:proofErr w:type="spellStart"/>
      <w:r>
        <w:t>Adaboost</w:t>
      </w:r>
      <w:proofErr w:type="spellEnd"/>
      <w:r>
        <w:t xml:space="preserve"> implementations were selecting their training and test sets. With their software package you are able to select a percentage of your total data set for the models training, and the remainder is set aside for testing. Retraining the model with the same parameters always returned the same values for the performance measures. Their sampling </w:t>
      </w:r>
      <w:r w:rsidR="00B52F1D">
        <w:t>procedure</w:t>
      </w:r>
      <w:r>
        <w:t xml:space="preserve"> </w:t>
      </w:r>
      <w:r w:rsidR="00B52F1D">
        <w:t>might be</w:t>
      </w:r>
      <w:r>
        <w:t xml:space="preserve"> a stratified </w:t>
      </w:r>
      <w:r w:rsidR="00B52F1D">
        <w:t xml:space="preserve">implementation, which may generate better training sets then our implementation. We choose to merely shuffle the complete data set once before the boosting rounds, and then build the training sets.  </w:t>
      </w:r>
      <w:r>
        <w:t xml:space="preserve"> </w:t>
      </w:r>
    </w:p>
    <w:p w:rsidR="00B46679" w:rsidRPr="00331C49" w:rsidRDefault="00331C49" w:rsidP="007F5F48">
      <w:r>
        <w:tab/>
        <w:t xml:space="preserve">At first the trend in both </w:t>
      </w:r>
      <w:r w:rsidR="00D80739">
        <w:t>KNN</w:t>
      </w:r>
      <w:r>
        <w:t xml:space="preserve"> based ensemble learners confused me, where performance measures in early boosting rounds outperformed later boosting rounds. </w:t>
      </w:r>
      <w:r w:rsidR="00657F74">
        <w:t xml:space="preserve">Upon further review this makes sense as we increase misclassified samples weight’s over the course of boosting rounds, later classifiers in the ensemble will have the same problem due to the fixed value of K. The training samples will have a high amount of misclassified samples, many with the same K neighbors that caused the misclassification in the first place. One potential solution to this problem would be to reduce the value of K when the performance of the ensemble stabilizes.   </w:t>
      </w:r>
    </w:p>
    <w:p w:rsidR="00A85E30" w:rsidRDefault="00FB614F" w:rsidP="007F5F48">
      <w:r>
        <w:tab/>
        <w:t xml:space="preserve">If this project were to continue we would implement a better sampling procedure based on stratified sampling. We would also implement a dynamic K value for the </w:t>
      </w:r>
      <w:r w:rsidR="00D80739">
        <w:t>KNN</w:t>
      </w:r>
      <w:r>
        <w:t xml:space="preserve"> base classifier for later boosting rounds if the Ensemble performance had stabilized as in figure </w:t>
      </w:r>
      <w:r w:rsidR="00A26375">
        <w:t>10</w:t>
      </w:r>
      <w:r>
        <w:t xml:space="preserve">. Overall we feel like our implementation was </w:t>
      </w:r>
      <w:r w:rsidR="009921F6">
        <w:t>a success as we approach the performance measures of</w:t>
      </w:r>
      <w:r>
        <w:t xml:space="preserve"> the off the shelf </w:t>
      </w:r>
      <w:r w:rsidR="009921F6">
        <w:t xml:space="preserve">implementation. </w:t>
      </w:r>
      <w:r>
        <w:t xml:space="preserve"> </w:t>
      </w:r>
    </w:p>
    <w:p w:rsidR="00415787" w:rsidRDefault="00415787" w:rsidP="007F5F48">
      <w:pPr>
        <w:rPr>
          <w:rFonts w:asciiTheme="majorHAnsi" w:hAnsiTheme="majorHAnsi"/>
          <w:b/>
          <w:u w:val="single"/>
        </w:rPr>
      </w:pPr>
    </w:p>
    <w:p w:rsidR="00415787" w:rsidRDefault="00415787" w:rsidP="007F5F48">
      <w:pPr>
        <w:rPr>
          <w:rFonts w:asciiTheme="majorHAnsi" w:hAnsiTheme="majorHAnsi"/>
          <w:b/>
          <w:u w:val="single"/>
        </w:rPr>
      </w:pPr>
    </w:p>
    <w:p w:rsidR="00415787" w:rsidRDefault="00415787" w:rsidP="007F5F48">
      <w:pPr>
        <w:rPr>
          <w:rFonts w:asciiTheme="majorHAnsi" w:hAnsiTheme="majorHAnsi"/>
          <w:b/>
          <w:u w:val="single"/>
        </w:rPr>
      </w:pPr>
    </w:p>
    <w:p w:rsidR="00B744CF" w:rsidRDefault="00B744CF" w:rsidP="007F5F48">
      <w:pPr>
        <w:rPr>
          <w:rFonts w:asciiTheme="majorHAnsi" w:hAnsiTheme="majorHAnsi"/>
          <w:b/>
          <w:u w:val="single"/>
        </w:rPr>
      </w:pPr>
    </w:p>
    <w:p w:rsidR="00B46679" w:rsidRPr="00A85E30" w:rsidRDefault="00B46679" w:rsidP="007F5F48">
      <w:r>
        <w:rPr>
          <w:rFonts w:asciiTheme="majorHAnsi" w:hAnsiTheme="majorHAnsi"/>
          <w:b/>
          <w:u w:val="single"/>
        </w:rPr>
        <w:lastRenderedPageBreak/>
        <w:t>References</w:t>
      </w:r>
    </w:p>
    <w:p w:rsidR="00B46679" w:rsidRPr="00B46679" w:rsidRDefault="00A85E30" w:rsidP="007F5F48">
      <w:r>
        <w:t>[1]</w:t>
      </w:r>
      <w:r w:rsidR="00B46679">
        <w:t xml:space="preserve"> </w:t>
      </w:r>
      <w:r>
        <w:t>(</w:t>
      </w:r>
      <w:proofErr w:type="spellStart"/>
      <w:r>
        <w:t>n.d.</w:t>
      </w:r>
      <w:proofErr w:type="spellEnd"/>
      <w:r>
        <w:t>). Retrieved November</w:t>
      </w:r>
      <w:r w:rsidRPr="00A85E30">
        <w:t xml:space="preserve"> </w:t>
      </w:r>
      <w:r>
        <w:t>17</w:t>
      </w:r>
      <w:r w:rsidRPr="00A85E30">
        <w:t>, 2017, from https://archive.ics.uci.edu/ml/datasets/Breast Cancer Wisconsin %28Diagnostic%29</w:t>
      </w:r>
    </w:p>
    <w:p w:rsidR="00A85E30" w:rsidRDefault="00A85E30" w:rsidP="007F5F48">
      <w:r>
        <w:t>[2]</w:t>
      </w:r>
      <w:r w:rsidR="00B46679">
        <w:t xml:space="preserve"> </w:t>
      </w:r>
      <w:proofErr w:type="spellStart"/>
      <w:r w:rsidRPr="00A85E30">
        <w:t>Ticku</w:t>
      </w:r>
      <w:proofErr w:type="spellEnd"/>
      <w:r w:rsidRPr="00A85E30">
        <w:t xml:space="preserve">, A., &amp; Singh, P. (2016, January 11). Metaplastic Carcinoma of Breast with </w:t>
      </w:r>
      <w:proofErr w:type="spellStart"/>
      <w:r w:rsidRPr="00A85E30">
        <w:t>Osteosarcomatous</w:t>
      </w:r>
      <w:proofErr w:type="spellEnd"/>
      <w:r w:rsidRPr="00A85E30">
        <w:t xml:space="preserve"> Differentiation: A Rare Case Diagnosed by Fine Needle Aspiration Cytology. Retrieved November 18, 2017, from </w:t>
      </w:r>
      <w:hyperlink r:id="rId17" w:history="1">
        <w:r w:rsidRPr="00BE2B3F">
          <w:rPr>
            <w:rStyle w:val="Hyperlink"/>
          </w:rPr>
          <w:t>https://www.omicsonline.org/open-access/metaplastic-carcinoma-of-breast-with-osteosarcomatous-differentiationa-rare-case-diagnosed-by-fine-needle-aspiration-cytology-jmsp-1000103.php?aid=66801</w:t>
        </w:r>
      </w:hyperlink>
    </w:p>
    <w:p w:rsidR="00256CB3" w:rsidRPr="007F5F48" w:rsidRDefault="00A85E30" w:rsidP="007F5F48">
      <w:r>
        <w:t>[3]</w:t>
      </w:r>
      <w:r w:rsidR="00256CB3">
        <w:t xml:space="preserve"> </w:t>
      </w:r>
      <w:r w:rsidRPr="00A85E30">
        <w:t xml:space="preserve">Tan, P., Steinbach, M., </w:t>
      </w:r>
      <w:proofErr w:type="spellStart"/>
      <w:r w:rsidRPr="00A85E30">
        <w:t>Karpatne</w:t>
      </w:r>
      <w:proofErr w:type="spellEnd"/>
      <w:r w:rsidRPr="00A85E30">
        <w:t xml:space="preserve">, A., &amp; Kumar, V. (2019). </w:t>
      </w:r>
      <w:proofErr w:type="gramStart"/>
      <w:r w:rsidRPr="00A85E30">
        <w:t>Introduction to data mining.</w:t>
      </w:r>
      <w:proofErr w:type="gramEnd"/>
      <w:r w:rsidRPr="00A85E30">
        <w:t xml:space="preserve"> New York, NY: Pearson Education.</w:t>
      </w:r>
    </w:p>
    <w:sectPr w:rsidR="00256CB3" w:rsidRPr="007F5F48">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B6A49" w:rsidRDefault="00CB6A49" w:rsidP="007F5F48">
      <w:pPr>
        <w:spacing w:after="0" w:line="240" w:lineRule="auto"/>
      </w:pPr>
      <w:r>
        <w:separator/>
      </w:r>
    </w:p>
  </w:endnote>
  <w:endnote w:type="continuationSeparator" w:id="0">
    <w:p w:rsidR="00CB6A49" w:rsidRDefault="00CB6A49" w:rsidP="007F5F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49188107"/>
      <w:docPartObj>
        <w:docPartGallery w:val="Page Numbers (Bottom of Page)"/>
        <w:docPartUnique/>
      </w:docPartObj>
    </w:sdtPr>
    <w:sdtEndPr>
      <w:rPr>
        <w:noProof/>
      </w:rPr>
    </w:sdtEndPr>
    <w:sdtContent>
      <w:p w:rsidR="00CB6A49" w:rsidRDefault="00CB6A49">
        <w:pPr>
          <w:pStyle w:val="Footer"/>
          <w:jc w:val="right"/>
        </w:pPr>
        <w:r>
          <w:fldChar w:fldCharType="begin"/>
        </w:r>
        <w:r>
          <w:instrText xml:space="preserve"> PAGE   \* MERGEFORMAT </w:instrText>
        </w:r>
        <w:r>
          <w:fldChar w:fldCharType="separate"/>
        </w:r>
        <w:r w:rsidR="00A26375">
          <w:rPr>
            <w:noProof/>
          </w:rPr>
          <w:t>10</w:t>
        </w:r>
        <w:r>
          <w:rPr>
            <w:noProof/>
          </w:rPr>
          <w:fldChar w:fldCharType="end"/>
        </w:r>
      </w:p>
    </w:sdtContent>
  </w:sdt>
  <w:p w:rsidR="00CB6A49" w:rsidRDefault="00CB6A4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B6A49" w:rsidRDefault="00CB6A49" w:rsidP="007F5F48">
      <w:pPr>
        <w:spacing w:after="0" w:line="240" w:lineRule="auto"/>
      </w:pPr>
      <w:r>
        <w:separator/>
      </w:r>
    </w:p>
  </w:footnote>
  <w:footnote w:type="continuationSeparator" w:id="0">
    <w:p w:rsidR="00CB6A49" w:rsidRDefault="00CB6A49" w:rsidP="007F5F4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21"/>
  <w:proofState w:spelling="clean" w:grammar="clean"/>
  <w:defaultTabStop w:val="720"/>
  <w:drawingGridHorizontalSpacing w:val="187"/>
  <w:drawingGridVerticalSpacing w:val="187"/>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456A"/>
    <w:rsid w:val="00010037"/>
    <w:rsid w:val="0001591D"/>
    <w:rsid w:val="00065593"/>
    <w:rsid w:val="00077544"/>
    <w:rsid w:val="000911F1"/>
    <w:rsid w:val="000A3E4E"/>
    <w:rsid w:val="001144ED"/>
    <w:rsid w:val="0013674C"/>
    <w:rsid w:val="00256CB3"/>
    <w:rsid w:val="0029737B"/>
    <w:rsid w:val="002D52B9"/>
    <w:rsid w:val="002E273C"/>
    <w:rsid w:val="002F58EB"/>
    <w:rsid w:val="00321E4D"/>
    <w:rsid w:val="00331C49"/>
    <w:rsid w:val="00393236"/>
    <w:rsid w:val="003D427D"/>
    <w:rsid w:val="003F39D7"/>
    <w:rsid w:val="003F5D6F"/>
    <w:rsid w:val="00413323"/>
    <w:rsid w:val="00415787"/>
    <w:rsid w:val="00420580"/>
    <w:rsid w:val="00464DCD"/>
    <w:rsid w:val="00474937"/>
    <w:rsid w:val="004E1E3F"/>
    <w:rsid w:val="00502E8B"/>
    <w:rsid w:val="005076FC"/>
    <w:rsid w:val="00547DB5"/>
    <w:rsid w:val="00572E1C"/>
    <w:rsid w:val="00586193"/>
    <w:rsid w:val="00641C84"/>
    <w:rsid w:val="00657F74"/>
    <w:rsid w:val="006C202D"/>
    <w:rsid w:val="00703A76"/>
    <w:rsid w:val="00716927"/>
    <w:rsid w:val="0072583B"/>
    <w:rsid w:val="00746216"/>
    <w:rsid w:val="0078456A"/>
    <w:rsid w:val="0079153E"/>
    <w:rsid w:val="007A1762"/>
    <w:rsid w:val="007B1906"/>
    <w:rsid w:val="007C7143"/>
    <w:rsid w:val="007E741E"/>
    <w:rsid w:val="007F5F48"/>
    <w:rsid w:val="00811252"/>
    <w:rsid w:val="00863687"/>
    <w:rsid w:val="00973754"/>
    <w:rsid w:val="009921F6"/>
    <w:rsid w:val="009A32D7"/>
    <w:rsid w:val="009C09B9"/>
    <w:rsid w:val="009D7FD8"/>
    <w:rsid w:val="009E427B"/>
    <w:rsid w:val="009E55A1"/>
    <w:rsid w:val="00A26375"/>
    <w:rsid w:val="00A537DA"/>
    <w:rsid w:val="00A5776A"/>
    <w:rsid w:val="00A62E30"/>
    <w:rsid w:val="00A85E30"/>
    <w:rsid w:val="00A94BED"/>
    <w:rsid w:val="00AA4165"/>
    <w:rsid w:val="00AE3DE2"/>
    <w:rsid w:val="00B03448"/>
    <w:rsid w:val="00B130C5"/>
    <w:rsid w:val="00B46679"/>
    <w:rsid w:val="00B52F1D"/>
    <w:rsid w:val="00B744CF"/>
    <w:rsid w:val="00BD6EA3"/>
    <w:rsid w:val="00C1252D"/>
    <w:rsid w:val="00C66AFC"/>
    <w:rsid w:val="00C95CA4"/>
    <w:rsid w:val="00CB6A49"/>
    <w:rsid w:val="00CF3453"/>
    <w:rsid w:val="00D13318"/>
    <w:rsid w:val="00D41840"/>
    <w:rsid w:val="00D63BCD"/>
    <w:rsid w:val="00D80739"/>
    <w:rsid w:val="00E4217C"/>
    <w:rsid w:val="00E46267"/>
    <w:rsid w:val="00E46576"/>
    <w:rsid w:val="00E52F86"/>
    <w:rsid w:val="00E77B72"/>
    <w:rsid w:val="00ED1AC1"/>
    <w:rsid w:val="00EF508A"/>
    <w:rsid w:val="00EF6931"/>
    <w:rsid w:val="00F53E4E"/>
    <w:rsid w:val="00FB6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F5F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5F48"/>
  </w:style>
  <w:style w:type="paragraph" w:styleId="Footer">
    <w:name w:val="footer"/>
    <w:basedOn w:val="Normal"/>
    <w:link w:val="FooterChar"/>
    <w:uiPriority w:val="99"/>
    <w:unhideWhenUsed/>
    <w:rsid w:val="007F5F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5F48"/>
  </w:style>
  <w:style w:type="paragraph" w:styleId="BalloonText">
    <w:name w:val="Balloon Text"/>
    <w:basedOn w:val="Normal"/>
    <w:link w:val="BalloonTextChar"/>
    <w:uiPriority w:val="99"/>
    <w:semiHidden/>
    <w:unhideWhenUsed/>
    <w:rsid w:val="005076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76FC"/>
    <w:rPr>
      <w:rFonts w:ascii="Tahoma" w:hAnsi="Tahoma" w:cs="Tahoma"/>
      <w:sz w:val="16"/>
      <w:szCs w:val="16"/>
    </w:rPr>
  </w:style>
  <w:style w:type="table" w:styleId="TableGrid">
    <w:name w:val="Table Grid"/>
    <w:basedOn w:val="TableNormal"/>
    <w:uiPriority w:val="59"/>
    <w:rsid w:val="00547D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56CB3"/>
    <w:rPr>
      <w:color w:val="0000FF" w:themeColor="hyperlink"/>
      <w:u w:val="single"/>
    </w:rPr>
  </w:style>
  <w:style w:type="character" w:styleId="PlaceholderText">
    <w:name w:val="Placeholder Text"/>
    <w:basedOn w:val="DefaultParagraphFont"/>
    <w:uiPriority w:val="99"/>
    <w:semiHidden/>
    <w:rsid w:val="007B1906"/>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F5F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5F48"/>
  </w:style>
  <w:style w:type="paragraph" w:styleId="Footer">
    <w:name w:val="footer"/>
    <w:basedOn w:val="Normal"/>
    <w:link w:val="FooterChar"/>
    <w:uiPriority w:val="99"/>
    <w:unhideWhenUsed/>
    <w:rsid w:val="007F5F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5F48"/>
  </w:style>
  <w:style w:type="paragraph" w:styleId="BalloonText">
    <w:name w:val="Balloon Text"/>
    <w:basedOn w:val="Normal"/>
    <w:link w:val="BalloonTextChar"/>
    <w:uiPriority w:val="99"/>
    <w:semiHidden/>
    <w:unhideWhenUsed/>
    <w:rsid w:val="005076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76FC"/>
    <w:rPr>
      <w:rFonts w:ascii="Tahoma" w:hAnsi="Tahoma" w:cs="Tahoma"/>
      <w:sz w:val="16"/>
      <w:szCs w:val="16"/>
    </w:rPr>
  </w:style>
  <w:style w:type="table" w:styleId="TableGrid">
    <w:name w:val="Table Grid"/>
    <w:basedOn w:val="TableNormal"/>
    <w:uiPriority w:val="59"/>
    <w:rsid w:val="00547D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56CB3"/>
    <w:rPr>
      <w:color w:val="0000FF" w:themeColor="hyperlink"/>
      <w:u w:val="single"/>
    </w:rPr>
  </w:style>
  <w:style w:type="character" w:styleId="PlaceholderText">
    <w:name w:val="Placeholder Text"/>
    <w:basedOn w:val="DefaultParagraphFont"/>
    <w:uiPriority w:val="99"/>
    <w:semiHidden/>
    <w:rsid w:val="007B190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712267">
      <w:bodyDiv w:val="1"/>
      <w:marLeft w:val="0"/>
      <w:marRight w:val="0"/>
      <w:marTop w:val="0"/>
      <w:marBottom w:val="0"/>
      <w:divBdr>
        <w:top w:val="none" w:sz="0" w:space="0" w:color="auto"/>
        <w:left w:val="none" w:sz="0" w:space="0" w:color="auto"/>
        <w:bottom w:val="none" w:sz="0" w:space="0" w:color="auto"/>
        <w:right w:val="none" w:sz="0" w:space="0" w:color="auto"/>
      </w:divBdr>
    </w:div>
    <w:div w:id="190270742">
      <w:bodyDiv w:val="1"/>
      <w:marLeft w:val="0"/>
      <w:marRight w:val="0"/>
      <w:marTop w:val="0"/>
      <w:marBottom w:val="0"/>
      <w:divBdr>
        <w:top w:val="none" w:sz="0" w:space="0" w:color="auto"/>
        <w:left w:val="none" w:sz="0" w:space="0" w:color="auto"/>
        <w:bottom w:val="none" w:sz="0" w:space="0" w:color="auto"/>
        <w:right w:val="none" w:sz="0" w:space="0" w:color="auto"/>
      </w:divBdr>
    </w:div>
    <w:div w:id="699938336">
      <w:bodyDiv w:val="1"/>
      <w:marLeft w:val="0"/>
      <w:marRight w:val="0"/>
      <w:marTop w:val="0"/>
      <w:marBottom w:val="0"/>
      <w:divBdr>
        <w:top w:val="none" w:sz="0" w:space="0" w:color="auto"/>
        <w:left w:val="none" w:sz="0" w:space="0" w:color="auto"/>
        <w:bottom w:val="none" w:sz="0" w:space="0" w:color="auto"/>
        <w:right w:val="none" w:sz="0" w:space="0" w:color="auto"/>
      </w:divBdr>
    </w:div>
    <w:div w:id="1047030394">
      <w:bodyDiv w:val="1"/>
      <w:marLeft w:val="0"/>
      <w:marRight w:val="0"/>
      <w:marTop w:val="0"/>
      <w:marBottom w:val="0"/>
      <w:divBdr>
        <w:top w:val="none" w:sz="0" w:space="0" w:color="auto"/>
        <w:left w:val="none" w:sz="0" w:space="0" w:color="auto"/>
        <w:bottom w:val="none" w:sz="0" w:space="0" w:color="auto"/>
        <w:right w:val="none" w:sz="0" w:space="0" w:color="auto"/>
      </w:divBdr>
    </w:div>
    <w:div w:id="1103915273">
      <w:bodyDiv w:val="1"/>
      <w:marLeft w:val="0"/>
      <w:marRight w:val="0"/>
      <w:marTop w:val="0"/>
      <w:marBottom w:val="0"/>
      <w:divBdr>
        <w:top w:val="none" w:sz="0" w:space="0" w:color="auto"/>
        <w:left w:val="none" w:sz="0" w:space="0" w:color="auto"/>
        <w:bottom w:val="none" w:sz="0" w:space="0" w:color="auto"/>
        <w:right w:val="none" w:sz="0" w:space="0" w:color="auto"/>
      </w:divBdr>
    </w:div>
    <w:div w:id="1255477512">
      <w:bodyDiv w:val="1"/>
      <w:marLeft w:val="0"/>
      <w:marRight w:val="0"/>
      <w:marTop w:val="0"/>
      <w:marBottom w:val="0"/>
      <w:divBdr>
        <w:top w:val="none" w:sz="0" w:space="0" w:color="auto"/>
        <w:left w:val="none" w:sz="0" w:space="0" w:color="auto"/>
        <w:bottom w:val="none" w:sz="0" w:space="0" w:color="auto"/>
        <w:right w:val="none" w:sz="0" w:space="0" w:color="auto"/>
      </w:divBdr>
    </w:div>
    <w:div w:id="1688602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chart" Target="charts/chart3.xml"/><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hyperlink" Target="https://www.omicsonline.org/open-access/metaplastic-carcinoma-of-breast-with-osteosarcomatous-differentiationa-rare-case-diagnosed-by-fine-needle-aspiration-cytology-jmsp-1000103.php?aid=66801" TargetMode="External"/><Relationship Id="rId2" Type="http://schemas.microsoft.com/office/2007/relationships/stylesWithEffects" Target="stylesWithEffects.xml"/><Relationship Id="rId16" Type="http://schemas.openxmlformats.org/officeDocument/2006/relationships/chart" Target="charts/chart6.xm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3.jpg"/><Relationship Id="rId5" Type="http://schemas.openxmlformats.org/officeDocument/2006/relationships/footnotes" Target="footnotes.xml"/><Relationship Id="rId15" Type="http://schemas.openxmlformats.org/officeDocument/2006/relationships/chart" Target="charts/chart5.xml"/><Relationship Id="rId10" Type="http://schemas.openxmlformats.org/officeDocument/2006/relationships/image" Target="media/image2.jp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hart" Target="charts/chart2.xml"/><Relationship Id="rId14" Type="http://schemas.openxmlformats.org/officeDocument/2006/relationships/chart" Target="charts/chart4.xml"/></Relationships>
</file>

<file path=word/charts/_rels/chart1.xml.rels><?xml version="1.0" encoding="UTF-8" standalone="yes"?>
<Relationships xmlns="http://schemas.openxmlformats.org/package/2006/relationships"><Relationship Id="rId1" Type="http://schemas.openxmlformats.org/officeDocument/2006/relationships/oleObject" Target="file:///E:\AU%2017\DM\final%20project\result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E:\AU%2017\DM\FinalProject_Pershon_Dot1\data_norm.csv"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E:\AU%2017\DM\final%20project\results.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E:\AU%2017\DM\final%20project\results.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E:\AU%2017\DM\final%20project\results.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E:\AU%2017\DM\final%20project\result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Class</a:t>
            </a:r>
            <a:r>
              <a:rPr lang="en-US" baseline="0"/>
              <a:t> Distribution</a:t>
            </a:r>
            <a:endParaRPr lang="en-US"/>
          </a:p>
        </c:rich>
      </c:tx>
      <c:layout/>
      <c:overlay val="0"/>
    </c:title>
    <c:autoTitleDeleted val="0"/>
    <c:plotArea>
      <c:layout/>
      <c:barChart>
        <c:barDir val="col"/>
        <c:grouping val="clustered"/>
        <c:varyColors val="0"/>
        <c:ser>
          <c:idx val="0"/>
          <c:order val="0"/>
          <c:tx>
            <c:v>Benign</c:v>
          </c:tx>
          <c:invertIfNegative val="0"/>
          <c:cat>
            <c:strLit>
              <c:ptCount val="1"/>
              <c:pt idx="0">
                <c:v>Class</c:v>
              </c:pt>
            </c:strLit>
          </c:cat>
          <c:val>
            <c:numRef>
              <c:f>Sheet1!$AR$2</c:f>
              <c:numCache>
                <c:formatCode>General</c:formatCode>
                <c:ptCount val="1"/>
                <c:pt idx="0">
                  <c:v>357</c:v>
                </c:pt>
              </c:numCache>
            </c:numRef>
          </c:val>
        </c:ser>
        <c:ser>
          <c:idx val="1"/>
          <c:order val="1"/>
          <c:tx>
            <c:v>Malignant</c:v>
          </c:tx>
          <c:invertIfNegative val="0"/>
          <c:cat>
            <c:strLit>
              <c:ptCount val="1"/>
              <c:pt idx="0">
                <c:v>Class</c:v>
              </c:pt>
            </c:strLit>
          </c:cat>
          <c:val>
            <c:numRef>
              <c:f>Sheet1!$AR$3</c:f>
              <c:numCache>
                <c:formatCode>General</c:formatCode>
                <c:ptCount val="1"/>
                <c:pt idx="0">
                  <c:v>212</c:v>
                </c:pt>
              </c:numCache>
            </c:numRef>
          </c:val>
        </c:ser>
        <c:dLbls>
          <c:showLegendKey val="0"/>
          <c:showVal val="0"/>
          <c:showCatName val="0"/>
          <c:showSerName val="0"/>
          <c:showPercent val="0"/>
          <c:showBubbleSize val="0"/>
        </c:dLbls>
        <c:gapWidth val="166"/>
        <c:overlap val="-82"/>
        <c:axId val="35174656"/>
        <c:axId val="35176448"/>
      </c:barChart>
      <c:catAx>
        <c:axId val="35174656"/>
        <c:scaling>
          <c:orientation val="minMax"/>
        </c:scaling>
        <c:delete val="0"/>
        <c:axPos val="b"/>
        <c:majorTickMark val="out"/>
        <c:minorTickMark val="none"/>
        <c:tickLblPos val="nextTo"/>
        <c:crossAx val="35176448"/>
        <c:crosses val="autoZero"/>
        <c:auto val="1"/>
        <c:lblAlgn val="ctr"/>
        <c:lblOffset val="100"/>
        <c:noMultiLvlLbl val="0"/>
      </c:catAx>
      <c:valAx>
        <c:axId val="35176448"/>
        <c:scaling>
          <c:orientation val="minMax"/>
        </c:scaling>
        <c:delete val="0"/>
        <c:axPos val="l"/>
        <c:majorGridlines/>
        <c:numFmt formatCode="General" sourceLinked="1"/>
        <c:majorTickMark val="out"/>
        <c:minorTickMark val="none"/>
        <c:tickLblPos val="nextTo"/>
        <c:crossAx val="35174656"/>
        <c:crosses val="autoZero"/>
        <c:crossBetween val="between"/>
      </c:valAx>
    </c:plotArea>
    <c:legend>
      <c:legendPos val="r"/>
      <c:layout/>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Parallel Coordinates Plot</a:t>
            </a:r>
          </a:p>
        </c:rich>
      </c:tx>
      <c:layout/>
      <c:overlay val="0"/>
    </c:title>
    <c:autoTitleDeleted val="0"/>
    <c:plotArea>
      <c:layout/>
      <c:lineChart>
        <c:grouping val="standard"/>
        <c:varyColors val="0"/>
        <c:ser>
          <c:idx val="0"/>
          <c:order val="0"/>
          <c:tx>
            <c:v>Benign</c:v>
          </c:tx>
          <c:marker>
            <c:symbol val="none"/>
          </c:marker>
          <c:cat>
            <c:strLit>
              <c:ptCount val="4"/>
              <c:pt idx="0">
                <c:v>radius mean</c:v>
              </c:pt>
              <c:pt idx="1">
                <c:v>texture mean</c:v>
              </c:pt>
              <c:pt idx="2">
                <c:v>perimeter mean</c:v>
              </c:pt>
              <c:pt idx="3">
                <c:v>area mean</c:v>
              </c:pt>
            </c:strLit>
          </c:cat>
          <c:val>
            <c:numRef>
              <c:f>data_norm!$B$2:$E$2</c:f>
              <c:numCache>
                <c:formatCode>General</c:formatCode>
                <c:ptCount val="4"/>
                <c:pt idx="0">
                  <c:v>0.52103699999999997</c:v>
                </c:pt>
                <c:pt idx="1">
                  <c:v>2.2658000000000001E-2</c:v>
                </c:pt>
                <c:pt idx="2">
                  <c:v>0.54598899999999995</c:v>
                </c:pt>
                <c:pt idx="3">
                  <c:v>0.36373299999999997</c:v>
                </c:pt>
              </c:numCache>
            </c:numRef>
          </c:val>
          <c:smooth val="0"/>
        </c:ser>
        <c:ser>
          <c:idx val="1"/>
          <c:order val="1"/>
          <c:tx>
            <c:v>Benign</c:v>
          </c:tx>
          <c:spPr>
            <a:ln>
              <a:solidFill>
                <a:srgbClr val="0070C0"/>
              </a:solidFill>
            </a:ln>
          </c:spPr>
          <c:marker>
            <c:symbol val="none"/>
          </c:marker>
          <c:val>
            <c:numRef>
              <c:f>data_norm!$B$3:$E$3</c:f>
              <c:numCache>
                <c:formatCode>General</c:formatCode>
                <c:ptCount val="4"/>
                <c:pt idx="0">
                  <c:v>0.64314400000000005</c:v>
                </c:pt>
                <c:pt idx="1">
                  <c:v>0.27257399999999998</c:v>
                </c:pt>
                <c:pt idx="2">
                  <c:v>0.61578299999999997</c:v>
                </c:pt>
                <c:pt idx="3">
                  <c:v>0.50159100000000001</c:v>
                </c:pt>
              </c:numCache>
            </c:numRef>
          </c:val>
          <c:smooth val="0"/>
        </c:ser>
        <c:ser>
          <c:idx val="2"/>
          <c:order val="2"/>
          <c:tx>
            <c:v>Benign</c:v>
          </c:tx>
          <c:spPr>
            <a:ln>
              <a:solidFill>
                <a:srgbClr val="0070C0"/>
              </a:solidFill>
            </a:ln>
          </c:spPr>
          <c:marker>
            <c:symbol val="none"/>
          </c:marker>
          <c:val>
            <c:numRef>
              <c:f>data_norm!$B$4:$E$4</c:f>
              <c:numCache>
                <c:formatCode>General</c:formatCode>
                <c:ptCount val="4"/>
                <c:pt idx="0">
                  <c:v>0.60149600000000003</c:v>
                </c:pt>
                <c:pt idx="1">
                  <c:v>0.39026</c:v>
                </c:pt>
                <c:pt idx="2">
                  <c:v>0.59574300000000002</c:v>
                </c:pt>
                <c:pt idx="3">
                  <c:v>0.44941700000000001</c:v>
                </c:pt>
              </c:numCache>
            </c:numRef>
          </c:val>
          <c:smooth val="0"/>
        </c:ser>
        <c:ser>
          <c:idx val="3"/>
          <c:order val="3"/>
          <c:spPr>
            <a:ln>
              <a:solidFill>
                <a:srgbClr val="0070C0"/>
              </a:solidFill>
            </a:ln>
          </c:spPr>
          <c:marker>
            <c:symbol val="none"/>
          </c:marker>
          <c:val>
            <c:numRef>
              <c:f>data_norm!$B$5:$E$5</c:f>
              <c:numCache>
                <c:formatCode>General</c:formatCode>
                <c:ptCount val="4"/>
                <c:pt idx="0">
                  <c:v>0.21009</c:v>
                </c:pt>
                <c:pt idx="1">
                  <c:v>0.36083900000000002</c:v>
                </c:pt>
                <c:pt idx="2">
                  <c:v>0.23350099999999999</c:v>
                </c:pt>
                <c:pt idx="3">
                  <c:v>0.102906</c:v>
                </c:pt>
              </c:numCache>
            </c:numRef>
          </c:val>
          <c:smooth val="0"/>
        </c:ser>
        <c:ser>
          <c:idx val="4"/>
          <c:order val="4"/>
          <c:spPr>
            <a:ln>
              <a:solidFill>
                <a:srgbClr val="0070C0"/>
              </a:solidFill>
            </a:ln>
          </c:spPr>
          <c:marker>
            <c:symbol val="none"/>
          </c:marker>
          <c:val>
            <c:numRef>
              <c:f>data_norm!$B$6:$E$6</c:f>
              <c:numCache>
                <c:formatCode>General</c:formatCode>
                <c:ptCount val="4"/>
                <c:pt idx="0">
                  <c:v>0.62989300000000004</c:v>
                </c:pt>
                <c:pt idx="1">
                  <c:v>0.15657799999999999</c:v>
                </c:pt>
                <c:pt idx="2">
                  <c:v>0.63098600000000005</c:v>
                </c:pt>
                <c:pt idx="3">
                  <c:v>0.48929</c:v>
                </c:pt>
              </c:numCache>
            </c:numRef>
          </c:val>
          <c:smooth val="0"/>
        </c:ser>
        <c:ser>
          <c:idx val="5"/>
          <c:order val="5"/>
          <c:tx>
            <c:strRef>
              <c:f>data_norm!$B$21:$E$21</c:f>
              <c:strCache>
                <c:ptCount val="1"/>
                <c:pt idx="0">
                  <c:v>0.310426 0.157254 0.301776 0.179343</c:v>
                </c:pt>
              </c:strCache>
            </c:strRef>
          </c:tx>
          <c:spPr>
            <a:ln>
              <a:solidFill>
                <a:srgbClr val="FF0000"/>
              </a:solidFill>
            </a:ln>
          </c:spPr>
          <c:marker>
            <c:symbol val="none"/>
          </c:marker>
          <c:val>
            <c:numRef>
              <c:f>data_norm!$B$21:$E$21</c:f>
              <c:numCache>
                <c:formatCode>General</c:formatCode>
                <c:ptCount val="4"/>
                <c:pt idx="0">
                  <c:v>0.31042599999999998</c:v>
                </c:pt>
                <c:pt idx="1">
                  <c:v>0.157254</c:v>
                </c:pt>
                <c:pt idx="2">
                  <c:v>0.30177599999999999</c:v>
                </c:pt>
                <c:pt idx="3">
                  <c:v>0.179343</c:v>
                </c:pt>
              </c:numCache>
            </c:numRef>
          </c:val>
          <c:smooth val="0"/>
        </c:ser>
        <c:ser>
          <c:idx val="6"/>
          <c:order val="6"/>
          <c:spPr>
            <a:ln>
              <a:solidFill>
                <a:srgbClr val="FF0000"/>
              </a:solidFill>
            </a:ln>
          </c:spPr>
          <c:marker>
            <c:symbol val="none"/>
          </c:marker>
          <c:val>
            <c:numRef>
              <c:f>data_norm!$B$22:$E$22</c:f>
              <c:numCache>
                <c:formatCode>General</c:formatCode>
                <c:ptCount val="4"/>
                <c:pt idx="0">
                  <c:v>0.28865499999999999</c:v>
                </c:pt>
                <c:pt idx="1">
                  <c:v>0.20290800000000001</c:v>
                </c:pt>
                <c:pt idx="2">
                  <c:v>0.28913</c:v>
                </c:pt>
                <c:pt idx="3">
                  <c:v>0.15970300000000001</c:v>
                </c:pt>
              </c:numCache>
            </c:numRef>
          </c:val>
          <c:smooth val="0"/>
        </c:ser>
        <c:ser>
          <c:idx val="7"/>
          <c:order val="7"/>
          <c:spPr>
            <a:ln>
              <a:solidFill>
                <a:srgbClr val="FF0000"/>
              </a:solidFill>
            </a:ln>
          </c:spPr>
          <c:marker>
            <c:symbol val="none"/>
          </c:marker>
          <c:val>
            <c:numRef>
              <c:f>data_norm!$B$23:$E$23</c:f>
              <c:numCache>
                <c:formatCode>General</c:formatCode>
                <c:ptCount val="4"/>
                <c:pt idx="0">
                  <c:v>0.119409</c:v>
                </c:pt>
                <c:pt idx="1">
                  <c:v>9.2323000000000002E-2</c:v>
                </c:pt>
                <c:pt idx="2">
                  <c:v>0.114367</c:v>
                </c:pt>
                <c:pt idx="3">
                  <c:v>5.5313000000000001E-2</c:v>
                </c:pt>
              </c:numCache>
            </c:numRef>
          </c:val>
          <c:smooth val="0"/>
        </c:ser>
        <c:ser>
          <c:idx val="8"/>
          <c:order val="8"/>
          <c:tx>
            <c:v>Malignant</c:v>
          </c:tx>
          <c:spPr>
            <a:ln>
              <a:solidFill>
                <a:srgbClr val="FF0000"/>
              </a:solidFill>
            </a:ln>
          </c:spPr>
          <c:marker>
            <c:symbol val="none"/>
          </c:marker>
          <c:val>
            <c:numRef>
              <c:f>data_norm!$B$39:$E$39</c:f>
              <c:numCache>
                <c:formatCode>General</c:formatCode>
                <c:ptCount val="4"/>
                <c:pt idx="0">
                  <c:v>0.28628900000000002</c:v>
                </c:pt>
                <c:pt idx="1">
                  <c:v>0.29455500000000001</c:v>
                </c:pt>
                <c:pt idx="2">
                  <c:v>0.26826100000000003</c:v>
                </c:pt>
                <c:pt idx="3">
                  <c:v>0.16131499999999999</c:v>
                </c:pt>
              </c:numCache>
            </c:numRef>
          </c:val>
          <c:smooth val="0"/>
        </c:ser>
        <c:ser>
          <c:idx val="9"/>
          <c:order val="9"/>
          <c:spPr>
            <a:ln>
              <a:solidFill>
                <a:srgbClr val="FF0000"/>
              </a:solidFill>
            </a:ln>
          </c:spPr>
          <c:marker>
            <c:symbol val="none"/>
          </c:marker>
          <c:val>
            <c:numRef>
              <c:f>data_norm!$B$50:$E$50</c:f>
              <c:numCache>
                <c:formatCode>General</c:formatCode>
                <c:ptCount val="4"/>
                <c:pt idx="0">
                  <c:v>0.23990700000000001</c:v>
                </c:pt>
                <c:pt idx="1">
                  <c:v>0.16638500000000001</c:v>
                </c:pt>
                <c:pt idx="2">
                  <c:v>0.23668</c:v>
                </c:pt>
                <c:pt idx="3">
                  <c:v>0.129714</c:v>
                </c:pt>
              </c:numCache>
            </c:numRef>
          </c:val>
          <c:smooth val="0"/>
        </c:ser>
        <c:dLbls>
          <c:showLegendKey val="0"/>
          <c:showVal val="0"/>
          <c:showCatName val="0"/>
          <c:showSerName val="0"/>
          <c:showPercent val="0"/>
          <c:showBubbleSize val="0"/>
        </c:dLbls>
        <c:marker val="1"/>
        <c:smooth val="0"/>
        <c:axId val="78348672"/>
        <c:axId val="126506880"/>
      </c:lineChart>
      <c:catAx>
        <c:axId val="78348672"/>
        <c:scaling>
          <c:orientation val="minMax"/>
        </c:scaling>
        <c:delete val="0"/>
        <c:axPos val="b"/>
        <c:minorGridlines/>
        <c:majorTickMark val="none"/>
        <c:minorTickMark val="none"/>
        <c:tickLblPos val="nextTo"/>
        <c:crossAx val="126506880"/>
        <c:crosses val="autoZero"/>
        <c:auto val="1"/>
        <c:lblAlgn val="ctr"/>
        <c:lblOffset val="100"/>
        <c:noMultiLvlLbl val="0"/>
      </c:catAx>
      <c:valAx>
        <c:axId val="126506880"/>
        <c:scaling>
          <c:orientation val="minMax"/>
          <c:max val="1"/>
        </c:scaling>
        <c:delete val="0"/>
        <c:axPos val="l"/>
        <c:numFmt formatCode="General" sourceLinked="1"/>
        <c:majorTickMark val="out"/>
        <c:minorTickMark val="none"/>
        <c:tickLblPos val="nextTo"/>
        <c:crossAx val="78348672"/>
        <c:crosses val="autoZero"/>
        <c:crossBetween val="between"/>
      </c:valAx>
    </c:plotArea>
    <c:legend>
      <c:legendPos val="b"/>
      <c:legendEntry>
        <c:idx val="1"/>
        <c:delete val="1"/>
      </c:legendEntry>
      <c:legendEntry>
        <c:idx val="2"/>
        <c:delete val="1"/>
      </c:legendEntry>
      <c:legendEntry>
        <c:idx val="3"/>
        <c:delete val="1"/>
      </c:legendEntry>
      <c:legendEntry>
        <c:idx val="4"/>
        <c:delete val="1"/>
      </c:legendEntry>
      <c:legendEntry>
        <c:idx val="5"/>
        <c:delete val="1"/>
      </c:legendEntry>
      <c:legendEntry>
        <c:idx val="6"/>
        <c:delete val="1"/>
      </c:legendEntry>
      <c:legendEntry>
        <c:idx val="7"/>
        <c:delete val="1"/>
      </c:legendEntry>
      <c:legendEntry>
        <c:idx val="9"/>
        <c:delete val="1"/>
      </c:legendEntry>
      <c:layout/>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Decision Tree Performance Measures</a:t>
            </a:r>
          </a:p>
        </c:rich>
      </c:tx>
      <c:layout/>
      <c:overlay val="0"/>
    </c:title>
    <c:autoTitleDeleted val="0"/>
    <c:plotArea>
      <c:layout/>
      <c:lineChart>
        <c:grouping val="standard"/>
        <c:varyColors val="0"/>
        <c:ser>
          <c:idx val="0"/>
          <c:order val="0"/>
          <c:tx>
            <c:v>Accuracy</c:v>
          </c:tx>
          <c:val>
            <c:numRef>
              <c:f>Sheet1!$B$3:$B$12</c:f>
              <c:numCache>
                <c:formatCode>0.000</c:formatCode>
                <c:ptCount val="10"/>
                <c:pt idx="0">
                  <c:v>0.91176000000000001</c:v>
                </c:pt>
                <c:pt idx="1">
                  <c:v>0.91176469999999998</c:v>
                </c:pt>
                <c:pt idx="2">
                  <c:v>0.92941099999999999</c:v>
                </c:pt>
                <c:pt idx="3">
                  <c:v>0.94117600000000001</c:v>
                </c:pt>
                <c:pt idx="4">
                  <c:v>0.94705799999999996</c:v>
                </c:pt>
                <c:pt idx="5">
                  <c:v>0.96948800000000002</c:v>
                </c:pt>
                <c:pt idx="6">
                  <c:v>0.95882299999999998</c:v>
                </c:pt>
                <c:pt idx="7">
                  <c:v>0.96470500000000003</c:v>
                </c:pt>
                <c:pt idx="8">
                  <c:v>0.95882299999999998</c:v>
                </c:pt>
                <c:pt idx="9">
                  <c:v>0.95882299999999998</c:v>
                </c:pt>
              </c:numCache>
            </c:numRef>
          </c:val>
          <c:smooth val="0"/>
        </c:ser>
        <c:ser>
          <c:idx val="1"/>
          <c:order val="1"/>
          <c:tx>
            <c:v>Precision</c:v>
          </c:tx>
          <c:val>
            <c:numRef>
              <c:f>Sheet1!$C$3:$C$12</c:f>
              <c:numCache>
                <c:formatCode>0.000</c:formatCode>
                <c:ptCount val="10"/>
                <c:pt idx="0">
                  <c:v>0.95327099999999998</c:v>
                </c:pt>
                <c:pt idx="1">
                  <c:v>0.90384600000000004</c:v>
                </c:pt>
                <c:pt idx="2">
                  <c:v>0.91891800000000001</c:v>
                </c:pt>
                <c:pt idx="3">
                  <c:v>0.93396199999999996</c:v>
                </c:pt>
                <c:pt idx="4">
                  <c:v>0.92380899999999999</c:v>
                </c:pt>
                <c:pt idx="5">
                  <c:v>0.96146200000000004</c:v>
                </c:pt>
                <c:pt idx="6">
                  <c:v>0.97087299999999999</c:v>
                </c:pt>
                <c:pt idx="7">
                  <c:v>0.97115300000000004</c:v>
                </c:pt>
                <c:pt idx="8">
                  <c:v>0.96116500000000005</c:v>
                </c:pt>
                <c:pt idx="9">
                  <c:v>0.95192299999999996</c:v>
                </c:pt>
              </c:numCache>
            </c:numRef>
          </c:val>
          <c:smooth val="0"/>
        </c:ser>
        <c:ser>
          <c:idx val="2"/>
          <c:order val="2"/>
          <c:tx>
            <c:v>Recall</c:v>
          </c:tx>
          <c:val>
            <c:numRef>
              <c:f>Sheet1!$D$3:$D$12</c:f>
              <c:numCache>
                <c:formatCode>0.000</c:formatCode>
                <c:ptCount val="10"/>
                <c:pt idx="0">
                  <c:v>0.91071400000000002</c:v>
                </c:pt>
                <c:pt idx="1">
                  <c:v>0.94949399999999995</c:v>
                </c:pt>
                <c:pt idx="2">
                  <c:v>0.97142850000000003</c:v>
                </c:pt>
                <c:pt idx="3">
                  <c:v>0.97058800000000001</c:v>
                </c:pt>
                <c:pt idx="4">
                  <c:v>0.98979499999999998</c:v>
                </c:pt>
                <c:pt idx="5">
                  <c:v>0.98047600000000001</c:v>
                </c:pt>
                <c:pt idx="6">
                  <c:v>0.961538</c:v>
                </c:pt>
                <c:pt idx="7">
                  <c:v>0.97115300000000004</c:v>
                </c:pt>
                <c:pt idx="8">
                  <c:v>0.97058800000000001</c:v>
                </c:pt>
                <c:pt idx="9">
                  <c:v>0.98019800000000001</c:v>
                </c:pt>
              </c:numCache>
            </c:numRef>
          </c:val>
          <c:smooth val="0"/>
        </c:ser>
        <c:ser>
          <c:idx val="3"/>
          <c:order val="3"/>
          <c:tx>
            <c:v>F-Measure</c:v>
          </c:tx>
          <c:val>
            <c:numRef>
              <c:f>Sheet1!$E$3:$E$12</c:f>
              <c:numCache>
                <c:formatCode>0.000</c:formatCode>
                <c:ptCount val="10"/>
                <c:pt idx="0">
                  <c:v>0.93150599999999995</c:v>
                </c:pt>
                <c:pt idx="1">
                  <c:v>0.92610800000000004</c:v>
                </c:pt>
                <c:pt idx="2">
                  <c:v>0.94444399999999995</c:v>
                </c:pt>
                <c:pt idx="3">
                  <c:v>0.95192299999999996</c:v>
                </c:pt>
                <c:pt idx="4">
                  <c:v>0.95566499999999999</c:v>
                </c:pt>
                <c:pt idx="5">
                  <c:v>0.97552499999999998</c:v>
                </c:pt>
                <c:pt idx="6">
                  <c:v>0.96618300000000001</c:v>
                </c:pt>
                <c:pt idx="7">
                  <c:v>0.97115300000000004</c:v>
                </c:pt>
                <c:pt idx="8">
                  <c:v>0.96585299999999996</c:v>
                </c:pt>
                <c:pt idx="9">
                  <c:v>0.96585299999999996</c:v>
                </c:pt>
              </c:numCache>
            </c:numRef>
          </c:val>
          <c:smooth val="0"/>
        </c:ser>
        <c:dLbls>
          <c:showLegendKey val="0"/>
          <c:showVal val="0"/>
          <c:showCatName val="0"/>
          <c:showSerName val="0"/>
          <c:showPercent val="0"/>
          <c:showBubbleSize val="0"/>
        </c:dLbls>
        <c:marker val="1"/>
        <c:smooth val="0"/>
        <c:axId val="52730880"/>
        <c:axId val="52737152"/>
      </c:lineChart>
      <c:catAx>
        <c:axId val="52730880"/>
        <c:scaling>
          <c:orientation val="minMax"/>
        </c:scaling>
        <c:delete val="0"/>
        <c:axPos val="b"/>
        <c:title>
          <c:tx>
            <c:rich>
              <a:bodyPr/>
              <a:lstStyle/>
              <a:p>
                <a:pPr>
                  <a:defRPr/>
                </a:pPr>
                <a:r>
                  <a:rPr lang="en-US"/>
                  <a:t>Boosting Rounds</a:t>
                </a:r>
              </a:p>
            </c:rich>
          </c:tx>
          <c:layout/>
          <c:overlay val="0"/>
        </c:title>
        <c:majorTickMark val="out"/>
        <c:minorTickMark val="none"/>
        <c:tickLblPos val="nextTo"/>
        <c:crossAx val="52737152"/>
        <c:crosses val="autoZero"/>
        <c:auto val="1"/>
        <c:lblAlgn val="ctr"/>
        <c:lblOffset val="100"/>
        <c:noMultiLvlLbl val="0"/>
      </c:catAx>
      <c:valAx>
        <c:axId val="52737152"/>
        <c:scaling>
          <c:orientation val="minMax"/>
        </c:scaling>
        <c:delete val="0"/>
        <c:axPos val="l"/>
        <c:majorGridlines/>
        <c:numFmt formatCode="0.000" sourceLinked="1"/>
        <c:majorTickMark val="out"/>
        <c:minorTickMark val="none"/>
        <c:tickLblPos val="nextTo"/>
        <c:crossAx val="52730880"/>
        <c:crosses val="autoZero"/>
        <c:crossBetween val="between"/>
      </c:valAx>
    </c:plotArea>
    <c:legend>
      <c:legendPos val="r"/>
      <c:layout/>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KNN Performance Measures</a:t>
            </a:r>
          </a:p>
        </c:rich>
      </c:tx>
      <c:layout/>
      <c:overlay val="0"/>
    </c:title>
    <c:autoTitleDeleted val="0"/>
    <c:plotArea>
      <c:layout/>
      <c:lineChart>
        <c:grouping val="standard"/>
        <c:varyColors val="0"/>
        <c:ser>
          <c:idx val="0"/>
          <c:order val="0"/>
          <c:tx>
            <c:v>Accuracy</c:v>
          </c:tx>
          <c:val>
            <c:numRef>
              <c:f>Sheet1!$K$3:$K$12</c:f>
              <c:numCache>
                <c:formatCode>0.000</c:formatCode>
                <c:ptCount val="10"/>
                <c:pt idx="0">
                  <c:v>0.95882350000000005</c:v>
                </c:pt>
                <c:pt idx="1">
                  <c:v>0.95882350000000005</c:v>
                </c:pt>
                <c:pt idx="2">
                  <c:v>0.91764699999999999</c:v>
                </c:pt>
                <c:pt idx="3">
                  <c:v>0.94705799999999996</c:v>
                </c:pt>
                <c:pt idx="4">
                  <c:v>0.90588230000000003</c:v>
                </c:pt>
                <c:pt idx="5">
                  <c:v>0.94705799999999996</c:v>
                </c:pt>
                <c:pt idx="6">
                  <c:v>0.92352939999999994</c:v>
                </c:pt>
                <c:pt idx="7">
                  <c:v>0.92352939999999994</c:v>
                </c:pt>
                <c:pt idx="8">
                  <c:v>0.93529410000000002</c:v>
                </c:pt>
                <c:pt idx="9">
                  <c:v>0.92941169999999995</c:v>
                </c:pt>
              </c:numCache>
            </c:numRef>
          </c:val>
          <c:smooth val="0"/>
        </c:ser>
        <c:ser>
          <c:idx val="1"/>
          <c:order val="1"/>
          <c:tx>
            <c:v>Precision</c:v>
          </c:tx>
          <c:val>
            <c:numRef>
              <c:f>Sheet1!$L$3:$L$12</c:f>
              <c:numCache>
                <c:formatCode>0.000</c:formatCode>
                <c:ptCount val="10"/>
                <c:pt idx="0">
                  <c:v>0.94545400000000002</c:v>
                </c:pt>
                <c:pt idx="1">
                  <c:v>0.97029699999999997</c:v>
                </c:pt>
                <c:pt idx="2">
                  <c:v>0.94338999999999995</c:v>
                </c:pt>
                <c:pt idx="3">
                  <c:v>0.92379999999999995</c:v>
                </c:pt>
                <c:pt idx="4">
                  <c:v>0.94230000000000003</c:v>
                </c:pt>
                <c:pt idx="5">
                  <c:v>0.9375</c:v>
                </c:pt>
                <c:pt idx="6">
                  <c:v>0.961538</c:v>
                </c:pt>
                <c:pt idx="7">
                  <c:v>0.94</c:v>
                </c:pt>
                <c:pt idx="8">
                  <c:v>0.97221999999999997</c:v>
                </c:pt>
                <c:pt idx="9">
                  <c:v>0.93494999999999995</c:v>
                </c:pt>
              </c:numCache>
            </c:numRef>
          </c:val>
          <c:smooth val="0"/>
        </c:ser>
        <c:ser>
          <c:idx val="2"/>
          <c:order val="2"/>
          <c:tx>
            <c:v>Recall</c:v>
          </c:tx>
          <c:val>
            <c:numRef>
              <c:f>Sheet1!$M$3:$M$12</c:f>
              <c:numCache>
                <c:formatCode>0.000</c:formatCode>
                <c:ptCount val="10"/>
                <c:pt idx="0">
                  <c:v>0.99047600000000002</c:v>
                </c:pt>
                <c:pt idx="1">
                  <c:v>0.96078399999999997</c:v>
                </c:pt>
                <c:pt idx="2">
                  <c:v>0.92592589999999997</c:v>
                </c:pt>
                <c:pt idx="3">
                  <c:v>0.98979499999999998</c:v>
                </c:pt>
                <c:pt idx="4">
                  <c:v>0.90739999999999998</c:v>
                </c:pt>
                <c:pt idx="5">
                  <c:v>0.98129999999999995</c:v>
                </c:pt>
                <c:pt idx="6">
                  <c:v>0.917431</c:v>
                </c:pt>
                <c:pt idx="7">
                  <c:v>0.93069000000000002</c:v>
                </c:pt>
                <c:pt idx="8">
                  <c:v>0.92920000000000003</c:v>
                </c:pt>
                <c:pt idx="9">
                  <c:v>0.96638654999999996</c:v>
                </c:pt>
              </c:numCache>
            </c:numRef>
          </c:val>
          <c:smooth val="0"/>
        </c:ser>
        <c:ser>
          <c:idx val="3"/>
          <c:order val="3"/>
          <c:tx>
            <c:v>F-Measure</c:v>
          </c:tx>
          <c:val>
            <c:numRef>
              <c:f>Sheet1!$N$3:$N$12</c:f>
              <c:numCache>
                <c:formatCode>0.000</c:formatCode>
                <c:ptCount val="10"/>
                <c:pt idx="0">
                  <c:v>0.96743999999999997</c:v>
                </c:pt>
                <c:pt idx="1">
                  <c:v>0.96551699999999996</c:v>
                </c:pt>
                <c:pt idx="2">
                  <c:v>0.93457900000000005</c:v>
                </c:pt>
                <c:pt idx="3">
                  <c:v>0.95565999999999995</c:v>
                </c:pt>
                <c:pt idx="4">
                  <c:v>0.92452800000000002</c:v>
                </c:pt>
                <c:pt idx="5">
                  <c:v>0.95889999999999997</c:v>
                </c:pt>
                <c:pt idx="6">
                  <c:v>0.938967</c:v>
                </c:pt>
                <c:pt idx="7">
                  <c:v>0.93532000000000004</c:v>
                </c:pt>
                <c:pt idx="8">
                  <c:v>0.95022620000000002</c:v>
                </c:pt>
                <c:pt idx="9">
                  <c:v>0.95040000000000002</c:v>
                </c:pt>
              </c:numCache>
            </c:numRef>
          </c:val>
          <c:smooth val="0"/>
        </c:ser>
        <c:dLbls>
          <c:showLegendKey val="0"/>
          <c:showVal val="0"/>
          <c:showCatName val="0"/>
          <c:showSerName val="0"/>
          <c:showPercent val="0"/>
          <c:showBubbleSize val="0"/>
        </c:dLbls>
        <c:marker val="1"/>
        <c:smooth val="0"/>
        <c:axId val="52759936"/>
        <c:axId val="52766208"/>
      </c:lineChart>
      <c:catAx>
        <c:axId val="52759936"/>
        <c:scaling>
          <c:orientation val="minMax"/>
        </c:scaling>
        <c:delete val="0"/>
        <c:axPos val="b"/>
        <c:title>
          <c:tx>
            <c:rich>
              <a:bodyPr/>
              <a:lstStyle/>
              <a:p>
                <a:pPr>
                  <a:defRPr/>
                </a:pPr>
                <a:r>
                  <a:rPr lang="en-US"/>
                  <a:t>Boosting Rounds</a:t>
                </a:r>
              </a:p>
            </c:rich>
          </c:tx>
          <c:layout/>
          <c:overlay val="0"/>
        </c:title>
        <c:majorTickMark val="out"/>
        <c:minorTickMark val="none"/>
        <c:tickLblPos val="nextTo"/>
        <c:crossAx val="52766208"/>
        <c:crosses val="autoZero"/>
        <c:auto val="1"/>
        <c:lblAlgn val="ctr"/>
        <c:lblOffset val="100"/>
        <c:noMultiLvlLbl val="0"/>
      </c:catAx>
      <c:valAx>
        <c:axId val="52766208"/>
        <c:scaling>
          <c:orientation val="minMax"/>
        </c:scaling>
        <c:delete val="0"/>
        <c:axPos val="l"/>
        <c:majorGridlines/>
        <c:numFmt formatCode="0.000" sourceLinked="1"/>
        <c:majorTickMark val="out"/>
        <c:minorTickMark val="none"/>
        <c:tickLblPos val="nextTo"/>
        <c:crossAx val="52759936"/>
        <c:crosses val="autoZero"/>
        <c:crossBetween val="between"/>
      </c:valAx>
    </c:plotArea>
    <c:legend>
      <c:legendPos val="r"/>
      <c:layout/>
      <c:overlay val="0"/>
    </c:legend>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Weka DT Performance Measures</a:t>
            </a:r>
          </a:p>
        </c:rich>
      </c:tx>
      <c:layout/>
      <c:overlay val="0"/>
    </c:title>
    <c:autoTitleDeleted val="0"/>
    <c:plotArea>
      <c:layout/>
      <c:lineChart>
        <c:grouping val="standard"/>
        <c:varyColors val="0"/>
        <c:ser>
          <c:idx val="0"/>
          <c:order val="0"/>
          <c:tx>
            <c:v>Accuracy</c:v>
          </c:tx>
          <c:val>
            <c:numRef>
              <c:f>Sheet1!$W$3:$W$12</c:f>
              <c:numCache>
                <c:formatCode>0.000</c:formatCode>
                <c:ptCount val="10"/>
                <c:pt idx="0">
                  <c:v>0.93600000000000005</c:v>
                </c:pt>
                <c:pt idx="1">
                  <c:v>0.93600000000000005</c:v>
                </c:pt>
                <c:pt idx="2">
                  <c:v>0.96</c:v>
                </c:pt>
                <c:pt idx="3">
                  <c:v>0.95299999999999996</c:v>
                </c:pt>
                <c:pt idx="4">
                  <c:v>0.96</c:v>
                </c:pt>
                <c:pt idx="5">
                  <c:v>0.93600000000000005</c:v>
                </c:pt>
                <c:pt idx="6">
                  <c:v>0.93</c:v>
                </c:pt>
                <c:pt idx="7">
                  <c:v>0.93</c:v>
                </c:pt>
                <c:pt idx="8">
                  <c:v>0.93600000000000005</c:v>
                </c:pt>
                <c:pt idx="9">
                  <c:v>0.93600000000000005</c:v>
                </c:pt>
              </c:numCache>
            </c:numRef>
          </c:val>
          <c:smooth val="0"/>
        </c:ser>
        <c:ser>
          <c:idx val="1"/>
          <c:order val="1"/>
          <c:tx>
            <c:v>Precision</c:v>
          </c:tx>
          <c:val>
            <c:numRef>
              <c:f>Sheet1!$X$3:$X$12</c:f>
              <c:numCache>
                <c:formatCode>0.000</c:formatCode>
                <c:ptCount val="10"/>
                <c:pt idx="0">
                  <c:v>0.93600000000000005</c:v>
                </c:pt>
                <c:pt idx="1">
                  <c:v>0.93600000000000005</c:v>
                </c:pt>
                <c:pt idx="2">
                  <c:v>0.97099999999999997</c:v>
                </c:pt>
                <c:pt idx="3">
                  <c:v>0.95399999999999996</c:v>
                </c:pt>
                <c:pt idx="4">
                  <c:v>0.97099999999999997</c:v>
                </c:pt>
                <c:pt idx="5">
                  <c:v>0.95199999999999996</c:v>
                </c:pt>
                <c:pt idx="6">
                  <c:v>0.94299999999999995</c:v>
                </c:pt>
                <c:pt idx="7">
                  <c:v>0.94299999999999995</c:v>
                </c:pt>
                <c:pt idx="8">
                  <c:v>0.95199999999999996</c:v>
                </c:pt>
                <c:pt idx="9">
                  <c:v>0.94399999999999995</c:v>
                </c:pt>
              </c:numCache>
            </c:numRef>
          </c:val>
          <c:smooth val="0"/>
        </c:ser>
        <c:ser>
          <c:idx val="2"/>
          <c:order val="2"/>
          <c:tx>
            <c:v>Recall</c:v>
          </c:tx>
          <c:val>
            <c:numRef>
              <c:f>Sheet1!$Y$3:$Y$12</c:f>
              <c:numCache>
                <c:formatCode>0.000</c:formatCode>
                <c:ptCount val="10"/>
                <c:pt idx="0">
                  <c:v>0.96199999999999997</c:v>
                </c:pt>
                <c:pt idx="1">
                  <c:v>0.96199999999999997</c:v>
                </c:pt>
                <c:pt idx="2">
                  <c:v>0.96199999999999997</c:v>
                </c:pt>
                <c:pt idx="3">
                  <c:v>0.97199999999999998</c:v>
                </c:pt>
                <c:pt idx="4">
                  <c:v>0.96199999999999997</c:v>
                </c:pt>
                <c:pt idx="5">
                  <c:v>0.94299999999999995</c:v>
                </c:pt>
                <c:pt idx="6">
                  <c:v>0.94299999999999995</c:v>
                </c:pt>
                <c:pt idx="7">
                  <c:v>0.94299999999999995</c:v>
                </c:pt>
                <c:pt idx="8">
                  <c:v>0.94299999999999995</c:v>
                </c:pt>
                <c:pt idx="9">
                  <c:v>0.95299999999999996</c:v>
                </c:pt>
              </c:numCache>
            </c:numRef>
          </c:val>
          <c:smooth val="0"/>
        </c:ser>
        <c:ser>
          <c:idx val="3"/>
          <c:order val="3"/>
          <c:tx>
            <c:v>F-Measure</c:v>
          </c:tx>
          <c:val>
            <c:numRef>
              <c:f>Sheet1!$Z$3:$Z$12</c:f>
              <c:numCache>
                <c:formatCode>0.000</c:formatCode>
                <c:ptCount val="10"/>
                <c:pt idx="0">
                  <c:v>0.94899999999999995</c:v>
                </c:pt>
                <c:pt idx="1">
                  <c:v>0.94899999999999995</c:v>
                </c:pt>
                <c:pt idx="2">
                  <c:v>0.96699999999999997</c:v>
                </c:pt>
                <c:pt idx="3">
                  <c:v>0.96299999999999997</c:v>
                </c:pt>
                <c:pt idx="4">
                  <c:v>0.96699999999999997</c:v>
                </c:pt>
                <c:pt idx="5">
                  <c:v>0.94799999999999995</c:v>
                </c:pt>
                <c:pt idx="6">
                  <c:v>0.94299999999999995</c:v>
                </c:pt>
                <c:pt idx="7">
                  <c:v>0.94299999999999995</c:v>
                </c:pt>
                <c:pt idx="8">
                  <c:v>0.94799999999999995</c:v>
                </c:pt>
                <c:pt idx="9">
                  <c:v>0.94499999999999995</c:v>
                </c:pt>
              </c:numCache>
            </c:numRef>
          </c:val>
          <c:smooth val="0"/>
        </c:ser>
        <c:dLbls>
          <c:showLegendKey val="0"/>
          <c:showVal val="0"/>
          <c:showCatName val="0"/>
          <c:showSerName val="0"/>
          <c:showPercent val="0"/>
          <c:showBubbleSize val="0"/>
        </c:dLbls>
        <c:marker val="1"/>
        <c:smooth val="0"/>
        <c:axId val="52792320"/>
        <c:axId val="52802688"/>
      </c:lineChart>
      <c:catAx>
        <c:axId val="52792320"/>
        <c:scaling>
          <c:orientation val="minMax"/>
        </c:scaling>
        <c:delete val="0"/>
        <c:axPos val="b"/>
        <c:title>
          <c:tx>
            <c:rich>
              <a:bodyPr/>
              <a:lstStyle/>
              <a:p>
                <a:pPr>
                  <a:defRPr/>
                </a:pPr>
                <a:r>
                  <a:rPr lang="en-US"/>
                  <a:t>Boosting Rounds</a:t>
                </a:r>
              </a:p>
            </c:rich>
          </c:tx>
          <c:layout/>
          <c:overlay val="0"/>
        </c:title>
        <c:majorTickMark val="out"/>
        <c:minorTickMark val="none"/>
        <c:tickLblPos val="nextTo"/>
        <c:crossAx val="52802688"/>
        <c:crosses val="autoZero"/>
        <c:auto val="1"/>
        <c:lblAlgn val="ctr"/>
        <c:lblOffset val="100"/>
        <c:noMultiLvlLbl val="0"/>
      </c:catAx>
      <c:valAx>
        <c:axId val="52802688"/>
        <c:scaling>
          <c:orientation val="minMax"/>
          <c:max val="1"/>
          <c:min val="0.8600000000000001"/>
        </c:scaling>
        <c:delete val="0"/>
        <c:axPos val="l"/>
        <c:majorGridlines/>
        <c:numFmt formatCode="0.000" sourceLinked="1"/>
        <c:majorTickMark val="out"/>
        <c:minorTickMark val="none"/>
        <c:tickLblPos val="nextTo"/>
        <c:crossAx val="52792320"/>
        <c:crosses val="autoZero"/>
        <c:crossBetween val="between"/>
      </c:valAx>
    </c:plotArea>
    <c:legend>
      <c:legendPos val="r"/>
      <c:layout/>
      <c:overlay val="0"/>
    </c:legend>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Weka KNN Performance Measures</a:t>
            </a:r>
          </a:p>
        </c:rich>
      </c:tx>
      <c:layout/>
      <c:overlay val="0"/>
    </c:title>
    <c:autoTitleDeleted val="0"/>
    <c:plotArea>
      <c:layout/>
      <c:lineChart>
        <c:grouping val="standard"/>
        <c:varyColors val="0"/>
        <c:ser>
          <c:idx val="0"/>
          <c:order val="0"/>
          <c:tx>
            <c:v>Accuracy</c:v>
          </c:tx>
          <c:val>
            <c:numRef>
              <c:f>Sheet1!$AH$3:$AH$12</c:f>
              <c:numCache>
                <c:formatCode>0.000</c:formatCode>
                <c:ptCount val="10"/>
                <c:pt idx="0">
                  <c:v>0.97099999999999997</c:v>
                </c:pt>
                <c:pt idx="1">
                  <c:v>0.97099999999999997</c:v>
                </c:pt>
                <c:pt idx="2">
                  <c:v>0.94199999999999995</c:v>
                </c:pt>
                <c:pt idx="3">
                  <c:v>0.95299999999999996</c:v>
                </c:pt>
                <c:pt idx="4">
                  <c:v>0.95299999999999996</c:v>
                </c:pt>
                <c:pt idx="5">
                  <c:v>0.95299999999999996</c:v>
                </c:pt>
                <c:pt idx="6">
                  <c:v>0.95299999999999996</c:v>
                </c:pt>
                <c:pt idx="7">
                  <c:v>0.95299999999999996</c:v>
                </c:pt>
                <c:pt idx="8">
                  <c:v>0.95299999999999996</c:v>
                </c:pt>
                <c:pt idx="9">
                  <c:v>0.95299999999999996</c:v>
                </c:pt>
              </c:numCache>
            </c:numRef>
          </c:val>
          <c:smooth val="0"/>
        </c:ser>
        <c:ser>
          <c:idx val="1"/>
          <c:order val="1"/>
          <c:tx>
            <c:v>Precision</c:v>
          </c:tx>
          <c:val>
            <c:numRef>
              <c:f>Sheet1!$AI$3:$AI$12</c:f>
              <c:numCache>
                <c:formatCode>0.000</c:formatCode>
                <c:ptCount val="10"/>
                <c:pt idx="0">
                  <c:v>0.96299999999999997</c:v>
                </c:pt>
                <c:pt idx="1">
                  <c:v>0.96299999999999997</c:v>
                </c:pt>
                <c:pt idx="2">
                  <c:v>0.95299999999999996</c:v>
                </c:pt>
                <c:pt idx="3">
                  <c:v>0.97099999999999997</c:v>
                </c:pt>
                <c:pt idx="4">
                  <c:v>0.97099999999999997</c:v>
                </c:pt>
                <c:pt idx="5">
                  <c:v>0.97099999999999997</c:v>
                </c:pt>
                <c:pt idx="6">
                  <c:v>0.97099999999999997</c:v>
                </c:pt>
                <c:pt idx="7">
                  <c:v>0.97099999999999997</c:v>
                </c:pt>
                <c:pt idx="8">
                  <c:v>0.97099999999999997</c:v>
                </c:pt>
                <c:pt idx="9">
                  <c:v>0.97099999999999997</c:v>
                </c:pt>
              </c:numCache>
            </c:numRef>
          </c:val>
          <c:smooth val="0"/>
        </c:ser>
        <c:ser>
          <c:idx val="2"/>
          <c:order val="2"/>
          <c:tx>
            <c:v>Recall</c:v>
          </c:tx>
          <c:val>
            <c:numRef>
              <c:f>Sheet1!$AJ$3:$AJ$12</c:f>
              <c:numCache>
                <c:formatCode>0.000</c:formatCode>
                <c:ptCount val="10"/>
                <c:pt idx="0">
                  <c:v>0.99099999999999999</c:v>
                </c:pt>
                <c:pt idx="1">
                  <c:v>0.99099999999999999</c:v>
                </c:pt>
                <c:pt idx="2">
                  <c:v>0.95299999999999996</c:v>
                </c:pt>
                <c:pt idx="3">
                  <c:v>0.95299999999999996</c:v>
                </c:pt>
                <c:pt idx="4">
                  <c:v>0.95299999999999996</c:v>
                </c:pt>
                <c:pt idx="5">
                  <c:v>0.95299999999999996</c:v>
                </c:pt>
                <c:pt idx="6">
                  <c:v>0.95299999999999996</c:v>
                </c:pt>
                <c:pt idx="7">
                  <c:v>0.95299999999999996</c:v>
                </c:pt>
                <c:pt idx="8">
                  <c:v>0.95299999999999996</c:v>
                </c:pt>
                <c:pt idx="9">
                  <c:v>0.95299999999999996</c:v>
                </c:pt>
              </c:numCache>
            </c:numRef>
          </c:val>
          <c:smooth val="0"/>
        </c:ser>
        <c:ser>
          <c:idx val="3"/>
          <c:order val="3"/>
          <c:tx>
            <c:v>F-Measure</c:v>
          </c:tx>
          <c:val>
            <c:numRef>
              <c:f>Sheet1!$AK$3:$AK$12</c:f>
              <c:numCache>
                <c:formatCode>0.000</c:formatCode>
                <c:ptCount val="10"/>
                <c:pt idx="0">
                  <c:v>0.97699999999999998</c:v>
                </c:pt>
                <c:pt idx="1">
                  <c:v>0.97699999999999998</c:v>
                </c:pt>
                <c:pt idx="2">
                  <c:v>0.95299999999999996</c:v>
                </c:pt>
                <c:pt idx="3">
                  <c:v>0.96199999999999997</c:v>
                </c:pt>
                <c:pt idx="4">
                  <c:v>0.96199999999999997</c:v>
                </c:pt>
                <c:pt idx="5">
                  <c:v>0.96199999999999997</c:v>
                </c:pt>
                <c:pt idx="6">
                  <c:v>0.96199999999999997</c:v>
                </c:pt>
                <c:pt idx="7">
                  <c:v>0.96199999999999997</c:v>
                </c:pt>
                <c:pt idx="8">
                  <c:v>0.96199999999999997</c:v>
                </c:pt>
                <c:pt idx="9">
                  <c:v>0.96199999999999997</c:v>
                </c:pt>
              </c:numCache>
            </c:numRef>
          </c:val>
          <c:smooth val="0"/>
        </c:ser>
        <c:dLbls>
          <c:showLegendKey val="0"/>
          <c:showVal val="0"/>
          <c:showCatName val="0"/>
          <c:showSerName val="0"/>
          <c:showPercent val="0"/>
          <c:showBubbleSize val="0"/>
        </c:dLbls>
        <c:marker val="1"/>
        <c:smooth val="0"/>
        <c:axId val="49757568"/>
        <c:axId val="49759744"/>
      </c:lineChart>
      <c:catAx>
        <c:axId val="49757568"/>
        <c:scaling>
          <c:orientation val="minMax"/>
        </c:scaling>
        <c:delete val="0"/>
        <c:axPos val="b"/>
        <c:title>
          <c:tx>
            <c:rich>
              <a:bodyPr/>
              <a:lstStyle/>
              <a:p>
                <a:pPr>
                  <a:defRPr/>
                </a:pPr>
                <a:r>
                  <a:rPr lang="en-US"/>
                  <a:t>Boosting Rounds</a:t>
                </a:r>
              </a:p>
            </c:rich>
          </c:tx>
          <c:layout/>
          <c:overlay val="0"/>
        </c:title>
        <c:majorTickMark val="out"/>
        <c:minorTickMark val="none"/>
        <c:tickLblPos val="nextTo"/>
        <c:crossAx val="49759744"/>
        <c:crosses val="autoZero"/>
        <c:auto val="1"/>
        <c:lblAlgn val="ctr"/>
        <c:lblOffset val="100"/>
        <c:noMultiLvlLbl val="0"/>
      </c:catAx>
      <c:valAx>
        <c:axId val="49759744"/>
        <c:scaling>
          <c:orientation val="minMax"/>
          <c:max val="1"/>
          <c:min val="0.8600000000000001"/>
        </c:scaling>
        <c:delete val="0"/>
        <c:axPos val="l"/>
        <c:majorGridlines/>
        <c:numFmt formatCode="0.000" sourceLinked="1"/>
        <c:majorTickMark val="out"/>
        <c:minorTickMark val="none"/>
        <c:tickLblPos val="nextTo"/>
        <c:crossAx val="49757568"/>
        <c:crosses val="autoZero"/>
        <c:crossBetween val="between"/>
      </c:valAx>
    </c:plotArea>
    <c:legend>
      <c:legendPos val="r"/>
      <c:layout/>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TotalTime>
  <Pages>11</Pages>
  <Words>2334</Words>
  <Characters>13305</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Brad</dc:creator>
  <cp:lastModifiedBy>Brad</cp:lastModifiedBy>
  <cp:revision>9</cp:revision>
  <dcterms:created xsi:type="dcterms:W3CDTF">2017-12-01T20:35:00Z</dcterms:created>
  <dcterms:modified xsi:type="dcterms:W3CDTF">2017-12-01T23:47:00Z</dcterms:modified>
</cp:coreProperties>
</file>