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  <w:r w:rsidR="00731761">
        <w:t xml:space="preserve"> Binarna select operacija nad RRR strukturom ima logaritamsku složenost.</w:t>
      </w:r>
    </w:p>
    <w:p w:rsidR="006852BB" w:rsidRPr="00731761" w:rsidRDefault="00731761">
      <w:pPr>
        <w:rPr>
          <w:vertAlign w:val="subscript"/>
        </w:rPr>
      </w:pPr>
      <w:r>
        <w:t>Izraz za memorijsku složenost stabla valića dan je s: nH</w:t>
      </w:r>
      <w:r>
        <w:rPr>
          <w:vertAlign w:val="subscript"/>
        </w:rPr>
        <w:t>0</w:t>
      </w:r>
      <w:r>
        <w:t>(S) + o(|S| log</w:t>
      </w:r>
      <w:r>
        <w:rPr>
          <w:vertAlign w:val="subscript"/>
        </w:rPr>
        <w:t>2</w:t>
      </w:r>
      <w:r>
        <w:t>(A) ) gdje je H</w:t>
      </w:r>
      <w:r>
        <w:rPr>
          <w:vertAlign w:val="subscript"/>
        </w:rPr>
        <w:t>0</w:t>
      </w:r>
      <w:r>
        <w:t xml:space="preserve">(S) </w:t>
      </w:r>
      <w:r w:rsidR="000F2441">
        <w:t>nulta entropija ulaznog niza, a A veličina abecede. Izraz za memorijsko zauzeće RRR strukture kada njome kodiramo bit-vektor B glasi: nH</w:t>
      </w:r>
      <w:r w:rsidR="000F2441">
        <w:rPr>
          <w:vertAlign w:val="subscript"/>
        </w:rPr>
        <w:t>0</w:t>
      </w:r>
      <w:r w:rsidR="000F2441">
        <w:t xml:space="preserve">(B) + o(n) bitova. </w:t>
      </w:r>
      <w:r w:rsidR="006852BB"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3664FD" w:rsidRPr="000D0968" w:rsidRDefault="003664FD" w:rsidP="00D8135B"/>
    <w:p w:rsidR="00D8135B" w:rsidRDefault="00020066" w:rsidP="003E5DC4">
      <w:pPr>
        <w:pStyle w:val="Heading2"/>
        <w:numPr>
          <w:ilvl w:val="1"/>
          <w:numId w:val="1"/>
        </w:numPr>
      </w:pPr>
      <w:r>
        <w:t>Implementacija u programskom jeziku Java</w:t>
      </w:r>
    </w:p>
    <w:p w:rsidR="00020066" w:rsidRDefault="00020066" w:rsidP="00020066"/>
    <w:p w:rsidR="0082491A" w:rsidRDefault="0082491A" w:rsidP="00165C87">
      <w:r>
        <w:t>Implementacija u programskom jeziku Java može biti podijelje</w:t>
      </w:r>
      <w:r w:rsidR="00165C87">
        <w:t>na na nekoliko modularnih ključnih cjelina koji u konačnici grade skupnu implementaciju:</w:t>
      </w:r>
    </w:p>
    <w:p w:rsidR="00165C87" w:rsidRDefault="00165C87" w:rsidP="00165C87">
      <w:pPr>
        <w:pStyle w:val="ListParagraph"/>
        <w:numPr>
          <w:ilvl w:val="0"/>
          <w:numId w:val="12"/>
        </w:numPr>
      </w:pPr>
      <w:r>
        <w:t>Sučelja TreeOperations, Rankable, Selectable</w:t>
      </w:r>
    </w:p>
    <w:p w:rsidR="00620330" w:rsidRDefault="00620330" w:rsidP="00620330">
      <w:r>
        <w:t>Sučelja Rankable i Selectable naslijeđuju sučelje TreeOperations</w:t>
      </w:r>
      <w:r w:rsidR="00372F12">
        <w:t>, a ukupno sadrže dvije metode koje su srž postojanja stabla valića i RRR strukture ( i njihove kompozicije):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rank(char c, int endPos, TreeNode rootNode) – funkcija vraća rank parametra 'c' na poziciji endPos za stablo kojem je korijen zadan s rootNode</w:t>
      </w:r>
    </w:p>
    <w:p w:rsidR="00372F12" w:rsidRDefault="00372F12" w:rsidP="00372F12">
      <w:pPr>
        <w:pStyle w:val="ListParagraph"/>
        <w:numPr>
          <w:ilvl w:val="0"/>
          <w:numId w:val="13"/>
        </w:numPr>
      </w:pPr>
      <w:r>
        <w:t>Public int select(char c, int boundary, TreeNode, rootNode) – funkcija vraća select parametra 'c' do pozicije boundary za stablo kojem je korijen zadan s rootNode</w:t>
      </w:r>
    </w:p>
    <w:p w:rsidR="00372F12" w:rsidRDefault="00372F12" w:rsidP="00372F12">
      <w:r>
        <w:t>Ova sučelja implementiraju svi razredi nad kojima se mogu izvesti ove dvije operacije, a u ovom konkretnom slučaju to su razredi Tre</w:t>
      </w:r>
      <w:r w:rsidR="00F93C5E">
        <w:t>eNode, RRRBlock i BooleanArrray.</w:t>
      </w:r>
    </w:p>
    <w:p w:rsidR="00165C87" w:rsidRDefault="00B66A4F" w:rsidP="00165C87">
      <w:pPr>
        <w:pStyle w:val="ListParagraph"/>
        <w:numPr>
          <w:ilvl w:val="0"/>
          <w:numId w:val="12"/>
        </w:numPr>
      </w:pPr>
      <w:r>
        <w:t>Razredi za opis stabla valića: TreeNode, WaveletTree, WaveletTreeBuilder</w:t>
      </w:r>
    </w:p>
    <w:p w:rsidR="00815179" w:rsidRDefault="00815179" w:rsidP="00815179">
      <w:r>
        <w:t xml:space="preserve">Ovi razredi modeliraju stablo valića. Razred TreeNode modelira jedan čvor stabla, a parametriziran je parametrom T koji mora implementirati sučelje TreeOperations. Na taj način se postiže da čvor stabla valića može biti bilo koja struktura nad kojom se mogu izvesti operacije rank i select. </w:t>
      </w:r>
    </w:p>
    <w:p w:rsidR="0040524D" w:rsidRDefault="0040524D" w:rsidP="00815179">
      <w:r>
        <w:t>Razred WaveletTreeBuilder služi izgradnji stabla valića. Pored pomoćnih (privatnih) metoda, najvažnije su: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TreeNode&lt;BooleanArray&gt; fromString(String string, Map&lt;Character, Boolean&gt; charMap, int min, int max)</w:t>
      </w:r>
    </w:p>
    <w:p w:rsidR="0040524D" w:rsidRDefault="0040524D" w:rsidP="0040524D">
      <w:pPr>
        <w:pStyle w:val="ListParagraph"/>
        <w:numPr>
          <w:ilvl w:val="0"/>
          <w:numId w:val="14"/>
        </w:numPr>
      </w:pPr>
      <w:r w:rsidRPr="0040524D">
        <w:t>private TreeNode&lt;</w:t>
      </w:r>
      <w:r>
        <w:t>RRRBlock</w:t>
      </w:r>
      <w:r w:rsidRPr="0040524D">
        <w:t>&gt; fromString(String string, Map&lt;Character, Boolean&gt; charMap, int min, int max)</w:t>
      </w:r>
    </w:p>
    <w:p w:rsidR="002E0645" w:rsidRDefault="002E0645" w:rsidP="002E0645">
      <w:r>
        <w:t xml:space="preserve">Obje metode su privatne, pozivaju ih javne metode istog imena koje kao parametar primaju samo ulazni znakovni niz. Razlog ovakve arhitekture jest rekurzivna izgradnja stabla. Gore navedene </w:t>
      </w:r>
      <w:r>
        <w:lastRenderedPageBreak/>
        <w:t>metode kao parametre primaju ulazni niz, Hash mapu preslikavanja pojedinog karaktera u boolean te gornju i donju granicu izgradnje.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Razredi za opis RRR strukture: RRRBlock, RRRLookUpTable</w:t>
      </w:r>
    </w:p>
    <w:p w:rsidR="006F2265" w:rsidRDefault="00AE6F2C" w:rsidP="00AE6F2C">
      <w:r>
        <w:t xml:space="preserve">Ovi razredi modeliraju RRR strukture. Razred RRRBlock predstavlja jednu standardnu RRR strukturu sa svim podacima i parametrima. RRR struktura se stvara iz BooleanArray – a kojeg kao parametar prima u konstruktoru razreda. Razred RRRLookUpTable modelira Look – up tablicu za klase i offsete RRR strukture. U ovoj verziji implementacije, svaki čvor stabla valića (tj. svaka RRR struktura koja jest čvor tog stabla) ima vlastitu RRR Look – up tablicu čime se postiže veća granularnost nauštrb memorije. </w:t>
      </w:r>
      <w:r w:rsidR="006912C2">
        <w:t>Ovo ponašanje može se relativno lako promijeniti pretvaranjem razreda RRRLookUpTable u singleton.</w:t>
      </w:r>
      <w:r w:rsidR="006F2265">
        <w:t xml:space="preserve"> Važnije metode su:</w:t>
      </w:r>
    </w:p>
    <w:p w:rsidR="006F2265" w:rsidRDefault="006F2265" w:rsidP="006F2265">
      <w:pPr>
        <w:pStyle w:val="ListParagraph"/>
        <w:numPr>
          <w:ilvl w:val="0"/>
          <w:numId w:val="15"/>
        </w:numPr>
      </w:pPr>
      <w:r>
        <w:t>RRRBlock:</w:t>
      </w:r>
    </w:p>
    <w:p w:rsidR="006F2265" w:rsidRDefault="006F2265" w:rsidP="00D15262">
      <w:pPr>
        <w:pStyle w:val="ListParagraph"/>
        <w:numPr>
          <w:ilvl w:val="1"/>
          <w:numId w:val="15"/>
        </w:numPr>
      </w:pPr>
      <w:r>
        <w:t xml:space="preserve">Private void init() – inicijalizira RRR strukturu </w:t>
      </w:r>
      <w:r w:rsidR="00D15262">
        <w:t xml:space="preserve">(stvara klase, offsete i superblokove) </w:t>
      </w:r>
      <w:r>
        <w:t>iz BooleanArray – 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Private int getOffset(BooleanArray inputArray, int popCount) – vraća pripadajuću permutaciju za BooleanArray i razred</w:t>
      </w:r>
    </w:p>
    <w:p w:rsidR="00D15262" w:rsidRDefault="00D15262" w:rsidP="00D15262">
      <w:pPr>
        <w:pStyle w:val="ListParagraph"/>
        <w:numPr>
          <w:ilvl w:val="0"/>
          <w:numId w:val="15"/>
        </w:numPr>
      </w:pPr>
      <w:r>
        <w:t>RRRLookUpTable: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void generateTable(int length) – generira Look – up tablicu za zadanu duljinu niza</w:t>
      </w:r>
    </w:p>
    <w:p w:rsidR="00D15262" w:rsidRDefault="00D15262" w:rsidP="00D15262">
      <w:pPr>
        <w:pStyle w:val="ListParagraph"/>
        <w:numPr>
          <w:ilvl w:val="1"/>
          <w:numId w:val="15"/>
        </w:numPr>
      </w:pPr>
      <w:r>
        <w:t>Public static int nextPermutation(int v) – vraća sljedeću binarnu permutaciju za integer zadan parametrom v</w:t>
      </w:r>
    </w:p>
    <w:p w:rsidR="00620330" w:rsidRDefault="00620330" w:rsidP="00165C87">
      <w:pPr>
        <w:pStyle w:val="ListParagraph"/>
        <w:numPr>
          <w:ilvl w:val="0"/>
          <w:numId w:val="12"/>
        </w:numPr>
      </w:pPr>
      <w:r>
        <w:t>Razred za opis polja bitova: BooleanArray</w:t>
      </w:r>
    </w:p>
    <w:p w:rsidR="00E468C1" w:rsidRDefault="00AC4F8F" w:rsidP="00E468C1">
      <w:r>
        <w:t>Ovaj razred enkapsulira obično polje boolean – a a uveden je radi parametrizacije razreda TreeNode jer u suprotnom ne bi bilo moguće postaviti gornju ogradu na parametar T (T extends TreeOperations). Razred prima polje boolean – a u konstruktoru te stvara lokalnu kopiju tog polja.</w:t>
      </w:r>
    </w:p>
    <w:p w:rsidR="00B66A4F" w:rsidRDefault="00B66A4F" w:rsidP="00165C87">
      <w:pPr>
        <w:pStyle w:val="ListParagraph"/>
        <w:numPr>
          <w:ilvl w:val="0"/>
          <w:numId w:val="12"/>
        </w:numPr>
      </w:pPr>
      <w:r>
        <w:t>Razred za učitavanje Fasta datoteka: Fasta</w:t>
      </w:r>
    </w:p>
    <w:p w:rsidR="00641C94" w:rsidRDefault="00641C94" w:rsidP="00641C94">
      <w:r>
        <w:t xml:space="preserve">Razred Fasta enkapsulira datoteku po FASTA standardu. </w:t>
      </w:r>
      <w:r w:rsidR="0009278F">
        <w:t>Osim field – ova za komentare i očitanja za koje postoje pripadajući getteri i setteri, razred ima metodu:</w:t>
      </w:r>
    </w:p>
    <w:p w:rsidR="0009278F" w:rsidRDefault="0009278F" w:rsidP="0009278F">
      <w:pPr>
        <w:pStyle w:val="ListParagraph"/>
        <w:numPr>
          <w:ilvl w:val="0"/>
          <w:numId w:val="16"/>
        </w:numPr>
      </w:pPr>
      <w:r>
        <w:t>Public static Fasta fromFile(String fileName) throws IOException</w:t>
      </w:r>
    </w:p>
    <w:p w:rsidR="0009278F" w:rsidRDefault="0009278F" w:rsidP="0009278F">
      <w:r>
        <w:t>Koji kao parametar prima putanju do FASTA datoteke, a vraća pripadajući model te iste datoteke.</w:t>
      </w:r>
    </w:p>
    <w:p w:rsidR="00B66A4F" w:rsidRPr="00020066" w:rsidRDefault="00B66A4F" w:rsidP="00165C87">
      <w:pPr>
        <w:pStyle w:val="ListParagraph"/>
        <w:numPr>
          <w:ilvl w:val="0"/>
          <w:numId w:val="12"/>
        </w:numPr>
      </w:pPr>
      <w:r>
        <w:t>Main razred: Main</w:t>
      </w:r>
    </w:p>
    <w:p w:rsidR="006650AD" w:rsidRDefault="00AC2B1D" w:rsidP="006650AD">
      <w:r>
        <w:t>Razred Main sadrži ulaznu točku programa (metodu main) koja se primarno koristila za testiranje programa. Osim metode main, razred sadrži nekoliko statičkih metoda za analitiku programa: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inOrder(TreeNode&lt;RRRBlock&gt; rootNode) – Inorder obilazak stabla valića gdje je čvor RRR struktura</w:t>
      </w:r>
    </w:p>
    <w:p w:rsidR="00AC2B1D" w:rsidRDefault="00AC2B1D" w:rsidP="00AC2B1D">
      <w:pPr>
        <w:pStyle w:val="ListParagraph"/>
        <w:numPr>
          <w:ilvl w:val="0"/>
          <w:numId w:val="16"/>
        </w:numPr>
      </w:pPr>
      <w:r>
        <w:t>inOrderBA(TreeNode&lt;BooleanArray&gt; rootNode) – Inorder obilazak stabla valića gdje je čvor BooleanArray</w:t>
      </w:r>
    </w:p>
    <w:p w:rsidR="00295687" w:rsidRDefault="000A6258" w:rsidP="000A6258">
      <w:r>
        <w:lastRenderedPageBreak/>
        <w:t xml:space="preserve">Ove dvije metode Inorder obilaskom stabla daju ukupno memorijsko zauzeće stabla. </w:t>
      </w:r>
      <w:r w:rsidR="004A4BB7">
        <w:t>Glavni program korištenjem statičke metode System.nanoTime() računa trajanje izvršavanja izgradnje stabla, operacije rank i operacije select.</w:t>
      </w:r>
    </w:p>
    <w:p w:rsidR="00295687" w:rsidRDefault="00295687" w:rsidP="000A6258">
      <w:r>
        <w:t>Za pokretanje implementacije potrebni su slijedeći koraci: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>Otvoriti konzolu</w:t>
      </w:r>
    </w:p>
    <w:p w:rsidR="00295687" w:rsidRDefault="00295687" w:rsidP="00295687">
      <w:pPr>
        <w:pStyle w:val="ListParagraph"/>
        <w:numPr>
          <w:ilvl w:val="0"/>
          <w:numId w:val="17"/>
        </w:numPr>
      </w:pPr>
      <w:r>
        <w:t xml:space="preserve">Pozicionirati se u </w:t>
      </w:r>
      <w:r w:rsidR="00FA0429">
        <w:t>direktorij s implementacijom</w:t>
      </w:r>
    </w:p>
    <w:p w:rsidR="00FA0429" w:rsidRDefault="00FA0429" w:rsidP="00295687">
      <w:pPr>
        <w:pStyle w:val="ListParagraph"/>
        <w:numPr>
          <w:ilvl w:val="0"/>
          <w:numId w:val="17"/>
        </w:numPr>
      </w:pPr>
      <w:r>
        <w:t>Pozicionirati se u direktorij out/production/WaveletTreeRRR</w:t>
      </w:r>
    </w:p>
    <w:p w:rsidR="00111666" w:rsidRDefault="00FA0429" w:rsidP="00111666">
      <w:pPr>
        <w:pStyle w:val="ListParagraph"/>
        <w:numPr>
          <w:ilvl w:val="0"/>
          <w:numId w:val="17"/>
        </w:numPr>
      </w:pPr>
      <w:r>
        <w:t xml:space="preserve">Naredba „java hr.fer.bio.project.main.Main </w:t>
      </w:r>
      <w:r w:rsidRPr="00FA0429">
        <w:t>FileName (R|S) Character EndBound</w:t>
      </w:r>
      <w:r>
        <w:t>“ gdje je FileName putanja do FASTA datoteke, (R|S) karakter kojim se određuje zahtjev na operaciju rank ili select, Character karakter za koji se izvodi tražena operacija i EndBound granica izvršavanja tražene operacije.</w:t>
      </w:r>
      <w:bookmarkStart w:id="0" w:name="_GoBack"/>
      <w:bookmarkEnd w:id="0"/>
    </w:p>
    <w:p w:rsidR="003664FD" w:rsidRDefault="003664FD" w:rsidP="003664FD"/>
    <w:p w:rsidR="003664FD" w:rsidRDefault="003664FD" w:rsidP="003664FD">
      <w:pPr>
        <w:pStyle w:val="Heading2"/>
        <w:numPr>
          <w:ilvl w:val="1"/>
          <w:numId w:val="1"/>
        </w:numPr>
      </w:pPr>
      <w:r>
        <w:t>Implementacija u programskom jeziku C++</w:t>
      </w:r>
    </w:p>
    <w:p w:rsidR="003664FD" w:rsidRPr="003664FD" w:rsidRDefault="003664FD" w:rsidP="003664FD"/>
    <w:p w:rsidR="003664FD" w:rsidRDefault="003664FD" w:rsidP="003664FD">
      <w:r>
        <w:t>Implementacija u programskom jeziku C++ ostvarena je kroz 4 klase: RRR, RRRBlock, RRRTable, WaveletTree i sučelje WTNode kojeg implementiraju klase WTInternalNode i WTLeafNode.</w:t>
      </w:r>
    </w:p>
    <w:p w:rsidR="003664FD" w:rsidRDefault="003664FD" w:rsidP="003664FD">
      <w:r>
        <w:t>RRR strukture ostvarena je u klasi RRR. Klasa u konstruktoru prima veličinu ulaznog niza na temelju kojeg računa i pohranjuje veličinu blokova i broj blokova i jednom superbloku. Nakon toga blokovi u RRR strukturu se dodaju metodom AddBlock koja kao parametre prima blok i veličinu bloka. Dodavanjem novog bloka u klasi se pamti veličina zadnjeg bloka jer zadnji blok može biti i manji od izračunate veličine. Blokovi se predaju kao uint16_t tip podataka. Prilikom dodavanja određuje se njegov razred (broj jedinica u bloku) i offset u tablici permutacija, te se za svaki blok pohranjuju te vrijednosti. Klasa RRR ima metode Access koja kao parametar prima indeks i vraća vrijednost i-tog bita u bitmapu kodiranog RRR strukturom, te metode Rank0, Rank1, Select0 i Select1 za operacije Rank i Select.</w:t>
      </w:r>
    </w:p>
    <w:p w:rsidR="003664FD" w:rsidRDefault="003664FD" w:rsidP="003664FD">
      <w:r>
        <w:t>RRRTable je klasa koja implementira tablicu svih 16-bitnih permutacija za sve moguće kombinacije nula i jedinica. Klasa je ostvarena kao dvodimenzionalno polje vektora pri čemu je prvi parametar razred bloka, a drugi blok offset. RRRTable je ostvarena pomoću Singleton obrasca tako da u memoriji postoji samo jedna instanca tablice koju koriste sve RRR strukture u programu. Klasa sadrži i brojač koliko objekata koristi tablicu, te se stvara kada ju koristi barem jedan objekt, a briše se iz memorije kada brojač ima vrijednost nula. RRRTable ima metode GetBlock za dohvaćanje bloka iz tablice i GetOffset za određivanje offseta bloka u tablici.</w:t>
      </w:r>
    </w:p>
    <w:p w:rsidR="003664FD" w:rsidRDefault="003664FD" w:rsidP="003664FD">
      <w:r>
        <w:t>RRRBlock je klasa koja implementira jedan RRR blok. Klasa pohranjuje samo dvije vrijednosti: razred i offset. Ima i dvije metode: GetClass i GetOffset za dohvaćanje koje vraćaju razred i offset bloka.</w:t>
      </w:r>
    </w:p>
    <w:p w:rsidR="003664FD" w:rsidRDefault="003664FD" w:rsidP="003664FD">
      <w:r>
        <w:t xml:space="preserve">Wavelet stablo ostvareno je pomoću razreda WaveletTree. Klasa ima dvije static metode za stvaranje stabla iz ulaznog stringa i iz FASTA datoteke. Ima metodu Rank koja kao ulazne argumente prima znak i index, te vraća broj pojavljivanja danog znaka od početka stringa do zadanog indeksa uključivo. Metoda select također prima znak i broj, te vraća indeks n-tog pojavljivanja zadanog znaka gdje je n </w:t>
      </w:r>
      <w:r>
        <w:lastRenderedPageBreak/>
        <w:t>zadan kao drugi parametar. Ukoliko se stablo stvara iz FASTA datoteke, tada se u klasi pohranjuje i opis niza.</w:t>
      </w:r>
    </w:p>
    <w:p w:rsidR="003664FD" w:rsidRDefault="003664FD" w:rsidP="003664FD">
      <w:r>
        <w:t>Klase WTInternalNode i WTLeafNode ostvaruju čvorove wavelet stabla. WTInternalNode se koristi za unutarnje čvorove. On sadrži RRR niz i dva pokazivača na lijevo i desno dijete. Ima metode GetChaRank,  GetCharSelect i Access pomoću kojih su ostvarene operacije Rank, Select i Access.</w:t>
      </w:r>
    </w:p>
    <w:p w:rsidR="003664FD" w:rsidRPr="00B50800" w:rsidRDefault="003664FD" w:rsidP="003664FD">
      <w:r>
        <w:t>Klasa WTLeafNode sadrži samo jedan znak abecede. Pozivom metode Access vraća se pohranjeni znak.</w:t>
      </w:r>
    </w:p>
    <w:p w:rsidR="003664FD" w:rsidRDefault="003664FD" w:rsidP="003664FD">
      <w:pPr>
        <w:pStyle w:val="Heading2"/>
      </w:pPr>
    </w:p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</w:t>
      </w:r>
      <w:r w:rsidR="000F2441">
        <w:t xml:space="preserve"> (1-4)</w:t>
      </w:r>
      <w:r>
        <w:t>.</w:t>
      </w:r>
    </w:p>
    <w:p w:rsidR="00DF24FB" w:rsidRDefault="000F2441" w:rsidP="000D4458">
      <w:r>
        <w:t>U prvoj tablici dana su memorijska zauzeća i vri</w:t>
      </w:r>
      <w:r w:rsidR="00323FF8">
        <w:t>jeme potrebno za izgradnju stab</w:t>
      </w:r>
      <w:r>
        <w:t xml:space="preserve">la valića bez RRR strukture. </w:t>
      </w:r>
      <w:r w:rsidR="00323FF8">
        <w:t>Neki rezultati nedostaju, jer to nije bio primarni cilj projekta, ova tablica više služi kao referentna, kako bi vidjeli koliko povećanje vremena i memorije uzrokuje RRR struktura za pojedine implementacije.</w:t>
      </w:r>
    </w:p>
    <w:p w:rsidR="00323FF8" w:rsidRDefault="00323FF8" w:rsidP="000D4458">
      <w:r>
        <w:t>U drugoj tablici dana su memorijska zauzeća i vremena potrebna za izgradnju stabla valića s RRR strukturom umjesto bit-vektora.</w:t>
      </w:r>
    </w:p>
    <w:p w:rsidR="00323FF8" w:rsidRDefault="00323FF8" w:rsidP="000D4458">
      <w:r>
        <w:t>Treća tablica (slično kao i prva) koristi se samo za usporedbu s četvrtom. U njoj su dana vremena izvođenja rank i select operacija nad stablom valića bez RRR strukture.</w:t>
      </w:r>
    </w:p>
    <w:p w:rsidR="00323FF8" w:rsidRDefault="00323FF8" w:rsidP="000D4458">
      <w:pPr>
        <w:sectPr w:rsidR="00323FF8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U četvrtoj tablici su dana vremena izvođenja rank i select operacija s RRR strukturom. </w:t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1. Usporedba vremena izgradnje stabla valića s binarnim vektorima kao čvorovima</w:t>
      </w:r>
    </w:p>
    <w:p w:rsidR="00323FF8" w:rsidRDefault="0018505C" w:rsidP="0018505C">
      <w:pPr>
        <w:rPr>
          <w:i/>
        </w:rPr>
      </w:pPr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</w:p>
    <w:p w:rsidR="00CE46F8" w:rsidRDefault="00CE46F8" w:rsidP="0018505C">
      <w:r>
        <w:br w:type="page"/>
      </w:r>
    </w:p>
    <w:tbl>
      <w:tblPr>
        <w:tblStyle w:val="TableGrid"/>
        <w:tblW w:w="5000" w:type="pct"/>
        <w:tblLook w:val="04A0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18505C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 xml:space="preserve">Input.fa, </w:t>
            </w:r>
          </w:p>
          <w:p w:rsidR="00805A2B" w:rsidRDefault="00805A2B" w:rsidP="0018505C">
            <w:pPr>
              <w:jc w:val="center"/>
            </w:pPr>
            <w:r>
              <w:t>n = 502,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Input1.fa,</w:t>
            </w:r>
          </w:p>
          <w:p w:rsidR="00805A2B" w:rsidRDefault="00805A2B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18505C">
            <w:pPr>
              <w:jc w:val="center"/>
            </w:pPr>
            <w:r>
              <w:t>Input2.fas,</w:t>
            </w:r>
          </w:p>
          <w:p w:rsidR="00805A2B" w:rsidRDefault="00805A2B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18505C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Input.fa,</w:t>
            </w:r>
          </w:p>
          <w:p w:rsidR="00CE46F8" w:rsidRDefault="00CE46F8" w:rsidP="0018505C">
            <w:pPr>
              <w:jc w:val="center"/>
            </w:pPr>
            <w:r>
              <w:t xml:space="preserve"> n = 502,</w:t>
            </w:r>
          </w:p>
          <w:p w:rsidR="00CE46F8" w:rsidRDefault="00CE46F8" w:rsidP="0018505C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18505C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130FAD" w:rsidP="0018505C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137D6" w:rsidP="0018505C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18505C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0B3AA2" w:rsidP="0018505C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18505C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18505C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8F6209" w:rsidP="0018505C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t>Input1.fa,</w:t>
            </w:r>
          </w:p>
          <w:p w:rsidR="00CE46F8" w:rsidRDefault="00CE46F8" w:rsidP="0018505C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18505C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7D52DE" w:rsidP="0018505C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45CD3" w:rsidP="0018505C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18505C">
            <w:pPr>
              <w:jc w:val="center"/>
            </w:pPr>
            <w:r>
              <w:t>12</w:t>
            </w:r>
            <w:r w:rsidR="0018505C">
              <w:t>.2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3F73AC" w:rsidP="0018505C">
            <w:pPr>
              <w:jc w:val="center"/>
            </w:pPr>
            <w:r>
              <w:t>33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EA1036" w:rsidP="0018505C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18505C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18505C">
            <w:pPr>
              <w:jc w:val="center"/>
            </w:pPr>
            <w:r>
              <w:t>33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EA5219" w:rsidP="0018505C">
            <w:pPr>
              <w:jc w:val="center"/>
            </w:pPr>
            <w:r>
              <w:t>110</w:t>
            </w:r>
            <w:r w:rsidR="0018505C">
              <w:t>.1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696E2C" w:rsidP="0018505C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18505C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18505C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18505C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32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580761" w:rsidP="0018505C">
            <w:pPr>
              <w:jc w:val="center"/>
            </w:pPr>
            <w:r>
              <w:t>83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4533EF" w:rsidP="0018505C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18505C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18505C">
            <w:pPr>
              <w:jc w:val="center"/>
            </w:pPr>
            <w:r>
              <w:t>1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62103A" w:rsidP="0018505C">
            <w:pPr>
              <w:jc w:val="center"/>
            </w:pPr>
            <w:r>
              <w:t>6</w:t>
            </w:r>
            <w:r w:rsidR="0018505C">
              <w:t>.4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18505C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18505C">
            <w:pPr>
              <w:jc w:val="center"/>
            </w:pPr>
            <w:r>
              <w:t>4</w:t>
            </w:r>
            <w:r w:rsidR="0018505C">
              <w:t>.3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18505C" w:rsidP="0018505C">
            <w:pPr>
              <w:jc w:val="center"/>
            </w:pPr>
            <w:r>
              <w:t>16 m</w:t>
            </w:r>
            <w:r w:rsidR="004B7BEF"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146D9" w:rsidP="0018505C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18505C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18505C">
            <w:pPr>
              <w:jc w:val="center"/>
            </w:pPr>
            <w:r>
              <w:t>18</w:t>
            </w:r>
            <w:r w:rsidR="0018505C">
              <w:t>.5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905B43" w:rsidP="0018505C">
            <w:pPr>
              <w:jc w:val="center"/>
            </w:pPr>
            <w:r>
              <w:t>111</w:t>
            </w:r>
            <w:r w:rsidR="0018505C">
              <w:t>.7 m</w:t>
            </w:r>
            <w:r>
              <w:t>s</w:t>
            </w:r>
          </w:p>
        </w:tc>
        <w:tc>
          <w:tcPr>
            <w:tcW w:w="555" w:type="pct"/>
            <w:vAlign w:val="center"/>
          </w:tcPr>
          <w:p w:rsidR="00CE46F8" w:rsidRDefault="00D72B38" w:rsidP="0018505C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60669" w:rsidP="0018505C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</w:pPr>
          </w:p>
        </w:tc>
      </w:tr>
    </w:tbl>
    <w:p w:rsidR="0018505C" w:rsidRDefault="00CE46F8" w:rsidP="00323FF8">
      <w:pPr>
        <w:jc w:val="center"/>
      </w:pPr>
      <w:r>
        <w:t>Tablica 3. Usporedba vremena operacija „Rank“ i „Select“ gdje je čvor stabla binarni vektor</w:t>
      </w:r>
    </w:p>
    <w:p w:rsidR="00CE46F8" w:rsidRDefault="0018505C" w:rsidP="00CE46F8">
      <w:r>
        <w:t>*</w:t>
      </w:r>
      <w:r>
        <w:rPr>
          <w:i/>
        </w:rPr>
        <w:t>Napravljena je samo implementacija stabla valića sa RRR strukturom. Dakle projektni zadatak je napravljen, ovo je samo dodatna tablica koja je dana kako bi se moglo usporediti implementaciju stabla valića s i bez RRR strukture</w:t>
      </w:r>
      <w:r>
        <w:t xml:space="preserve"> </w:t>
      </w:r>
      <w:r w:rsidR="00CE46F8">
        <w:br w:type="page"/>
      </w:r>
    </w:p>
    <w:tbl>
      <w:tblPr>
        <w:tblStyle w:val="TableGrid"/>
        <w:tblW w:w="5000" w:type="pct"/>
        <w:tblLook w:val="04A0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18505C">
        <w:tc>
          <w:tcPr>
            <w:tcW w:w="557" w:type="pct"/>
            <w:vAlign w:val="center"/>
          </w:tcPr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18505C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18505C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Input.fa,</w:t>
            </w:r>
          </w:p>
          <w:p w:rsidR="0018505C" w:rsidRDefault="0018505C" w:rsidP="00F6523D">
            <w:pPr>
              <w:jc w:val="center"/>
            </w:pPr>
            <w:r>
              <w:t xml:space="preserve"> n = 502,</w:t>
            </w:r>
          </w:p>
          <w:p w:rsidR="0018505C" w:rsidRDefault="0018505C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t>Input1.fa,</w:t>
            </w:r>
          </w:p>
          <w:p w:rsidR="0018505C" w:rsidRDefault="0018505C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12.2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33.7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18505C" w:rsidRDefault="0018505C" w:rsidP="00F6523D">
            <w:pPr>
              <w:jc w:val="center"/>
            </w:pPr>
            <w:r>
              <w:lastRenderedPageBreak/>
              <w:t>Input2.fas,</w:t>
            </w:r>
          </w:p>
          <w:p w:rsidR="0018505C" w:rsidRDefault="0018505C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18505C" w:rsidRDefault="0018505C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32.3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4.3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  <w:tr w:rsidR="0018505C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18505C" w:rsidRDefault="0018505C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18.5 ms</w:t>
            </w:r>
          </w:p>
        </w:tc>
        <w:tc>
          <w:tcPr>
            <w:tcW w:w="555" w:type="pct"/>
            <w:vAlign w:val="center"/>
          </w:tcPr>
          <w:p w:rsidR="0018505C" w:rsidRDefault="0018505C" w:rsidP="0018505C">
            <w:pPr>
              <w:jc w:val="center"/>
            </w:pPr>
            <w:r>
              <w:t>14.7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18505C" w:rsidRDefault="0018505C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Default="000D4458" w:rsidP="000D4458"/>
    <w:p w:rsidR="0018505C" w:rsidRDefault="0018505C" w:rsidP="000D4458">
      <w:r>
        <w:t>Napomena: rezultati rank i select operacija mogu se razlikovati +-1 ovisno o implementaciji (za rank ako se ide [0, i&gt; ili [0, i] ,  a za select ako se vraća pozicija elementa gledana od 0 ili od 1).</w:t>
      </w:r>
    </w:p>
    <w:p w:rsidR="0018505C" w:rsidRDefault="0018505C" w:rsidP="000D4458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Zaključak</w:t>
      </w:r>
    </w:p>
    <w:p w:rsidR="000F2441" w:rsidRDefault="000F2441" w:rsidP="000F2441"/>
    <w:p w:rsidR="000F2441" w:rsidRDefault="000F2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F2441" w:rsidRDefault="000F2441" w:rsidP="000F2441">
      <w:pPr>
        <w:pStyle w:val="Heading1"/>
        <w:numPr>
          <w:ilvl w:val="0"/>
          <w:numId w:val="1"/>
        </w:numPr>
      </w:pPr>
      <w:r>
        <w:lastRenderedPageBreak/>
        <w:t>Literatura</w:t>
      </w:r>
    </w:p>
    <w:p w:rsidR="000F2441" w:rsidRDefault="000F2441" w:rsidP="000F2441"/>
    <w:p w:rsidR="00895AB5" w:rsidRDefault="00895AB5" w:rsidP="00895AB5">
      <w:r>
        <w:t>[1] http://alexbowe.com/wavelettrees/</w:t>
      </w:r>
    </w:p>
    <w:p w:rsidR="00895AB5" w:rsidRDefault="00895AB5" w:rsidP="00895AB5">
      <w:r>
        <w:t>[2] http://www.dcc.uchile.cl/~gnavarro/ps/cpm12.pdf</w:t>
      </w:r>
    </w:p>
    <w:p w:rsidR="00895AB5" w:rsidRDefault="00895AB5" w:rsidP="00895AB5">
      <w:r>
        <w:t>[3] Alexander Bowe, 2010. Multiary Wavelet Trees in Practice (Honours Thesis),</w:t>
      </w:r>
    </w:p>
    <w:p w:rsidR="000F2441" w:rsidRDefault="00895AB5" w:rsidP="00895AB5">
      <w:r>
        <w:t xml:space="preserve">[4] </w:t>
      </w:r>
      <w:hyperlink r:id="rId10" w:history="1">
        <w:r w:rsidRPr="00863E1E">
          <w:rPr>
            <w:rStyle w:val="Hyperlink"/>
          </w:rPr>
          <w:t>http://alexbowe.com/rrr/</w:t>
        </w:r>
      </w:hyperlink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 w:rsidRPr="00895AB5">
        <w:rPr>
          <w:rFonts w:asciiTheme="minorHAnsi" w:hAnsiTheme="minorHAnsi"/>
          <w:sz w:val="22"/>
          <w:szCs w:val="22"/>
        </w:rPr>
        <w:t xml:space="preserve">[5] </w:t>
      </w:r>
      <w:r w:rsidRPr="00895AB5">
        <w:rPr>
          <w:rFonts w:asciiTheme="minorHAnsi" w:hAnsiTheme="minorHAnsi" w:cs="Consolas"/>
          <w:sz w:val="22"/>
          <w:szCs w:val="22"/>
        </w:rPr>
        <w:t>Rajeev Raman, Venkatesh Raman, and Srinivasa Rao Satti. Succinct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indexable dictionaries with applications to encoding k-ary trees,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Pr="00895AB5">
        <w:rPr>
          <w:rFonts w:asciiTheme="minorHAnsi" w:hAnsiTheme="minorHAnsi" w:cs="Consolas"/>
          <w:sz w:val="22"/>
          <w:szCs w:val="22"/>
        </w:rPr>
        <w:t>prefix sums and multisets. ACM Transactions on Algorithms, 3(4), 2007.</w:t>
      </w:r>
    </w:p>
    <w:p w:rsidR="00895AB5" w:rsidRDefault="00895AB5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</w:p>
    <w:p w:rsidR="00895AB5" w:rsidRPr="00895AB5" w:rsidRDefault="004D581D" w:rsidP="00895AB5">
      <w:pPr>
        <w:pStyle w:val="HTMLPreformatted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[6] </w:t>
      </w:r>
      <w:hyperlink r:id="rId11" w:tgtFrame="_blank" w:history="1">
        <w:r>
          <w:rPr>
            <w:rStyle w:val="Hyperlink"/>
            <w:rFonts w:ascii="Calibri" w:eastAsiaTheme="majorEastAsia" w:hAnsi="Calibri"/>
            <w:sz w:val="22"/>
            <w:szCs w:val="22"/>
          </w:rPr>
          <w:t>http://compbio.fmph.uniba.sk/vyuka/vvt/poznamky/p16.pdf</w:t>
        </w:r>
      </w:hyperlink>
      <w:r>
        <w:rPr>
          <w:rStyle w:val="apple-converted-space"/>
          <w:rFonts w:ascii="Calibri" w:hAnsi="Calibri"/>
          <w:color w:val="1F497D"/>
          <w:sz w:val="22"/>
          <w:szCs w:val="22"/>
        </w:rPr>
        <w:t> </w:t>
      </w:r>
    </w:p>
    <w:p w:rsidR="00895AB5" w:rsidRPr="000F2441" w:rsidRDefault="00895AB5" w:rsidP="00895AB5"/>
    <w:sectPr w:rsidR="00895AB5" w:rsidRPr="000F2441" w:rsidSect="0018505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2CF38B1"/>
    <w:multiLevelType w:val="hybridMultilevel"/>
    <w:tmpl w:val="4D74A9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99B4CDA"/>
    <w:multiLevelType w:val="hybridMultilevel"/>
    <w:tmpl w:val="13701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A379B"/>
    <w:multiLevelType w:val="hybridMultilevel"/>
    <w:tmpl w:val="C8DC30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E360E7"/>
    <w:multiLevelType w:val="hybridMultilevel"/>
    <w:tmpl w:val="8DB26E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6B660C"/>
    <w:multiLevelType w:val="hybridMultilevel"/>
    <w:tmpl w:val="4C3600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D505D"/>
    <w:multiLevelType w:val="hybridMultilevel"/>
    <w:tmpl w:val="30C206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ED4AB7"/>
    <w:multiLevelType w:val="hybridMultilevel"/>
    <w:tmpl w:val="680E3F4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6"/>
  </w:num>
  <w:num w:numId="7">
    <w:abstractNumId w:val="5"/>
  </w:num>
  <w:num w:numId="8">
    <w:abstractNumId w:val="15"/>
  </w:num>
  <w:num w:numId="9">
    <w:abstractNumId w:val="0"/>
  </w:num>
  <w:num w:numId="10">
    <w:abstractNumId w:val="4"/>
  </w:num>
  <w:num w:numId="11">
    <w:abstractNumId w:val="14"/>
  </w:num>
  <w:num w:numId="12">
    <w:abstractNumId w:val="16"/>
  </w:num>
  <w:num w:numId="13">
    <w:abstractNumId w:val="3"/>
  </w:num>
  <w:num w:numId="14">
    <w:abstractNumId w:val="7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066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78F"/>
    <w:rsid w:val="00092888"/>
    <w:rsid w:val="00092ED4"/>
    <w:rsid w:val="0009423B"/>
    <w:rsid w:val="00095828"/>
    <w:rsid w:val="00095E17"/>
    <w:rsid w:val="000A01BE"/>
    <w:rsid w:val="000A0309"/>
    <w:rsid w:val="000A5B97"/>
    <w:rsid w:val="000A6258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441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666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5C87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05C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95687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0645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3FF8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4FD"/>
    <w:rsid w:val="00366D33"/>
    <w:rsid w:val="00370EA4"/>
    <w:rsid w:val="00372994"/>
    <w:rsid w:val="00372F12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E5DC4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0524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76298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A4BB7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81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0330"/>
    <w:rsid w:val="0062103A"/>
    <w:rsid w:val="00621702"/>
    <w:rsid w:val="00622D3D"/>
    <w:rsid w:val="006232BB"/>
    <w:rsid w:val="0062648C"/>
    <w:rsid w:val="00631C88"/>
    <w:rsid w:val="00636218"/>
    <w:rsid w:val="00641C94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2C2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226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1761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179"/>
    <w:rsid w:val="008157EC"/>
    <w:rsid w:val="00815A73"/>
    <w:rsid w:val="00817E1B"/>
    <w:rsid w:val="00820290"/>
    <w:rsid w:val="00820A1E"/>
    <w:rsid w:val="00821F7B"/>
    <w:rsid w:val="008222F3"/>
    <w:rsid w:val="0082491A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5AB5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197F"/>
    <w:rsid w:val="00AC266C"/>
    <w:rsid w:val="00AC2B1D"/>
    <w:rsid w:val="00AC4F8F"/>
    <w:rsid w:val="00AC6215"/>
    <w:rsid w:val="00AC7025"/>
    <w:rsid w:val="00AC72E9"/>
    <w:rsid w:val="00AD24DE"/>
    <w:rsid w:val="00AD3BC5"/>
    <w:rsid w:val="00AE0D89"/>
    <w:rsid w:val="00AE2AD2"/>
    <w:rsid w:val="00AE6F2C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2F7D"/>
    <w:rsid w:val="00B450B2"/>
    <w:rsid w:val="00B47320"/>
    <w:rsid w:val="00B54122"/>
    <w:rsid w:val="00B651CF"/>
    <w:rsid w:val="00B66A4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15262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68C1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0C6A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3C5E"/>
    <w:rsid w:val="00F974EB"/>
    <w:rsid w:val="00F974F4"/>
    <w:rsid w:val="00F977BB"/>
    <w:rsid w:val="00FA0429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200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AB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5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5AB5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apple-converted-space">
    <w:name w:val="apple-converted-space"/>
    <w:basedOn w:val="DefaultParagraphFont"/>
    <w:rsid w:val="004D5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il5.fer.hr/OWA/redir.aspx?C=40zprYcKxkKmEthgsa3vts0Wb_SIA9IIYmxKu31iABpRL0IJOk9shP_UZEo9jz7DQyR7g8m3GLk.&amp;URL=http%3a%2f%2fcompbio.fmph.uniba.sk%2fvyuka%2fvvt%2fpoznamky%2fp16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lexbowe.com/rr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2124</TotalTime>
  <Pages>21</Pages>
  <Words>4005</Words>
  <Characters>22830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141</cp:revision>
  <dcterms:created xsi:type="dcterms:W3CDTF">2015-01-06T16:11:00Z</dcterms:created>
  <dcterms:modified xsi:type="dcterms:W3CDTF">2015-01-14T12:12:00Z</dcterms:modified>
</cp:coreProperties>
</file>