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order to use the Comparative Language Acquisition Program: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Launch the program</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Enter the name of your child by typing into the text box</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Select your child’s age, in months, from the drop down menu</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Select your child’s gender from the drop down menu</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Click the “Submit” program to begin the test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As the program prompts you with words, answer with the “yes” button if your child is able to pronounce the given word. If your child is unable to pronounce the given word, select the “no” button.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program will continue until your child cannot pronounce three consecutive words. At this point, you will see a message summarizing an analysis of your child’s language acquisition.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