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Multi-Asset Market Regime Discovery and</w:t>
      </w:r>
    </w:p>
    <w:p>
      <w:r>
        <w:t>Prediction Using LSTM and HMM</w:t>
      </w:r>
    </w:p>
    <w:p/>
    <w:p>
      <w:r>
        <w:t>Piyush Bale</w:t>
      </w:r>
    </w:p>
    <w:p/>
    <w:p>
      <w:r>
        <w:t>Supervisor: Dr. Ferdous Ahmed Barbhuiya</w:t>
      </w:r>
    </w:p>
    <w:p/>
    <w:p>
      <w:r>
        <w:t>Department of Computer Science and Engineering</w:t>
      </w:r>
    </w:p>
    <w:p>
      <w:r>
        <w:t>Indian Institute of Information Technology Guwahati</w:t>
      </w:r>
    </w:p>
    <w:p/>
    <w:p>
      <w:r>
        <w:t>April 2026</w:t>
      </w:r>
    </w:p>
    <w:p/>
    <w:p>
      <w:r>
        <w:t>1</w:t>
      </w:r>
    </w:p>
    <w:p/>
    <w:p>
      <w:r>
        <w:t>Declaration</w:t>
      </w:r>
    </w:p>
    <w:p/>
    <w:p>
      <w:r>
        <w:t>I hereby declare that except where specific reference is made to the work of others,</w:t>
      </w:r>
    </w:p>
    <w:p>
      <w:r>
        <w:t>the  contents  of  this  report  are  original  and  have  not  been  submitted  in  whole  or  in</w:t>
      </w:r>
    </w:p>
    <w:p>
      <w:r>
        <w:t>part for consideration for any other course, degree, or qualification in this or any other</w:t>
      </w:r>
    </w:p>
    <w:p>
      <w:r>
        <w:t>university.  This  report  is  my  own  work  and  contains  nothing  that  is  the  outcome  of</w:t>
      </w:r>
    </w:p>
    <w:p>
      <w:r>
        <w:t>work  done  in  collaboration  with  others  except  as  specified  in  the  text  and</w:t>
      </w:r>
    </w:p>
    <w:p>
      <w:r>
        <w:t>Acknowledgments. Parts of the work presented in this report, specifically regarding</w:t>
      </w:r>
    </w:p>
    <w:p>
      <w:r>
        <w:t>the  Multi-Asset  Advantage  in  market  regime  detection,  have  been  prepared  for</w:t>
      </w:r>
    </w:p>
    <w:p>
      <w:r>
        <w:t>potential submission to a peer-reviewed conference or journal as an original research</w:t>
      </w:r>
    </w:p>
    <w:p>
      <w:r>
        <w:t>contribution titled 'Multi-Asset Market Regime Discovery and Prediction Using LSTM</w:t>
      </w:r>
    </w:p>
    <w:p>
      <w:r>
        <w:t>and HMM'.</w:t>
      </w:r>
    </w:p>
    <w:p/>
    <w:p>
      <w:r>
        <w:t>Piyush Bale,</w:t>
      </w:r>
    </w:p>
    <w:p/>
    <w:p>
      <w:r>
        <w:t>Department of Computer Science and Engineering,</w:t>
      </w:r>
    </w:p>
    <w:p/>
    <w:p>
      <w:r>
        <w:t>Indian Institute of Information Technology Guwahati</w:t>
      </w:r>
    </w:p>
    <w:p/>
    <w:p>
      <w:r>
        <w:t>2</w:t>
      </w:r>
    </w:p>
    <w:p/>
    <w:p>
      <w:r>
        <w:t>Acknowledgement</w:t>
      </w:r>
    </w:p>
    <w:p/>
    <w:p>
      <w:r>
        <w:t>I  would  like  to  extend  my  heartfelt  thanks  to  my  project  supervisor,  Dr.  Ferdous</w:t>
      </w:r>
    </w:p>
    <w:p>
      <w:r>
        <w:t>Ahmed Barbhuiya, for their constant support, guidance, and constructive suggestions</w:t>
      </w:r>
    </w:p>
    <w:p>
      <w:r>
        <w:t>throughout  the  development  of  this  project.  Their  mentorship  played  an  important</w:t>
      </w:r>
    </w:p>
    <w:p>
      <w:r>
        <w:t>role in shaping the direction and quality of this work.</w:t>
      </w:r>
    </w:p>
    <w:p/>
    <w:p>
      <w:r>
        <w:t>I would like to mention that this project was completed independently by me, and it is</w:t>
      </w:r>
    </w:p>
    <w:p>
      <w:r>
        <w:t>the result of my own efforts and dedication.</w:t>
      </w:r>
    </w:p>
    <w:p/>
    <w:p>
      <w:r>
        <w:t>I am also grateful to my institution for providing the necessary facilities and support</w:t>
      </w:r>
    </w:p>
    <w:p>
      <w:r>
        <w:t>required  to  complete  this  project.  The  availability  of  high-performance  cloud</w:t>
      </w:r>
    </w:p>
    <w:p>
      <w:r>
        <w:t>computing  resources  through  Kaggle  was  instrumental  in  enabling  the  training  and</w:t>
      </w:r>
    </w:p>
    <w:p>
      <w:r>
        <w:t>evaluation of the large-scale LSTM models central to this research.</w:t>
      </w:r>
    </w:p>
    <w:p/>
    <w:p>
      <w:r>
        <w:t>3</w:t>
      </w:r>
    </w:p>
    <w:p/>
    <w:p>
      <w:r>
        <w:t>Abstract</w:t>
      </w:r>
    </w:p>
    <w:p/>
    <w:p>
      <w:r>
        <w:t>This  report  presents  a  novel  9-stage  technical  framework  for  the  identification  and</w:t>
      </w:r>
    </w:p>
    <w:p>
      <w:r>
        <w:t>forecasting  of  financial  market  regimes.  Financial  time  series  are  inherently</w:t>
      </w:r>
    </w:p>
    <w:p>
      <w:r>
        <w:t xml:space="preserve">non-stationary,  characterized  by  structural  shifts </w:t>
      </w:r>
    </w:p>
    <w:p>
      <w:r>
        <w:t>inter-asset</w:t>
      </w:r>
    </w:p>
    <w:p>
      <w:r>
        <w:t>correlations that render traditional single-asset models insufficient for comprehensive</w:t>
      </w:r>
    </w:p>
    <w:p>
      <w:r>
        <w:t>risk  assessment.  To  address  this,  we  implement  a  hybrid  pipeline  combining  a</w:t>
      </w:r>
    </w:p>
    <w:p>
      <w:r>
        <w:t>Self-Supervised  LSTM  Autoencoder  for  non-linear  dimensionality  reduction  and  a</w:t>
      </w:r>
    </w:p>
    <w:p>
      <w:r>
        <w:t>Gaussian Hidden Markov Model (HMM) for unsupervised state discovery.</w:t>
      </w:r>
    </w:p>
    <w:p/>
    <w:p>
      <w:r>
        <w:t xml:space="preserve">in  volatility  and </w:t>
      </w:r>
    </w:p>
    <w:p/>
    <w:p>
      <w:r>
        <w:t>A central focus of this work is the quantification of the "Multi-Asset Advantage." By</w:t>
      </w:r>
    </w:p>
    <w:p>
      <w:r>
        <w:t>integrating  a  diverse  feature  set—including  the  S&amp;P;  500,  VIX,  10-Year  Treasury</w:t>
      </w:r>
    </w:p>
    <w:p>
      <w:r>
        <w:t>yields,  Gold,  and  Crude  Oil—the  model  captures  the  "inter-market  pulse"  that</w:t>
      </w:r>
    </w:p>
    <w:p>
      <w:r>
        <w:t>single-asset  equity  models  frequently  miss.  Empirical  results  obtained  via  NVIDIA</w:t>
      </w:r>
    </w:p>
    <w:p>
      <w:r>
        <w:t>Tesla  T4  GPU  acceleration  demonstrate  that  the  Multi-Asset  variant  achieves  a</w:t>
      </w:r>
    </w:p>
    <w:p>
      <w:r>
        <w:t>proxy-label  agreement  of  97.53%  for  the  2025?2026  period,  representing  a</w:t>
      </w:r>
    </w:p>
    <w:p>
      <w:r>
        <w:t>+10.80  percentage  point  improvement  over  models  restricted  to  S&amp;P;  500  data</w:t>
      </w:r>
    </w:p>
    <w:p>
      <w:r>
        <w:t>alone.  Furthermore,  the  Multi-Asset  model  exhibited  a  0.94  precision  score  for  the</w:t>
      </w:r>
    </w:p>
    <w:p>
      <w:r>
        <w:t>"Crisis"  proxy  regime,  while  the  March  2023  regional  banking  stress  episode  is</w:t>
      </w:r>
    </w:p>
    <w:p>
      <w:r>
        <w:t>treated  as  a  qualitative  "Risk-Off"  case  study  rather  than  externally  validated</w:t>
      </w:r>
    </w:p>
    <w:p>
      <w:r>
        <w:t>market  ground  truth.  These  results  indicate  that  financial  regimes  are  better</w:t>
      </w:r>
    </w:p>
    <w:p>
      <w:r>
        <w:t>studied through the lens of inter-market relationships within an internal framework.</w:t>
      </w:r>
    </w:p>
    <w:p/>
    <w:p>
      <w:r>
        <w:t>4</w:t>
      </w:r>
    </w:p>
    <w:p/>
    <w:p>
      <w:r>
        <w:t>Contents</w:t>
      </w:r>
    </w:p>
    <w:p/>
    <w:p>
      <w:r>
        <w:t>1  Introduction ............................................... 9</w:t>
      </w:r>
    </w:p>
    <w:p/>
    <w:p>
      <w:r>
        <w:t>1.1  Background and Motivation ................................ 9</w:t>
      </w:r>
    </w:p>
    <w:p/>
    <w:p>
      <w:r>
        <w:t>1.2  Project Goals ............................................ 9</w:t>
      </w:r>
    </w:p>
    <w:p/>
    <w:p>
      <w:r>
        <w:t>1.3  Interface and Engine Overview ............................ 10</w:t>
      </w:r>
    </w:p>
    <w:p/>
    <w:p>
      <w:r>
        <w:t>1.4  Report Structure ......................................... 10</w:t>
      </w:r>
    </w:p>
    <w:p/>
    <w:p>
      <w:r>
        <w:t>2  Background and Related Work ................................ 11</w:t>
      </w:r>
    </w:p>
    <w:p/>
    <w:p>
      <w:r>
        <w:t>2.1  Introduction to Financial Time Series and Regimes ........ 11</w:t>
      </w:r>
    </w:p>
    <w:p/>
    <w:p>
      <w:r>
        <w:t>2.2  Theoretical Foundations .................................. 11</w:t>
      </w:r>
    </w:p>
    <w:p/>
    <w:p>
      <w:r>
        <w:t>2.3  Representation Learning via Autoencoders ................. 12</w:t>
      </w:r>
    </w:p>
    <w:p/>
    <w:p>
      <w:r>
        <w:t>2.4  The Multi-Asset Hypothesis in Regime Detection ........... 12</w:t>
      </w:r>
    </w:p>
    <w:p/>
    <w:p>
      <w:r>
        <w:t>2.5  Survey of Related Work ................................... 13</w:t>
      </w:r>
    </w:p>
    <w:p/>
    <w:p>
      <w:r>
        <w:t>3  System Architecture and Design ............................. 14</w:t>
      </w:r>
    </w:p>
    <w:p/>
    <w:p>
      <w:r>
        <w:t>3.1  Overview of the Regime Pipeline .......................... 14</w:t>
      </w:r>
    </w:p>
    <w:p/>
    <w:p>
      <w:r>
        <w:t>3.2  Component Design ......................................... 14</w:t>
      </w:r>
    </w:p>
    <w:p/>
    <w:p>
      <w:r>
        <w:t>3.3  Data Flow and Execution .................................. 16</w:t>
      </w:r>
    </w:p>
    <w:p/>
    <w:p>
      <w:r>
        <w:t>3.4  Design Decisions ......................................... 16</w:t>
      </w:r>
    </w:p>
    <w:p/>
    <w:p>
      <w:r>
        <w:t>4  Implementation Details ..................................... 17</w:t>
      </w:r>
    </w:p>
    <w:p/>
    <w:p>
      <w:r>
        <w:t>4.1  Hardware and Software Environment ........................ 17</w:t>
      </w:r>
    </w:p>
    <w:p/>
    <w:p>
      <w:r>
        <w:t>4.2  Data Acquisition and Preprocessing ....................... 17</w:t>
      </w:r>
    </w:p>
    <w:p/>
    <w:p>
      <w:r>
        <w:t>4.3  The 9-Stage Execution Pipeline ........................... 18</w:t>
      </w:r>
    </w:p>
    <w:p/>
    <w:p>
      <w:r>
        <w:t>4.4  Model Architecture and Hyperparameters ................... 19</w:t>
      </w:r>
    </w:p>
    <w:p/>
    <w:p>
      <w:r>
        <w:t>4.5  Training Methodology and Strategy ........................ 19</w:t>
      </w:r>
    </w:p>
    <w:p/>
    <w:p>
      <w:r>
        <w:t>4.6  Implementation Challenges ................................ 20</w:t>
      </w:r>
    </w:p>
    <w:p/>
    <w:p>
      <w:r>
        <w:t>5  Evaluation and Results ..................................... 21</w:t>
      </w:r>
    </w:p>
    <w:p/>
    <w:p>
      <w:r>
        <w:t>5.1  Evaluation Metrics ....................................... 21</w:t>
      </w:r>
    </w:p>
    <w:p/>
    <w:p>
      <w:r>
        <w:t>5.2  Performance Analysis ..................................... 22</w:t>
      </w:r>
    </w:p>
    <w:p/>
    <w:p>
      <w:r>
        <w:t>5.3  Performance Insights ..................................... 26</w:t>
      </w:r>
    </w:p>
    <w:p/>
    <w:p>
      <w:r>
        <w:t>6  Conclusion and Future Work ................................. 28</w:t>
      </w:r>
    </w:p>
    <w:p/>
    <w:p>
      <w:r>
        <w:t>6.1  Summary of Contributions ................................. 28</w:t>
      </w:r>
    </w:p>
    <w:p/>
    <w:p>
      <w:r>
        <w:t>6.2  Lessons Learned .......................................... 28</w:t>
      </w:r>
    </w:p>
    <w:p/>
    <w:p>
      <w:r>
        <w:t>6.3  Future Work .............................................. 29</w:t>
      </w:r>
    </w:p>
    <w:p/>
    <w:p>
      <w:r>
        <w:t>6.4  Concluding Remarks ....................................... 30</w:t>
      </w:r>
    </w:p>
    <w:p/>
    <w:p>
      <w:r>
        <w:t>5</w:t>
      </w:r>
    </w:p>
    <w:p/>
    <w:p>
      <w:r>
        <w:t>List of Figures</w:t>
      </w:r>
    </w:p>
    <w:p/>
    <w:p>
      <w:r>
        <w:t>Figure 5.1:  Rolling backtest: Proxy labels vs. Predicted regimes, predicted class probabilities,</w:t>
      </w:r>
    </w:p>
    <w:p/>
    <w:p>
      <w:r>
        <w:t>and prediction errors with confidence overlay for the 2025–2026 evaluation</w:t>
      </w:r>
    </w:p>
    <w:p/>
    <w:p>
      <w:r>
        <w:t>period. .......... 22</w:t>
      </w:r>
    </w:p>
    <w:p/>
    <w:p>
      <w:r>
        <w:t>Figure 5.2:  Regime comparison plot: Multi-Asset vs. Single-Asset predicted regimes</w:t>
      </w:r>
    </w:p>
    <w:p/>
    <w:p>
      <w:r>
        <w:t>alongside rolling 30-day backtest agreement and model confidence over the evaluation</w:t>
      </w:r>
    </w:p>
    <w:p/>
    <w:p>
      <w:r>
        <w:t>period. .......... 24</w:t>
      </w:r>
    </w:p>
    <w:p/>
    <w:p>
      <w:r>
        <w:t>Figure 5.3:  Confidence distribution histograms for the Multi-Asset (left) and Single-Asset</w:t>
      </w:r>
    </w:p>
    <w:p/>
    <w:p>
      <w:r>
        <w:t>(right) models, illustrating the decisiveness gap between the two</w:t>
      </w:r>
    </w:p>
    <w:p/>
    <w:p>
      <w:r>
        <w:t>configurations. .......... 25</w:t>
      </w:r>
    </w:p>
    <w:p/>
    <w:p>
      <w:r>
        <w:t>List of Tables</w:t>
      </w:r>
    </w:p>
    <w:p/>
    <w:p>
      <w:r>
        <w:t>Table 4.1:  Model Hyperparameters .......... 19</w:t>
      </w:r>
    </w:p>
    <w:p/>
    <w:p>
      <w:r>
        <w:t>Table 5.1:  Comparative Backtest Performance Summary .......... 22</w:t>
      </w:r>
    </w:p>
    <w:p/>
    <w:p>
      <w:r>
        <w:t>Table 5.2:  Multi-Asset Classification Report .......... 23</w:t>
      </w:r>
    </w:p>
    <w:p/>
    <w:p>
      <w:r>
        <w:t>Table 5.3:  Single-Asset Classification Report .......... 23</w:t>
      </w:r>
    </w:p>
    <w:p/>
    <w:p>
      <w:r>
        <w:t>Table 5.4:  Multi-Asset Confusion Matrix .......... 23</w:t>
      </w:r>
    </w:p>
    <w:p/>
    <w:p>
      <w:r>
        <w:t>Table 5.5:  Single-Asset Confusion Matrix .......... 23</w:t>
      </w:r>
    </w:p>
    <w:p/>
    <w:p>
      <w:r>
        <w:t>6</w:t>
      </w:r>
    </w:p>
    <w:p/>
    <w:p>
      <w:r>
        <w:t>Chapter 1</w:t>
      </w:r>
    </w:p>
    <w:p/>
    <w:p>
      <w:r>
        <w:t>Introduction</w:t>
      </w:r>
    </w:p>
    <w:p/>
    <w:p>
      <w:r>
        <w:t>1.1 Background and Motivation</w:t>
      </w:r>
    </w:p>
    <w:p/>
    <w:p>
      <w:r>
        <w:t>Financial markets are characterized by inherent non-stationarity, where the statistical</w:t>
      </w:r>
    </w:p>
    <w:p>
      <w:r>
        <w:t>properties of asset returns shift over time due to evolving macroeconomic conditions,</w:t>
      </w:r>
    </w:p>
    <w:p>
      <w:r>
        <w:t>investor  sentiment,  and  geopolitical  events.  These  structural  shifts,  commonly</w:t>
      </w:r>
    </w:p>
    <w:p>
      <w:r>
        <w:t>referred  to  as  "market  regimes,"  typically  manifest  as  distinct  states  such  as</w:t>
      </w:r>
    </w:p>
    <w:p>
      <w:r>
        <w:t>low-volatility  growth  (Calm),  elevated  uncertainty  (Risk-Off),  or  systemic  collapse</w:t>
      </w:r>
    </w:p>
    <w:p>
      <w:r>
        <w:t>(Crisis). Traditional linear models and standard autoregressive techniques often fail</w:t>
      </w:r>
    </w:p>
    <w:p>
      <w:r>
        <w:t>to  adapt  to  these  transitions,  as  they  assume  a  constant  relationship  between</w:t>
      </w:r>
    </w:p>
    <w:p>
      <w:r>
        <w:t>variables across different environments.</w:t>
      </w:r>
    </w:p>
    <w:p/>
    <w:p>
      <w:r>
        <w:t>One  promising  approach  to  address  this  limitation  is  the  use  of  hybrid  machine</w:t>
      </w:r>
    </w:p>
    <w:p>
      <w:r>
        <w:t>learning  architectures  that  combine  self-supervised  representation  learning  with</w:t>
      </w:r>
    </w:p>
    <w:p>
      <w:r>
        <w:t>unsupervised  state  discovery.  While  many  existing  systems  rely  on  single-asset</w:t>
      </w:r>
    </w:p>
    <w:p>
      <w:r>
        <w:t>equity data, they often miss the "inter-market" signals—such as shifts in bond yields</w:t>
      </w:r>
    </w:p>
    <w:p>
      <w:r>
        <w:t>or safe-haven commodity flows—that precede major regime changes. This project is</w:t>
      </w:r>
    </w:p>
    <w:p>
      <w:r>
        <w:t>motivated  by  the  need  for  a  robust,  multi-asset  surveillance  system  capable  of</w:t>
      </w:r>
    </w:p>
    <w:p>
      <w:r>
        <w:t>denoising  market  data  to  identify  and  forecast  these  hidden  regimes  with  high</w:t>
      </w:r>
    </w:p>
    <w:p>
      <w:r>
        <w:t>confidence.</w:t>
      </w:r>
    </w:p>
    <w:p/>
    <w:p>
      <w:r>
        <w:t>1.2 Project Goals</w:t>
      </w:r>
    </w:p>
    <w:p/>
    <w:p>
      <w:r>
        <w:t>The primary objectives of this project include:</w:t>
      </w:r>
    </w:p>
    <w:p/>
    <w:p>
      <w:r>
        <w:t>1..  Develop a Self-Supervised Representation Engine: Implement an LSTM</w:t>
      </w:r>
    </w:p>
    <w:p>
      <w:r>
        <w:t>Autoencoder to compress high-dimensional, noisy multi-asset returns into a</w:t>
      </w:r>
    </w:p>
    <w:p>
      <w:r>
        <w:t>stable 64-dimensional latent space.</w:t>
      </w:r>
    </w:p>
    <w:p/>
    <w:p>
      <w:r>
        <w:t>2..  Unsupervised Regime Discovery: Utilize Gaussian Hidden Markov Models</w:t>
      </w:r>
    </w:p>
    <w:p>
      <w:r>
        <w:t>(HMM) to identify discrete hidden states based on latent features and volatility</w:t>
      </w:r>
    </w:p>
    <w:p>
      <w:r>
        <w:t>signatures without the need for manual labeling.</w:t>
      </w:r>
    </w:p>
    <w:p/>
    <w:p>
      <w:r>
        <w:t>3..  Quantify the Multi-Asset Advantage: Systematically compare the</w:t>
      </w:r>
    </w:p>
    <w:p>
      <w:r>
        <w:t>predictive performance of models using inter-market context (S&amp;P; 500, VIX,</w:t>
      </w:r>
    </w:p>
    <w:p>
      <w:r>
        <w:t>Bonds, Gold, Oil) against baseline single-asset models.</w:t>
      </w:r>
    </w:p>
    <w:p/>
    <w:p>
      <w:r>
        <w:t>4..  Forecast Market Transitions: Build a supervised sequence classifier to</w:t>
      </w:r>
    </w:p>
    <w:p>
      <w:r>
        <w:t>provide a high-confidence probabilistic forecast for the subsequent trading</w:t>
      </w:r>
    </w:p>
    <w:p>
      <w:r>
        <w:t>session's regime.</w:t>
      </w:r>
    </w:p>
    <w:p/>
    <w:p>
      <w:r>
        <w:t>1.3 Interface and Engine Overview</w:t>
      </w:r>
    </w:p>
    <w:p/>
    <w:p>
      <w:r>
        <w:t>The  market  regime  detection  system  is  organized  into  a  9-stage  modular  pipeline,</w:t>
      </w:r>
    </w:p>
    <w:p>
      <w:r>
        <w:t>spanning from raw data ingestion to live inference:</w:t>
      </w:r>
    </w:p>
    <w:p/>
    <w:p>
      <w:r>
        <w:t>7</w:t>
      </w:r>
    </w:p>
    <w:p/>
    <w:p>
      <w:r>
        <w:t>(cid:127)  Data Ingestion Layer: Automates the retrieval and alignment of 24 years of</w:t>
      </w:r>
    </w:p>
    <w:p>
      <w:r>
        <w:t>historical data for five distinct asset classes via the yfinance API.</w:t>
      </w:r>
    </w:p>
    <w:p/>
    <w:p>
      <w:r>
        <w:t>(cid:127)  Representation Learning Layer: A PyTorch-based LSTM Autoencoder that</w:t>
      </w:r>
    </w:p>
    <w:p>
      <w:r>
        <w:t>acts as a non-linear "denoiser," extracting the core temporal features of the</w:t>
      </w:r>
    </w:p>
    <w:p>
      <w:r>
        <w:t>market.</w:t>
      </w:r>
    </w:p>
    <w:p/>
    <w:p>
      <w:r>
        <w:t>(cid:127)  State Discovery Layer: A Gaussian HMM that performs unsupervised</w:t>
      </w:r>
    </w:p>
    <w:p>
      <w:r>
        <w:t>clustering to identify two broad latent market states for exploratory regime analysis.</w:t>
      </w:r>
    </w:p>
    <w:p/>
    <w:p>
      <w:r>
        <w:t>(cid:127)  Predictive Logic Layer: A supervised sequence-to-label LSTM that generates</w:t>
      </w:r>
    </w:p>
    <w:p>
      <w:r>
        <w:t>"tomorrow forecasts" for custom proxy regimes using trailing engineered market</w:t>
      </w:r>
    </w:p>
    <w:p>
      <w:r>
        <w:t>features and the labeling logic defined for the supervised stage.</w:t>
      </w:r>
    </w:p>
    <w:p/>
    <w:p>
      <w:r>
        <w:t>(cid:127)  Backtesting and Visualization Layer: A rigorous evaluation subsystem that</w:t>
      </w:r>
    </w:p>
    <w:p>
      <w:r>
        <w:t>replays the model across unseen data (2025?2026) to quantify agreement and</w:t>
      </w:r>
    </w:p>
    <w:p>
      <w:r>
        <w:t>transition hit rates.</w:t>
      </w:r>
    </w:p>
    <w:p/>
    <w:p>
      <w:r>
        <w:t>1.4 Report Structure</w:t>
      </w:r>
    </w:p>
    <w:p/>
    <w:p>
      <w:r>
        <w:t>The remainder of this report is organized as follows:</w:t>
      </w:r>
    </w:p>
    <w:p/>
    <w:p>
      <w:r>
        <w:t>(cid:127)  Chapter 2 discusses the theoretical background of LSTM Autoencoders,</w:t>
      </w:r>
    </w:p>
    <w:p>
      <w:r>
        <w:t>Hidden Markov Models, and the significance of inter-market analysis.</w:t>
      </w:r>
    </w:p>
    <w:p/>
    <w:p>
      <w:r>
        <w:t>(cid:127)  Chapter 3 presents the high-level system architecture and the specific design</w:t>
      </w:r>
    </w:p>
    <w:p>
      <w:r>
        <w:t>decisions behind the 9-stage modular pipeline.</w:t>
      </w:r>
    </w:p>
    <w:p/>
    <w:p>
      <w:r>
        <w:t>(cid:127)  Chapter 4 provides detailed implementation information regarding the training</w:t>
      </w:r>
    </w:p>
    <w:p>
      <w:r>
        <w:t>curriculum, hardware environment, and supervised labeling logic.</w:t>
      </w:r>
    </w:p>
    <w:p/>
    <w:p>
      <w:r>
        <w:t>(cid:127)  Chapter 5 evaluates the engine's performance, specifically focusing on the</w:t>
      </w:r>
    </w:p>
    <w:p>
      <w:r>
        <w:t>proxy-label agreement gap between multi-asset and single-asset configurations.</w:t>
      </w:r>
    </w:p>
    <w:p/>
    <w:p>
      <w:r>
        <w:t>(cid:127)  Chapter 6 concludes the report with a summary of contributions, key findings,</w:t>
      </w:r>
    </w:p>
    <w:p>
      <w:r>
        <w:t>and potential directions for future algorithmic enhancements.</w:t>
      </w:r>
    </w:p>
    <w:p/>
    <w:p>
      <w:r>
        <w:t>8</w:t>
      </w:r>
    </w:p>
    <w:p/>
    <w:p>
      <w:r>
        <w:t>Chapter 2</w:t>
      </w:r>
    </w:p>
    <w:p/>
    <w:p>
      <w:r>
        <w:t>Background and Related Work</w:t>
      </w:r>
    </w:p>
    <w:p/>
    <w:p>
      <w:r>
        <w:t>2.1 Introduction to Financial Time Series and Regimes</w:t>
      </w:r>
    </w:p>
    <w:p/>
    <w:p>
      <w:r>
        <w:t>Financial  time  series  data  is  notoriously  noisy,  non-stationary,  and  subject  to</w:t>
      </w:r>
    </w:p>
    <w:p>
      <w:r>
        <w:t>structural  breaks.  Standard  econometric  models  often  struggle  to  capture  the</w:t>
      </w:r>
    </w:p>
    <w:p>
      <w:r>
        <w:t>evolving  nature  of  the  market,  which  is  better  described  through  the  lens  of</w:t>
      </w:r>
    </w:p>
    <w:p>
      <w:r>
        <w:t>"regimes."  A  market  regime  represents  a  sustained  period  of  specific  statistical</w:t>
      </w:r>
    </w:p>
    <w:p>
      <w:r>
        <w:t>behavior,  such  as  a  low-volatility  bullish  trend  or  a  high-volatility  bearish  crash.</w:t>
      </w:r>
    </w:p>
    <w:p>
      <w:r>
        <w:t>Identifying  these  states  is  critical  because  the  optimal  trading  strategy  for  a  "Calm</w:t>
      </w:r>
    </w:p>
    <w:p>
      <w:r>
        <w:t>Market" often results in significant losses during a "Risk-Off" or "Crisis" period.</w:t>
      </w:r>
    </w:p>
    <w:p/>
    <w:p>
      <w:r>
        <w:t>2.2 Theoretical Foundations</w:t>
      </w:r>
    </w:p>
    <w:p/>
    <w:p>
      <w:r>
        <w:t>2.2.1 Long Short-Term Memory (LSTM) Networks</w:t>
      </w:r>
    </w:p>
    <w:p/>
    <w:p>
      <w:r>
        <w:t>Unlike  standard  feed-forward  networks,  LSTMs  are  designed  to  handle  sequential</w:t>
      </w:r>
    </w:p>
    <w:p>
      <w:r>
        <w:t>dependencies  through  a  specialized  gate  architecture  (input,  forget,  and  output</w:t>
      </w:r>
    </w:p>
    <w:p>
      <w:r>
        <w:t>gates).  In  the  context  of  financial  modeling,  this  allows  the  system  to  maintain  a</w:t>
      </w:r>
    </w:p>
    <w:p>
      <w:r>
        <w:t>"memory" of past price actions and volatility spikes over a 30-day window, which is</w:t>
      </w:r>
    </w:p>
    <w:p>
      <w:r>
        <w:t>essential for identifying the slow-moving shifts characteristic of regime changes. Our</w:t>
      </w:r>
    </w:p>
    <w:p>
      <w:r>
        <w:t>the  autoencoding</w:t>
      </w:r>
    </w:p>
    <w:p>
      <w:r>
        <w:t xml:space="preserve">implementation  utilizes  a  multi-layer  LSTM </w:t>
      </w:r>
    </w:p>
    <w:p>
      <w:r>
        <w:t>(representation) and classification (prediction) phases.</w:t>
      </w:r>
    </w:p>
    <w:p/>
    <w:p>
      <w:r>
        <w:t xml:space="preserve">for  both </w:t>
      </w:r>
    </w:p>
    <w:p/>
    <w:p>
      <w:r>
        <w:t>2.2.2 Hidden Markov Models (HMM)</w:t>
      </w:r>
    </w:p>
    <w:p/>
    <w:p>
      <w:r>
        <w:t>A Hidden Markov Model is a statistical tool used to model systems that are assumed</w:t>
      </w:r>
    </w:p>
    <w:p>
      <w:r>
        <w:t>to  be  a  Markov  process  with  unobserved  (hidden)  states.  In  our  architecture,  the</w:t>
      </w:r>
    </w:p>
    <w:p>
      <w:r>
        <w:t>"true"  state  of  the  market  is  hidden,  while  the  observed  emissions  are  the  latent</w:t>
      </w:r>
    </w:p>
    <w:p>
      <w:r>
        <w:t>vectors produced by the LSTM Autoencoder and the corresponding VIX levels. The</w:t>
      </w:r>
    </w:p>
    <w:p>
      <w:r>
        <w:t>Gaussian HMM assumes that the emissions follow a normal distribution within each</w:t>
      </w:r>
    </w:p>
    <w:p>
      <w:r>
        <w:t>state,  allowing  the  model  to  mathematically  separate  regimes  based  on  their  mean</w:t>
      </w:r>
    </w:p>
    <w:p>
      <w:r>
        <w:t>returns and variance signature.</w:t>
      </w:r>
    </w:p>
    <w:p/>
    <w:p>
      <w:r>
        <w:t>2.3 Representation Learning via Autoencoders</w:t>
      </w:r>
    </w:p>
    <w:p/>
    <w:p>
      <w:r>
        <w:t>The "Curse of Dimensionality" and high signal-to-noise ratios are primary obstacles</w:t>
      </w:r>
    </w:p>
    <w:p>
      <w:r>
        <w:t>in financial machine learning. To mitigate this, we employ Self-Supervised Learning</w:t>
      </w:r>
    </w:p>
    <w:p>
      <w:r>
        <w:t>through  an  LSTM  Autoencoder.  The  model  is  forced  to  compress  30  days  of</w:t>
      </w:r>
    </w:p>
    <w:p>
      <w:r>
        <w:t>multi-asset  returns  into  a  64-dimensional  latent  vector,  effectively  acting  as  a</w:t>
      </w:r>
    </w:p>
    <w:p>
      <w:r>
        <w:t>non-linear  denoiser.  This  latent  representation  serves  as  a  more  stable  and</w:t>
      </w:r>
    </w:p>
    <w:p>
      <w:r>
        <w:t>informative  input  for  the  HMM  than  raw  price  data,  as  it  captures  the  fundamental</w:t>
      </w:r>
    </w:p>
    <w:p>
      <w:r>
        <w:t>"pulse" of the market while filtering out idiosyncratic noise.</w:t>
      </w:r>
    </w:p>
    <w:p/>
    <w:p>
      <w:r>
        <w:t>9</w:t>
      </w:r>
    </w:p>
    <w:p/>
    <w:p>
      <w:r>
        <w:t>2.4 The Multi-Asset Hypothesis in Regime Detection</w:t>
      </w:r>
    </w:p>
    <w:p/>
    <w:p>
      <w:r>
        <w:t>Traditional regime detection often relies solely on a single index, such as the S&amp;P;</w:t>
      </w:r>
    </w:p>
    <w:p>
      <w:r>
        <w:t>500.  However,  modern  research  suggests  that  market  regimes  are  systemic</w:t>
      </w:r>
    </w:p>
    <w:p>
      <w:r>
        <w:t>phenomena.  Our  work  explores  the  hypothesis  that  inter-market  relationships—the</w:t>
      </w:r>
    </w:p>
    <w:p>
      <w:r>
        <w:t>"Multi-Asset"  approach—provide  superior  predictive  power.  By  monitoring  the</w:t>
      </w:r>
    </w:p>
    <w:p>
      <w:r>
        <w:t>correlations  between  equities  (S&amp;P;  500),  fear  (VIX),  safety  (Bonds/Gold),  and</w:t>
      </w:r>
    </w:p>
    <w:p>
      <w:r>
        <w:t>energy (Oil), the system can detect "Risk-Off" shifts that are invisible to single-asset</w:t>
      </w:r>
    </w:p>
    <w:p>
      <w:r>
        <w:t>models.</w:t>
      </w:r>
    </w:p>
    <w:p/>
    <w:p>
      <w:r>
        <w:t>2.5 Survey of Related Work</w:t>
      </w:r>
    </w:p>
    <w:p/>
    <w:p>
      <w:r>
        <w:t>(cid:127)  Traditional Volatility Rules: Many existing systems use simple thresholds</w:t>
      </w:r>
    </w:p>
    <w:p>
      <w:r>
        <w:t>(e.g., "If VIX &gt; 25, it is a Crisis") which often lead to "regime flickering" and high</w:t>
      </w:r>
    </w:p>
    <w:p>
      <w:r>
        <w:t>transaction costs due to frequent false signals.</w:t>
      </w:r>
    </w:p>
    <w:p/>
    <w:p>
      <w:r>
        <w:t>(cid:127)  Deep Learning for Finance: Recent advances have utilized CNNs and</w:t>
      </w:r>
    </w:p>
    <w:p>
      <w:r>
        <w:t>Transformers for price prediction, but their application to unsupervised regime</w:t>
      </w:r>
    </w:p>
    <w:p>
      <w:r>
        <w:t>discovery remains a developing field, with limited work on multi-asset latent</w:t>
      </w:r>
    </w:p>
    <w:p>
      <w:r>
        <w:t>space modeling.</w:t>
      </w:r>
    </w:p>
    <w:p/>
    <w:p>
      <w:r>
        <w:t>(cid:127)  Hybrid Architectures: Similar in spirit to speculative decoding in LLM</w:t>
      </w:r>
    </w:p>
    <w:p>
      <w:r>
        <w:t>inference, where a "draft" and "verify" loop ensures correctness, our system</w:t>
      </w:r>
    </w:p>
    <w:p>
      <w:r>
        <w:t>employs a "Discovery" (HMM) and "Verification" (Supervised Classifier) loop to</w:t>
      </w:r>
    </w:p>
    <w:p>
      <w:r>
        <w:t>ensure that the identified regimes are both statistically sound and predictively</w:t>
      </w:r>
    </w:p>
    <w:p>
      <w:r>
        <w:t>useful.</w:t>
      </w:r>
    </w:p>
    <w:p/>
    <w:p>
      <w:r>
        <w:t>10</w:t>
      </w:r>
    </w:p>
    <w:p/>
    <w:p>
      <w:r>
        <w:t>Chapter 3</w:t>
      </w:r>
    </w:p>
    <w:p/>
    <w:p>
      <w:r>
        <w:t>System Architecture and Design</w:t>
      </w:r>
    </w:p>
    <w:p/>
    <w:p>
      <w:r>
        <w:t>3.1 Overview of the Regime Pipeline</w:t>
      </w:r>
    </w:p>
    <w:p/>
    <w:p>
      <w:r>
        <w:t>The market regime detection system is designed as a modular 9-stage pipeline that</w:t>
      </w:r>
    </w:p>
    <w:p>
      <w:r>
        <w:t>transitions  from  raw  data  ingestion  to  a  probabilistic  tomorrow-forecast.  To  ensure</w:t>
      </w:r>
    </w:p>
    <w:p>
      <w:r>
        <w:t>high-fidelity signal extraction, the architecture separates the "Denoising" phase from</w:t>
      </w:r>
    </w:p>
    <w:p>
      <w:r>
        <w:t>the "Classification" phase. This modularity allows for precise control over the feature</w:t>
      </w:r>
    </w:p>
    <w:p>
      <w:r>
        <w:t>lifecycle,  enabling  a  detailed  comparison  between  multi-asset  and  single-asset</w:t>
      </w:r>
    </w:p>
    <w:p>
      <w:r>
        <w:t>configurations.</w:t>
      </w:r>
    </w:p>
    <w:p/>
    <w:p>
      <w:r>
        <w:t>3.2 Component Design</w:t>
      </w:r>
    </w:p>
    <w:p/>
    <w:p>
      <w:r>
        <w:t>3.2.1 The Representation Layer (LSTM Autoencoder)</w:t>
      </w:r>
    </w:p>
    <w:p/>
    <w:p>
      <w:r>
        <w:t>The  first  layer  of  the  system  is  a  self-supervised  LSTM  Autoencoder  designed  for</w:t>
      </w:r>
    </w:p>
    <w:p>
      <w:r>
        <w:t xml:space="preserve">non-linear  dimensionality </w:t>
      </w:r>
    </w:p>
    <w:p>
      <w:r>
        <w:t>two</w:t>
      </w:r>
    </w:p>
    <w:p>
      <w:r>
        <w:t>sub-components:</w:t>
      </w:r>
    </w:p>
    <w:p/>
    <w:p>
      <w:r>
        <w:t xml:space="preserve">reduction.  The  architecture </w:t>
      </w:r>
    </w:p>
    <w:p/>
    <w:p>
      <w:r>
        <w:t xml:space="preserve">consists  of </w:t>
      </w:r>
    </w:p>
    <w:p/>
    <w:p>
      <w:r>
        <w:t>(cid:127)  The Encoder: Composed of two LSTM layers, it compresses a 30-day window</w:t>
      </w:r>
    </w:p>
    <w:p>
      <w:r>
        <w:t>of five-asset returns into a 64-dimensional latent vector, capturing the non-linear</w:t>
      </w:r>
    </w:p>
    <w:p>
      <w:r>
        <w:t>temporal structure of the market.</w:t>
      </w:r>
    </w:p>
    <w:p/>
    <w:p>
      <w:r>
        <w:t>(cid:127)  The Decoder: Reconstructs the original input from the latent vector, forcing</w:t>
      </w:r>
    </w:p>
    <w:p>
      <w:r>
        <w:t>the model to learn the most salient temporal features of the market through</w:t>
      </w:r>
    </w:p>
    <w:p>
      <w:r>
        <w:t>reconstruction loss.</w:t>
      </w:r>
    </w:p>
    <w:p/>
    <w:p>
      <w:r>
        <w:t>(cid:127)  Outcome: This architecture effectively acts as a "Market DNA" extractor,</w:t>
      </w:r>
    </w:p>
    <w:p>
      <w:r>
        <w:t>denoising idiosyncratic price movements to reveal underlying structural patterns</w:t>
      </w:r>
    </w:p>
    <w:p>
      <w:r>
        <w:t>suitable for downstream HMM-based state discovery.</w:t>
      </w:r>
    </w:p>
    <w:p/>
    <w:p>
      <w:r>
        <w:t>3.2.2 The Discovery Layer (PCA + HMM)</w:t>
      </w:r>
    </w:p>
    <w:p/>
    <w:p>
      <w:r>
        <w:t>The second layer utilizes unsupervised learning to define the market regimes:</w:t>
      </w:r>
    </w:p>
    <w:p/>
    <w:p>
      <w:r>
        <w:t>(cid:127)  Dimensionality Reduction: A Principal Component Analysis (PCA) model</w:t>
      </w:r>
    </w:p>
    <w:p>
      <w:r>
        <w:t>reduces the 64 latent dimensions to the 5 most informative components,</w:t>
      </w:r>
    </w:p>
    <w:p>
      <w:r>
        <w:t>capturing 94.9% of the variance while dramatically reducing computational</w:t>
      </w:r>
    </w:p>
    <w:p>
      <w:r>
        <w:t>overhead for the HMM.</w:t>
      </w:r>
    </w:p>
    <w:p/>
    <w:p>
      <w:r>
        <w:t>(cid:127)  Gaussian HMM: A Hidden Markov Model processes these PCA components</w:t>
      </w:r>
    </w:p>
    <w:p>
      <w:r>
        <w:t>along with raw volatility features to cluster the data into two primary hidden</w:t>
      </w:r>
    </w:p>
    <w:p>
      <w:r>
        <w:t>states: Calm Market (low VIX) and High Volatility (high VIX).</w:t>
      </w:r>
    </w:p>
    <w:p/>
    <w:p>
      <w:r>
        <w:t>(cid:127)  State Persistence: The model is initialized with high diagonal values in the</w:t>
      </w:r>
    </w:p>
    <w:p>
      <w:r>
        <w:t>transition matrix (0.90) to ensure the discovered regimes are "sticky" and</w:t>
      </w:r>
    </w:p>
    <w:p>
      <w:r>
        <w:t>representable for practical trading applications.</w:t>
      </w:r>
    </w:p>
    <w:p/>
    <w:p>
      <w:r>
        <w:t>11</w:t>
      </w:r>
    </w:p>
    <w:p/>
    <w:p>
      <w:r>
        <w:t>3.2.3 The Predictive Layer (Supervised LSTM)</w:t>
      </w:r>
    </w:p>
    <w:p/>
    <w:p>
      <w:r>
        <w:t>The final architectural layer is a supervised sequence classifier:</w:t>
      </w:r>
    </w:p>
    <w:p/>
    <w:p>
      <w:r>
        <w:t>(cid:127)  Target Labeling: It utilizes a custom "Soft-Labeler" based on</w:t>
      </w:r>
    </w:p>
    <w:p>
      <w:r>
        <w:t>sigmoid-based volatility, return, and VIX heuristics with exponential</w:t>
      </w:r>
    </w:p>
    <w:p>
      <w:r>
        <w:t>smoothing to produce smooth, non-flickering proxy regime labels.</w:t>
      </w:r>
    </w:p>
    <w:p/>
    <w:p>
      <w:r>
        <w:t>(cid:127)  Classification Engine: A 2-layer LSTM with dropout is trained on these</w:t>
      </w:r>
    </w:p>
    <w:p>
      <w:r>
        <w:t>proxy labels to forecast the regime for the "next-day" based on the trailing 20 days of market</w:t>
      </w:r>
    </w:p>
    <w:p>
      <w:r>
        <w:t>features.</w:t>
      </w:r>
    </w:p>
    <w:p/>
    <w:p>
      <w:r>
        <w:t>3.3 Data Flow and Execution</w:t>
      </w:r>
    </w:p>
    <w:p/>
    <w:p>
      <w:r>
        <w:t>A query follows a linear path through the system's nine stages:</w:t>
      </w:r>
    </w:p>
    <w:p/>
    <w:p>
      <w:r>
        <w:t>(cid:127)  Input Stage: Retrieval and alignment of S&amp;P; 500, VIX, Bonds, Gold, and Oil</w:t>
      </w:r>
    </w:p>
    <w:p>
      <w:r>
        <w:t>data.</w:t>
      </w:r>
    </w:p>
    <w:p/>
    <w:p>
      <w:r>
        <w:t>(cid:127)  Compression Stage: Generation of latent vectors via the trained encoder.</w:t>
      </w:r>
    </w:p>
    <w:p/>
    <w:p>
      <w:r>
        <w:t>(cid:127)  Labelling Stage: Assignment of unsupervised regimes via Gaussian HMM.</w:t>
      </w:r>
    </w:p>
    <w:p/>
    <w:p>
      <w:r>
        <w:t>(cid:127)  Forecasting Stage: Training and execution of the supervised predictor.</w:t>
      </w:r>
    </w:p>
    <w:p/>
    <w:p>
      <w:r>
        <w:t>(cid:127)  Output Stage: Generation of a probabilistic forecast (e.g., 98.9% confidence</w:t>
      </w:r>
    </w:p>
    <w:p>
      <w:r>
        <w:t>in Risk-Off) for the subsequent trading session.</w:t>
      </w:r>
    </w:p>
    <w:p/>
    <w:p>
      <w:r>
        <w:t>3.4 Design Decisions</w:t>
      </w:r>
    </w:p>
    <w:p/>
    <w:p>
      <w:r>
        <w:t>1..  Pure PyTorch Implementation: The system is built in pure PyTorch rather</w:t>
      </w:r>
    </w:p>
    <w:p>
      <w:r>
        <w:t>than using high-level wrappers to ensure "White-Box" control over the hidden</w:t>
      </w:r>
    </w:p>
    <w:p>
      <w:r>
        <w:t>states and attention windows.</w:t>
      </w:r>
    </w:p>
    <w:p/>
    <w:p>
      <w:r>
        <w:t>2..  Multi-Asset Inter-market Context: The primary design decision was to</w:t>
      </w:r>
    </w:p>
    <w:p>
      <w:r>
        <w:t>include Gold, Bonds, and Oil as core features. This creates a "systemic view" of</w:t>
      </w:r>
    </w:p>
    <w:p>
      <w:r>
        <w:t>risk, allowing the model to distinguish between equity-specific noise and</w:t>
      </w:r>
    </w:p>
    <w:p>
      <w:r>
        <w:t>fundamental regime shifts.</w:t>
      </w:r>
    </w:p>
    <w:p/>
    <w:p>
      <w:r>
        <w:t>3..  Soft Labeling with Exponential Smoothing: To prevent "Regime</w:t>
      </w:r>
    </w:p>
    <w:p>
      <w:r>
        <w:t>Flickering," the system uses exponential smoothing in its labeling logic. This</w:t>
      </w:r>
    </w:p>
    <w:p>
      <w:r>
        <w:t>ensures that the model only reacts to sustained shifts in market behavior rather</w:t>
      </w:r>
    </w:p>
    <w:p>
      <w:r>
        <w:t>than single-day outliers.</w:t>
      </w:r>
    </w:p>
    <w:p/>
    <w:p>
      <w:r>
        <w:t>12</w:t>
      </w:r>
    </w:p>
    <w:p/>
    <w:p>
      <w:r>
        <w:t>Chapter 4</w:t>
      </w:r>
    </w:p>
    <w:p/>
    <w:p>
      <w:r>
        <w:t>Implementation Details</w:t>
      </w:r>
    </w:p>
    <w:p/>
    <w:p>
      <w:r>
        <w:t>4.1 Hardware and Software Environment</w:t>
      </w:r>
    </w:p>
    <w:p/>
    <w:p>
      <w:r>
        <w:t>The  entire  pipeline  was  implemented  and  executed  within  the  Kaggle  cloud</w:t>
      </w:r>
    </w:p>
    <w:p>
      <w:r>
        <w:t>environment  to  leverage  high-performance  compute  resources.  Training  for  the</w:t>
      </w:r>
    </w:p>
    <w:p>
      <w:r>
        <w:t>LSTM  Autoencoder  was  performed  on  an  NVIDIA  Tesla  T4  GPU  with  16GB  of</w:t>
      </w:r>
    </w:p>
    <w:p>
      <w:r>
        <w:t>VRAM.  The  project  was  developed  using  Python  3.10  and  the  PyTorch  2.x</w:t>
      </w:r>
    </w:p>
    <w:p>
      <w:r>
        <w:t>framework  for  deep  learning,  while  hmmlearn  was  utilized  for  statistical  state</w:t>
      </w:r>
    </w:p>
    <w:p>
      <w:r>
        <w:t>discovery.  The  environment  required  specific  configurations  for  internet  access  to</w:t>
      </w:r>
    </w:p>
    <w:p>
      <w:r>
        <w:t>facilitate real-time data retrieval from Yahoo Finance.</w:t>
      </w:r>
    </w:p>
    <w:p/>
    <w:p>
      <w:r>
        <w:t>All  inference  experiments  and  backtesting  were  conducted  within  the  same  cloud</w:t>
      </w:r>
    </w:p>
    <w:p>
      <w:r>
        <w:t>environment.  This  setup  allowed  for  consistent  benchmarking  conditions  across  all</w:t>
      </w:r>
    </w:p>
    <w:p>
      <w:r>
        <w:t>324  trading  days  of  the  evaluation  period  (January  2025  to  April  2026),  enabling  a</w:t>
      </w:r>
    </w:p>
    <w:p>
      <w:r>
        <w:t>fair comparison between the Multi-Asset and Single-Asset model variants.</w:t>
      </w:r>
    </w:p>
    <w:p/>
    <w:p>
      <w:r>
        <w:t>4.2 Data Acquisition and Preprocessing</w:t>
      </w:r>
    </w:p>
    <w:p/>
    <w:p>
      <w:r>
        <w:t>The  system  processes  a  multi-asset  universe  spanning  from  January  2000  to</w:t>
      </w:r>
    </w:p>
    <w:p>
      <w:r>
        <w:t>December 2024 for training, with backtesting extending to April 2026.</w:t>
      </w:r>
    </w:p>
    <w:p/>
    <w:p>
      <w:r>
        <w:t>(cid:127)  Asset Universe: Five distinct tickers were selected to represent global</w:t>
      </w:r>
    </w:p>
    <w:p>
      <w:r>
        <w:t>systemic risk: S&amp;P 500 (^GSPC), CBOE Volatility Index (^VIX), 10-Year</w:t>
      </w:r>
    </w:p>
    <w:p>
      <w:r>
        <w:t>Treasury Yield (^TNX), Gold (GC=F), and Crude Oil (CL=F). This 24-year</w:t>
      </w:r>
    </w:p>
    <w:p>
      <w:r>
        <w:t>historical window was selected to ensure the models encountered multiple full</w:t>
      </w:r>
    </w:p>
    <w:p>
      <w:r>
        <w:t>market cycles, including the 2008 Financial Crisis and the 2020 pandemic</w:t>
      </w:r>
    </w:p>
    <w:p>
      <w:r>
        <w:t>volatility.</w:t>
      </w:r>
    </w:p>
    <w:p/>
    <w:p>
      <w:r>
        <w:t>(cid:127)  Normalization: Raw prices are converted to daily percentage returns</w:t>
      </w:r>
    </w:p>
    <w:p>
      <w:r>
        <w:t>and processed using a MinMaxScaler to bound values between [0, 1], which was</w:t>
      </w:r>
    </w:p>
    <w:p>
      <w:r>
        <w:t>found essential for the convergence of the LSTM Autoencoder.</w:t>
      </w:r>
    </w:p>
    <w:p/>
    <w:p>
      <w:r>
        <w:t>(cid:127)  Feature Engineering: Beyond raw returns, the system engineers rolling</w:t>
      </w:r>
    </w:p>
    <w:p>
      <w:r>
        <w:t>momentum (5 and 10-day), volatility changes, and VIX max-level features to</w:t>
      </w:r>
    </w:p>
    <w:p>
      <w:r>
        <w:t>provide the supervised predictor with localized context.</w:t>
      </w:r>
    </w:p>
    <w:p/>
    <w:p>
      <w:r>
        <w:t>(cid:127)  Windowing: Data was structured into sliding 30-day temporal windows to</w:t>
      </w:r>
    </w:p>
    <w:p>
      <w:r>
        <w:t>capture local momentum and volatility signatures.</w:t>
      </w:r>
    </w:p>
    <w:p/>
    <w:p>
      <w:r>
        <w:t>4.3 The 9-Stage Execution Pipeline</w:t>
      </w:r>
    </w:p>
    <w:p/>
    <w:p>
      <w:r>
        <w:t>The  system  is  implemented  as  a  sequential  "chain  of  thought"  for  market</w:t>
      </w:r>
    </w:p>
    <w:p>
      <w:r>
        <w:t>surveillance, organized into nine distinct stages:</w:t>
      </w:r>
    </w:p>
    <w:p/>
    <w:p>
      <w:r>
        <w:t>13</w:t>
      </w:r>
    </w:p>
    <w:p/>
    <w:p>
      <w:r>
        <w:t>Stage  1  (Self-Supervised  Training):  The  LSTM  Autoencoder  is  trained  to</w:t>
      </w:r>
    </w:p>
    <w:p>
      <w:r>
        <w:t>reconstruct  the  multi-asset  returns,  filtering  market  noise  and  achieving  a  final</w:t>
      </w:r>
    </w:p>
    <w:p>
      <w:r>
        <w:t>training loss of 0.0026.</w:t>
      </w:r>
    </w:p>
    <w:p/>
    <w:p>
      <w:r>
        <w:t xml:space="preserve">(Latent  Feature  Extraction):  The </w:t>
      </w:r>
    </w:p>
    <w:p/>
    <w:p>
      <w:r>
        <w:t xml:space="preserve">Stage  2 </w:t>
      </w:r>
    </w:p>
    <w:p>
      <w:r>
        <w:t>trained  encoder  generates</w:t>
      </w:r>
    </w:p>
    <w:p>
      <w:r>
        <w:t>64-dimensional "latent vectors" for every day in the 24-year dataset, representing the</w:t>
      </w:r>
    </w:p>
    <w:p>
      <w:r>
        <w:t>non-linear DNA of the market.</w:t>
      </w:r>
    </w:p>
    <w:p/>
    <w:p>
      <w:r>
        <w:t>Stage 3 (Unsupervised Discovery): PCA reduces the latent space to 5 dimensions,</w:t>
      </w:r>
    </w:p>
    <w:p>
      <w:r>
        <w:t>which are then fed into a Gaussian HMM to identify two primary hidden states: Calm</w:t>
      </w:r>
    </w:p>
    <w:p>
      <w:r>
        <w:t>Market and High Volatility.</w:t>
      </w:r>
    </w:p>
    <w:p/>
    <w:p>
      <w:r>
        <w:t>Stage 4 (Supervised Training): A supervised LSTM classifier is trained to forecast</w:t>
      </w:r>
    </w:p>
    <w:p>
      <w:r>
        <w:t>custom 3-class proxy regimes generated by the soft-labeling logic, utilizing Class</w:t>
      </w:r>
    </w:p>
    <w:p>
      <w:r>
        <w:t>Weights to address the rarity of Crisis events.</w:t>
      </w:r>
    </w:p>
    <w:p/>
    <w:p>
      <w:r>
        <w:t>Stage 5 (Out-of-Sample Prediction): The model is run on the 2023 calendar year,</w:t>
      </w:r>
    </w:p>
    <w:p>
      <w:r>
        <w:t>serving as a proxy-label agreement check and as a qualitative case study during</w:t>
      </w:r>
    </w:p>
    <w:p>
      <w:r>
        <w:t>the March 2023 regional banking stress episode.</w:t>
      </w:r>
    </w:p>
    <w:p/>
    <w:p>
      <w:r>
        <w:t>Stage  6  (Rolling  Backtest):  A  rigorous  daily  "tomorrow-prediction"  backtest  is</w:t>
      </w:r>
    </w:p>
    <w:p>
      <w:r>
        <w:t>performed from January 2025 to April 2026, quantifying the +10.8% agreement gap in</w:t>
      </w:r>
    </w:p>
    <w:p>
      <w:r>
        <w:t>favor of the Multi-Asset model.</w:t>
      </w:r>
    </w:p>
    <w:p/>
    <w:p>
      <w:r>
        <w:t>Stage 7 (Statistical Evaluation): Final performance metrics are saved, establishing</w:t>
      </w:r>
    </w:p>
    <w:p>
      <w:r>
        <w:t>the 97.53% overall agreement with the internal proxy labels.</w:t>
      </w:r>
    </w:p>
    <w:p/>
    <w:p>
      <w:r>
        <w:t>Stage  8  (Visualization):  The  engine  generates  regime  comparison  plots,  visually</w:t>
      </w:r>
    </w:p>
    <w:p>
      <w:r>
        <w:t>confirming the "persistence" of identified market states.</w:t>
      </w:r>
    </w:p>
    <w:p/>
    <w:p>
      <w:r>
        <w:t>Stage  9  (Live  Forecast):  The  current  market  state  is  ingested  to  provide  a</w:t>
      </w:r>
    </w:p>
    <w:p>
      <w:r>
        <w:t>probabilistic  forecast  for  the  next  trading  day.  As  of  April  21,  2026,  the  system</w:t>
      </w:r>
    </w:p>
    <w:p>
      <w:r>
        <w:t>forecasts a continuation of the Risk-Off regime with 98.9% confidence.</w:t>
      </w:r>
    </w:p>
    <w:p/>
    <w:p>
      <w:r>
        <w:t>4.4 Model Architecture and Hyperparameters</w:t>
      </w:r>
    </w:p>
    <w:p/>
    <w:p>
      <w:r>
        <w:t>The  system's  complexity  is  distributed  across  three  specialized  models,  whose</w:t>
      </w:r>
    </w:p>
    <w:p>
      <w:r>
        <w:t>configurations are summarized in Table 4.1.</w:t>
      </w:r>
    </w:p>
    <w:p/>
    <w:p>
      <w:r>
        <w:t>Hyperparameter</w:t>
      </w:r>
    </w:p>
    <w:p/>
    <w:p>
      <w:r>
        <w:t>LSTM Autoencoder</w:t>
      </w:r>
    </w:p>
    <w:p/>
    <w:p>
      <w:r>
        <w:t>Gaussian HMM</w:t>
      </w:r>
    </w:p>
    <w:p/>
    <w:p>
      <w:r>
        <w:t>Supervised Predictor</w:t>
      </w:r>
    </w:p>
    <w:p/>
    <w:p>
      <w:r>
        <w:t>Input Size</w:t>
      </w:r>
    </w:p>
    <w:p/>
    <w:p>
      <w:r>
        <w:t>5 (Multi-Asset)</w:t>
      </w:r>
    </w:p>
    <w:p/>
    <w:p>
      <w:r>
        <w:t>11 (PCA + Raw)</w:t>
      </w:r>
    </w:p>
    <w:p/>
    <w:p>
      <w:r>
        <w:t>10 (Multi-Asset)</w:t>
      </w:r>
    </w:p>
    <w:p/>
    <w:p>
      <w:r>
        <w:t>Hidden Units</w:t>
      </w:r>
    </w:p>
    <w:p/>
    <w:p>
      <w:r>
        <w:t>Layers</w:t>
      </w:r>
    </w:p>
    <w:p/>
    <w:p>
      <w:r>
        <w:t>64</w:t>
      </w:r>
    </w:p>
    <w:p/>
    <w:p>
      <w:r>
        <w:t>2</w:t>
      </w:r>
    </w:p>
    <w:p/>
    <w:p>
      <w:r>
        <w:t>Lookback Window</w:t>
      </w:r>
    </w:p>
    <w:p/>
    <w:p>
      <w:r>
        <w:t>30 Days</w:t>
      </w:r>
    </w:p>
    <w:p/>
    <w:p>
      <w:r>
        <w:t>Dropout</w:t>
      </w:r>
    </w:p>
    <w:p/>
    <w:p>
      <w:r>
        <w:t>0.2</w:t>
      </w:r>
    </w:p>
    <w:p/>
    <w:p>
      <w:r>
        <w:t>N/A</w:t>
      </w:r>
    </w:p>
    <w:p/>
    <w:p>
      <w:r>
        <w:t>2 States</w:t>
      </w:r>
    </w:p>
    <w:p/>
    <w:p>
      <w:r>
        <w:t>30 Days</w:t>
      </w:r>
    </w:p>
    <w:p/>
    <w:p>
      <w:r>
        <w:t>N/A</w:t>
      </w:r>
    </w:p>
    <w:p/>
    <w:p>
      <w:r>
        <w:t>128</w:t>
      </w:r>
    </w:p>
    <w:p/>
    <w:p>
      <w:r>
        <w:t>2</w:t>
      </w:r>
    </w:p>
    <w:p/>
    <w:p>
      <w:r>
        <w:t>20 Days</w:t>
      </w:r>
    </w:p>
    <w:p/>
    <w:p>
      <w:r>
        <w:t>0.2</w:t>
      </w:r>
    </w:p>
    <w:p/>
    <w:p>
      <w:r>
        <w:t>14</w:t>
      </w:r>
    </w:p>
    <w:p/>
    <w:p>
      <w:r>
        <w:t>Hyperparameter</w:t>
      </w:r>
    </w:p>
    <w:p/>
    <w:p>
      <w:r>
        <w:t>LSTM Autoencoder</w:t>
      </w:r>
    </w:p>
    <w:p/>
    <w:p>
      <w:r>
        <w:t>Gaussian HMM</w:t>
      </w:r>
    </w:p>
    <w:p/>
    <w:p>
      <w:r>
        <w:t>Supervised Predictor</w:t>
      </w:r>
    </w:p>
    <w:p/>
    <w:p>
      <w:r>
        <w:t>Optimization</w:t>
      </w:r>
    </w:p>
    <w:p/>
    <w:p>
      <w:r>
        <w:t>Adam (LR: 0.001)</w:t>
      </w:r>
    </w:p>
    <w:p/>
    <w:p>
      <w:r>
        <w:t>Expectation-Max</w:t>
      </w:r>
    </w:p>
    <w:p/>
    <w:p>
      <w:r>
        <w:t>Adam (LR: 0.0005)</w:t>
      </w:r>
    </w:p>
    <w:p/>
    <w:p>
      <w:r>
        <w:t>Table 4.1: Model Hyperparameters</w:t>
      </w:r>
    </w:p>
    <w:p/>
    <w:p>
      <w:r>
        <w:t>4.5 Training Methodology and Strategy</w:t>
      </w:r>
    </w:p>
    <w:p/>
    <w:p>
      <w:r>
        <w:t>The  supervised  forecasting  model  (Stage  4)  utilizes  a  strict  time-based  split  to</w:t>
      </w:r>
    </w:p>
    <w:p>
      <w:r>
        <w:t>prevent data leakage and simulate real-world deployment:</w:t>
      </w:r>
    </w:p>
    <w:p/>
    <w:p>
      <w:r>
        <w:t>(cid:127)  Training Set: Data prior to January 1, 2019.</w:t>
      </w:r>
    </w:p>
    <w:p/>
    <w:p>
      <w:r>
        <w:t>(cid:127)  Validation Set: 2019 to 2022, covering the extreme volatility of the COVID-19</w:t>
      </w:r>
    </w:p>
    <w:p>
      <w:r>
        <w:t>market shift.</w:t>
      </w:r>
    </w:p>
    <w:p/>
    <w:p>
      <w:r>
        <w:t>(cid:127)  Testing Set: 2022 to 2024, used for final out-of-sample evaluation.</w:t>
      </w:r>
    </w:p>
    <w:p/>
    <w:p>
      <w:r>
        <w:t>To  address  the  class  imbalance—where  "Crisis"  days  are  significantly  rarer  than</w:t>
      </w:r>
    </w:p>
    <w:p>
      <w:r>
        <w:t>"Calm" days—the loss function incorporates Class Weights (e.g., Crisis weight: 2.73</w:t>
      </w:r>
    </w:p>
    <w:p>
      <w:r>
        <w:t>vs.  Calm  weight:  0.52),  forcing  the  model  to  prioritize  accuracy  on  high-impact</w:t>
      </w:r>
    </w:p>
    <w:p>
      <w:r>
        <w:t>regime shifts.</w:t>
      </w:r>
    </w:p>
    <w:p/>
    <w:p>
      <w:r>
        <w:t>4.6 Implementation Challenges</w:t>
      </w:r>
    </w:p>
    <w:p/>
    <w:p>
      <w:r>
        <w:t>4.6.1 The "Database Locked" Concurrency Bug</w:t>
      </w:r>
    </w:p>
    <w:p/>
    <w:p>
      <w:r>
        <w:t>During Stage 1, a race condition occurred within the yfinance multi-threading engine,</w:t>
      </w:r>
    </w:p>
    <w:p>
      <w:r>
        <w:t>leading  to  cache-related  OperationalError  risk.  This  was  traced  to  Yahoo  Finance</w:t>
      </w:r>
    </w:p>
    <w:p>
      <w:r>
        <w:t>and SQLite cache contention where multiple requests could compete for local state</w:t>
      </w:r>
    </w:p>
    <w:p>
      <w:r>
        <w:t>simultaneously.  The  practical  mitigation  involved  hardening  the  download  stage</w:t>
      </w:r>
    </w:p>
    <w:p>
      <w:r>
        <w:t>with safer retry / timeout handling and more defensive data validation during</w:t>
      </w:r>
    </w:p>
    <w:p>
      <w:r>
        <w:t>ingestion rather than assuming the cache path was fully thread-safe.</w:t>
      </w:r>
    </w:p>
    <w:p/>
    <w:p>
      <w:r/>
    </w:p>
    <w:p/>
    <w:p>
      <w:r/>
    </w:p>
    <w:p/>
    <w:p>
      <w:r>
        <w:t>4.6.2 Label Flicker and Persistence Nudging</w:t>
      </w:r>
    </w:p>
    <w:p/>
    <w:p>
      <w:r>
        <w:t>Initial HMM runs produced "noisy" regimes that switched states too frequently to be</w:t>
      </w:r>
    </w:p>
    <w:p>
      <w:r>
        <w:t>tradable.  This  was  resolved  by  manually  initializing  the  Transition  Matrix  with  high</w:t>
      </w:r>
    </w:p>
    <w:p>
      <w:r>
        <w:t>diagonal  values  (0.90),  forcing  the  model  to  favor  regime  persistence  unless</w:t>
      </w:r>
    </w:p>
    <w:p>
      <w:r>
        <w:t>evidence  of  a  shift  was  overwhelming.  Additionally,  finalizing  training  only  after  the</w:t>
      </w:r>
    </w:p>
    <w:p>
      <w:r>
        <w:t>Autoencoder loss had converged below 0.003 underscored the lesson that predictive</w:t>
      </w:r>
    </w:p>
    <w:p>
      <w:r>
        <w:t>accuracy is highly dependent on the quality of the unsupervised labels generated in</w:t>
      </w:r>
    </w:p>
    <w:p>
      <w:r>
        <w:t>earlier stages.</w:t>
      </w:r>
    </w:p>
    <w:p/>
    <w:p>
      <w:r>
        <w:t>15</w:t>
      </w:r>
    </w:p>
    <w:p/>
    <w:p>
      <w:r>
        <w:t>Chapter 5</w:t>
      </w:r>
    </w:p>
    <w:p/>
    <w:p>
      <w:r>
        <w:t>Evaluation and Results</w:t>
      </w:r>
    </w:p>
    <w:p/>
    <w:p>
      <w:r>
        <w:t>5.1 Evaluation Metrics</w:t>
      </w:r>
    </w:p>
    <w:p/>
    <w:p>
      <w:r>
        <w:t>The  performance  of  the  market  regime  detection  engine  was  evaluated  using  a</w:t>
      </w:r>
    </w:p>
    <w:p>
      <w:r>
        <w:t>combination  of  classification  and  financial  backtesting  metrics  to  quantify  its</w:t>
      </w:r>
    </w:p>
    <w:p>
      <w:r>
        <w:t>agreement with internally generated proxy labels and overall stability.</w:t>
      </w:r>
    </w:p>
    <w:p/>
    <w:p>
      <w:r>
        <w:t>(cid:127)  Total Agreement: The percentage of trading days where the forecasted regime</w:t>
      </w:r>
    </w:p>
    <w:p>
      <w:r>
        <w:t>for "tomorrow" matched the internally generated proxy label.</w:t>
      </w:r>
    </w:p>
    <w:p/>
    <w:p>
      <w:r>
        <w:t>(cid:127)  Macro-F1 Score: The harmonic mean of precision and recall calculated</w:t>
      </w:r>
    </w:p>
    <w:p>
      <w:r>
        <w:t>independently for each regime (Calm, Risk-Off, Crisis) and then averaged. This</w:t>
      </w:r>
    </w:p>
    <w:p>
      <w:r>
        <w:t>ensures that the model's performance on rarer "Crisis" events is weighted</w:t>
      </w:r>
    </w:p>
    <w:p>
      <w:r>
        <w:t>equally with majority "Calm Market" days.</w:t>
      </w:r>
    </w:p>
    <w:p/>
    <w:p>
      <w:r>
        <w:t>(cid:127)  High-Confidence Agreement: The agreement achieved specifically on</w:t>
      </w:r>
    </w:p>
    <w:p>
      <w:r>
        <w:t>days where the model's prediction probability exceeded a threshold of 0.80,</w:t>
      </w:r>
    </w:p>
    <w:p>
      <w:r>
        <w:t>indicating the reliability of the signal during periods of high certainty.</w:t>
      </w:r>
    </w:p>
    <w:p>
      <w:r>
        <w:t>indicating the reliability of the signal during periods of high certainty.</w:t>
      </w:r>
    </w:p>
    <w:p/>
    <w:p>
      <w:r/>
    </w:p>
    <w:p/>
    <w:p>
      <w:r>
        <w:t>(cid:127)  Transition Hit Rate: A specialized metric measuring the model's ability to</w:t>
      </w:r>
    </w:p>
    <w:p>
      <w:r>
        <w:t>predict the exact date a regime shift occurs (e.g., transitioning from Calm to</w:t>
      </w:r>
    </w:p>
    <w:p>
      <w:r>
        <w:t>Risk-Off).</w:t>
      </w:r>
    </w:p>
    <w:p/>
    <w:p>
      <w:r>
        <w:t>5.2 Performance Analysis</w:t>
      </w:r>
    </w:p>
    <w:p/>
    <w:p>
      <w:r>
        <w:t>5.2.1 Comparative Analysis (Multi-Asset vs. Single-Asset)</w:t>
      </w:r>
    </w:p>
    <w:p/>
    <w:p>
      <w:r>
        <w:t>The  primary  objective  was  to  evaluate  the  "Multi-Asset  Advantage."  The  backtest</w:t>
      </w:r>
    </w:p>
    <w:p>
      <w:r>
        <w:t>was conducted over a period of 324 trading days, spanning from January 1, 2025, to</w:t>
      </w:r>
    </w:p>
    <w:p>
      <w:r>
        <w:t>April  21,  2026.  Within  the  internal  proxy-label  evaluation  framework,  the</w:t>
      </w:r>
    </w:p>
    <w:p>
      <w:r>
        <w:t>quantitative results demonstrate a clear superiority of the multi-asset approach.</w:t>
      </w:r>
    </w:p>
    <w:p/>
    <w:p>
      <w:r>
        <w:t>Variant</w:t>
      </w:r>
    </w:p>
    <w:p/>
    <w:p>
      <w:r>
        <w:t>Agreement</w:t>
      </w:r>
    </w:p>
    <w:p/>
    <w:p>
      <w:r>
        <w:t>Macro-F1</w:t>
      </w:r>
    </w:p>
    <w:p/>
    <w:p>
      <w:r>
        <w:t>High-Conf Agree.</w:t>
      </w:r>
    </w:p>
    <w:p/>
    <w:p>
      <w:r>
        <w:t>Transition Hit</w:t>
      </w:r>
    </w:p>
    <w:p/>
    <w:p>
      <w:r>
        <w:t>Multi-Asset (Proposed)</w:t>
      </w:r>
    </w:p>
    <w:p/>
    <w:p>
      <w:r>
        <w:t>97.53%</w:t>
      </w:r>
    </w:p>
    <w:p/>
    <w:p>
      <w:r>
        <w:t>0.9509</w:t>
      </w:r>
    </w:p>
    <w:p/>
    <w:p>
      <w:r>
        <w:t>98.70%</w:t>
      </w:r>
    </w:p>
    <w:p/>
    <w:p>
      <w:r>
        <w:t>20.0% (1/5)</w:t>
      </w:r>
    </w:p>
    <w:p/>
    <w:p>
      <w:r>
        <w:t>Single-Asset (Baseline)</w:t>
      </w:r>
    </w:p>
    <w:p/>
    <w:p>
      <w:r>
        <w:t>86.73%</w:t>
      </w:r>
    </w:p>
    <w:p/>
    <w:p>
      <w:r>
        <w:t>0.7723</w:t>
      </w:r>
    </w:p>
    <w:p/>
    <w:p>
      <w:r>
        <w:t>89.66%</w:t>
      </w:r>
    </w:p>
    <w:p/>
    <w:p>
      <w:r>
        <w:t>20.0% (1/5)</w:t>
      </w:r>
    </w:p>
    <w:p/>
    <w:p>
      <w:r>
        <w:t>Improvement (Gap)</w:t>
      </w:r>
    </w:p>
    <w:p/>
    <w:p>
      <w:r>
        <w:t>+10.80%</w:t>
      </w:r>
    </w:p>
    <w:p/>
    <w:p>
      <w:r>
        <w:t>+0.1786</w:t>
      </w:r>
    </w:p>
    <w:p/>
    <w:p>
      <w:r>
        <w:t>+9.04%</w:t>
      </w:r>
    </w:p>
    <w:p/>
    <w:p>
      <w:r>
        <w:t>0.0%</w:t>
      </w:r>
    </w:p>
    <w:p/>
    <w:p>
      <w:r>
        <w:t>Table 5.1: Comparative Backtest Performance Summary</w:t>
      </w:r>
    </w:p>
    <w:p/>
    <w:p>
      <w:r>
        <w:t>The  Multi-Asset  model  exhibited  a  significant  agreement  lead,  correctly  matching</w:t>
      </w:r>
    </w:p>
    <w:p>
      <w:r>
        <w:t>nearly 11% more proxy-labeled trading days than the S&amp;P; 500-only model. This</w:t>
      </w:r>
    </w:p>
    <w:p>
      <w:r>
        <w:t>performance gap confirms that inter-market signals?such as Gold price shifts or Bond</w:t>
      </w:r>
    </w:p>
    <w:p>
      <w:r>
        <w:t>yield inversions?provide critical context that equity prices alone cannot capture.</w:t>
      </w:r>
    </w:p>
    <w:p/>
    <w:p>
      <w:r>
        <w:t>16</w:t>
      </w:r>
    </w:p>
    <w:p/>
    <w:p>
      <w:r>
        <w:t>prices alone cannot capture.</w:t>
      </w:r>
    </w:p>
    <w:p/>
    <w:p>
      <w:r>
        <w:t>Figure 5.1: Rolling backtest (January 2025 ? April 2026): Proxy labels vs. Predicted next-day</w:t>
      </w:r>
    </w:p>
    <w:p>
      <w:r>
        <w:t>regimes (top), predicted class probabilities for Calm, Risk-Off and Crisis (middle), and</w:t>
      </w:r>
    </w:p>
    <w:p>
      <w:r>
        <w:t>prediction errors with model confidence overlay (bottom). Pink bands indicate misprediction</w:t>
      </w:r>
    </w:p>
    <w:p>
      <w:r>
        <w:t>days; grey vertical lines mark proxy regime transitions.</w:t>
      </w:r>
    </w:p>
    <w:p/>
    <w:p>
      <w:r>
        <w:t>5.2.2 Detailed Classification Reports</w:t>
      </w:r>
    </w:p>
    <w:p/>
    <w:p>
      <w:r>
        <w:t>The  following  tables  provide  a  granular  view  of  the  model's  ability  to  differentiate</w:t>
      </w:r>
    </w:p>
    <w:p>
      <w:r>
        <w:t>between  the  three  proxy  market  states  used  in  the  evaluation  framework.  The</w:t>
      </w:r>
    </w:p>
    <w:p>
      <w:r>
        <w:t>Multi-Asset  model  achieves  near-perfect  scores  for  the  "Calm  Market"  and  maintains</w:t>
      </w:r>
    </w:p>
    <w:p>
      <w:r>
        <w:t>very high precision for "Risk-Off" and "Crisis."</w:t>
      </w:r>
    </w:p>
    <w:p/>
    <w:p>
      <w:r>
        <w:t>Regime</w:t>
      </w:r>
    </w:p>
    <w:p/>
    <w:p>
      <w:r>
        <w:t>Precision</w:t>
      </w:r>
    </w:p>
    <w:p/>
    <w:p>
      <w:r>
        <w:t>Recall</w:t>
      </w:r>
    </w:p>
    <w:p/>
    <w:p>
      <w:r>
        <w:t>F1-Score</w:t>
      </w:r>
    </w:p>
    <w:p/>
    <w:p>
      <w:r>
        <w:t>Support</w:t>
      </w:r>
    </w:p>
    <w:p/>
    <w:p>
      <w:r>
        <w:t>Calm Market</w:t>
      </w:r>
    </w:p>
    <w:p/>
    <w:p>
      <w:r>
        <w:t>Risk-Off</w:t>
      </w:r>
    </w:p>
    <w:p/>
    <w:p>
      <w:r>
        <w:t>Crisis</w:t>
      </w:r>
    </w:p>
    <w:p/>
    <w:p>
      <w:r>
        <w:t>0.99</w:t>
      </w:r>
    </w:p>
    <w:p/>
    <w:p>
      <w:r>
        <w:t>0.92</w:t>
      </w:r>
    </w:p>
    <w:p/>
    <w:p>
      <w:r>
        <w:t>0.94</w:t>
      </w:r>
    </w:p>
    <w:p/>
    <w:p>
      <w:r>
        <w:t>0.99</w:t>
      </w:r>
    </w:p>
    <w:p/>
    <w:p>
      <w:r>
        <w:t>0.92</w:t>
      </w:r>
    </w:p>
    <w:p/>
    <w:p>
      <w:r>
        <w:t>0.94</w:t>
      </w:r>
    </w:p>
    <w:p/>
    <w:p>
      <w:r>
        <w:t>0.99</w:t>
      </w:r>
    </w:p>
    <w:p/>
    <w:p>
      <w:r>
        <w:t>0.92</w:t>
      </w:r>
    </w:p>
    <w:p/>
    <w:p>
      <w:r>
        <w:t>0.94</w:t>
      </w:r>
    </w:p>
    <w:p/>
    <w:p>
      <w:r>
        <w:t>240</w:t>
      </w:r>
    </w:p>
    <w:p/>
    <w:p>
      <w:r>
        <w:t>48</w:t>
      </w:r>
    </w:p>
    <w:p/>
    <w:p>
      <w:r>
        <w:t>36</w:t>
      </w:r>
    </w:p>
    <w:p/>
    <w:p>
      <w:r>
        <w:t>Table 5.2: Multi-Asset Classification Report</w:t>
      </w:r>
    </w:p>
    <w:p/>
    <w:p>
      <w:r>
        <w:t>Regime</w:t>
      </w:r>
    </w:p>
    <w:p/>
    <w:p>
      <w:r>
        <w:t>Precision</w:t>
      </w:r>
    </w:p>
    <w:p/>
    <w:p>
      <w:r>
        <w:t>Calm Market</w:t>
      </w:r>
    </w:p>
    <w:p/>
    <w:p>
      <w:r>
        <w:t>0.93</w:t>
      </w:r>
    </w:p>
    <w:p/>
    <w:p>
      <w:r>
        <w:t>Recall</w:t>
      </w:r>
    </w:p>
    <w:p/>
    <w:p>
      <w:r>
        <w:t>0.94</w:t>
      </w:r>
    </w:p>
    <w:p/>
    <w:p>
      <w:r>
        <w:t>F1-Score</w:t>
      </w:r>
    </w:p>
    <w:p/>
    <w:p>
      <w:r>
        <w:t>Support</w:t>
      </w:r>
    </w:p>
    <w:p/>
    <w:p>
      <w:r>
        <w:t>0.93</w:t>
      </w:r>
    </w:p>
    <w:p/>
    <w:p>
      <w:r>
        <w:t>240</w:t>
      </w:r>
    </w:p>
    <w:p/>
    <w:p>
      <w:r>
        <w:t>17</w:t>
      </w:r>
    </w:p>
    <w:p/>
    <w:p>
      <w:r>
        <w:t>Regime</w:t>
      </w:r>
    </w:p>
    <w:p/>
    <w:p>
      <w:r>
        <w:t>Risk-Off</w:t>
      </w:r>
    </w:p>
    <w:p/>
    <w:p>
      <w:r>
        <w:t>Crisis</w:t>
      </w:r>
    </w:p>
    <w:p/>
    <w:p>
      <w:r>
        <w:t>Precision</w:t>
      </w:r>
    </w:p>
    <w:p/>
    <w:p>
      <w:r>
        <w:t>Recall</w:t>
      </w:r>
    </w:p>
    <w:p/>
    <w:p>
      <w:r>
        <w:t>F1-Score</w:t>
      </w:r>
    </w:p>
    <w:p/>
    <w:p>
      <w:r>
        <w:t>Support</w:t>
      </w:r>
    </w:p>
    <w:p/>
    <w:p>
      <w:r>
        <w:t>0.56</w:t>
      </w:r>
    </w:p>
    <w:p/>
    <w:p>
      <w:r>
        <w:t>0.82</w:t>
      </w:r>
    </w:p>
    <w:p/>
    <w:p>
      <w:r>
        <w:t>0.48</w:t>
      </w:r>
    </w:p>
    <w:p/>
    <w:p>
      <w:r>
        <w:t>0.92</w:t>
      </w:r>
    </w:p>
    <w:p/>
    <w:p>
      <w:r>
        <w:t>0.52</w:t>
      </w:r>
    </w:p>
    <w:p/>
    <w:p>
      <w:r>
        <w:t>0.87</w:t>
      </w:r>
    </w:p>
    <w:p/>
    <w:p>
      <w:r>
        <w:t>48</w:t>
      </w:r>
    </w:p>
    <w:p/>
    <w:p>
      <w:r>
        <w:t>36</w:t>
      </w:r>
    </w:p>
    <w:p/>
    <w:p>
      <w:r>
        <w:t>Table 5.3: Single-Asset Classification Report</w:t>
      </w:r>
    </w:p>
    <w:p/>
    <w:p>
      <w:r>
        <w:t>5.2.3 Confusion Matrix Comparison</w:t>
      </w:r>
    </w:p>
    <w:p/>
    <w:p>
      <w:r>
        <w:t>Analysis  of  the  confusion  matrices  reveals  the  source  of  the  Single-Asset  model's</w:t>
      </w:r>
    </w:p>
    <w:p>
      <w:r>
        <w:t>underperformance.  It  frequently  misclassified  "Risk-Off"  days  as  "Calm  Market"  (18</w:t>
      </w:r>
    </w:p>
    <w:p>
      <w:r>
        <w:t>instances),  indicating  a  dangerous  "false  sense  of  security"  bias.  The  Multi-Asset</w:t>
      </w:r>
    </w:p>
    <w:p>
      <w:r>
        <w:t>model reduced these errors to just 2 instances.</w:t>
      </w:r>
    </w:p>
    <w:p/>
    <w:p>
      <w:r>
        <w:t>Predicted: Calm</w:t>
      </w:r>
    </w:p>
    <w:p/>
    <w:p>
      <w:r>
        <w:t>Predicted: Risk-Off</w:t>
      </w:r>
    </w:p>
    <w:p/>
    <w:p>
      <w:r>
        <w:t>Predicted: Crisis</w:t>
      </w:r>
    </w:p>
    <w:p/>
    <w:p>
      <w:r>
        <w:t>Actual: Calm</w:t>
      </w:r>
    </w:p>
    <w:p/>
    <w:p>
      <w:r>
        <w:t>Actual: Risk-Off</w:t>
      </w:r>
    </w:p>
    <w:p/>
    <w:p>
      <w:r>
        <w:t>Actual: Crisis</w:t>
      </w:r>
    </w:p>
    <w:p/>
    <w:p>
      <w:r>
        <w:t>238</w:t>
      </w:r>
    </w:p>
    <w:p/>
    <w:p>
      <w:r>
        <w:t>2</w:t>
      </w:r>
    </w:p>
    <w:p/>
    <w:p>
      <w:r>
        <w:t>0</w:t>
      </w:r>
    </w:p>
    <w:p/>
    <w:p>
      <w:r>
        <w:t>2</w:t>
      </w:r>
    </w:p>
    <w:p/>
    <w:p>
      <w:r>
        <w:t>44</w:t>
      </w:r>
    </w:p>
    <w:p/>
    <w:p>
      <w:r>
        <w:t>2</w:t>
      </w:r>
    </w:p>
    <w:p/>
    <w:p>
      <w:r>
        <w:t>Table 5.4: Multi-Asset Confusion Matrix</w:t>
      </w:r>
    </w:p>
    <w:p/>
    <w:p>
      <w:r>
        <w:t>0</w:t>
      </w:r>
    </w:p>
    <w:p/>
    <w:p>
      <w:r>
        <w:t>2</w:t>
      </w:r>
    </w:p>
    <w:p/>
    <w:p>
      <w:r>
        <w:t>34</w:t>
      </w:r>
    </w:p>
    <w:p/>
    <w:p>
      <w:r>
        <w:t>Predicted: Calm</w:t>
      </w:r>
    </w:p>
    <w:p/>
    <w:p>
      <w:r>
        <w:t>Predicted: Risk-Off</w:t>
      </w:r>
    </w:p>
    <w:p/>
    <w:p>
      <w:r>
        <w:t>Predicted: Crisis</w:t>
      </w:r>
    </w:p>
    <w:p/>
    <w:p>
      <w:r>
        <w:t>Actual: Calm</w:t>
      </w:r>
    </w:p>
    <w:p/>
    <w:p>
      <w:r>
        <w:t>Actual: Risk-Off</w:t>
      </w:r>
    </w:p>
    <w:p/>
    <w:p>
      <w:r>
        <w:t>Actual: Crisis</w:t>
      </w:r>
    </w:p>
    <w:p/>
    <w:p>
      <w:r>
        <w:t>225</w:t>
      </w:r>
    </w:p>
    <w:p/>
    <w:p>
      <w:r>
        <w:t>18</w:t>
      </w:r>
    </w:p>
    <w:p/>
    <w:p>
      <w:r>
        <w:t>0</w:t>
      </w:r>
    </w:p>
    <w:p/>
    <w:p>
      <w:r>
        <w:t>15</w:t>
      </w:r>
    </w:p>
    <w:p/>
    <w:p>
      <w:r>
        <w:t>23</w:t>
      </w:r>
    </w:p>
    <w:p/>
    <w:p>
      <w:r>
        <w:t>3</w:t>
      </w:r>
    </w:p>
    <w:p/>
    <w:p>
      <w:r>
        <w:t>0</w:t>
      </w:r>
    </w:p>
    <w:p/>
    <w:p>
      <w:r>
        <w:t>7</w:t>
      </w:r>
    </w:p>
    <w:p/>
    <w:p>
      <w:r>
        <w:t>33</w:t>
      </w:r>
    </w:p>
    <w:p/>
    <w:p>
      <w:r>
        <w:t>Table 5.5: Single-Asset Confusion Matrix</w:t>
      </w:r>
    </w:p>
    <w:p/>
    <w:p>
      <w:r>
        <w:t>18</w:t>
      </w:r>
    </w:p>
    <w:p/>
    <w:p>
      <w:r>
        <w:t>Figure 5.2: Regime comparison plot showing Multi-Asset vs. Single-Asset predicted regimes</w:t>
      </w:r>
    </w:p>
    <w:p>
      <w:r>
        <w:t>alongside the proxy regime labels (top), rolling 30-day backtest agreement for both variants</w:t>
      </w:r>
    </w:p>
    <w:p>
      <w:r>
        <w:t>(middle), and model confidence over time with grey vertical lines marking proxy regime</w:t>
      </w:r>
    </w:p>
    <w:p>
      <w:r>
        <w:t>transitions (bottom). The Single-Asset model's rolling agreement collapses to below 40% during</w:t>
      </w:r>
    </w:p>
    <w:p>
      <w:r>
        <w:t>the mid-2025 crisis period.</w:t>
      </w:r>
    </w:p>
    <w:p/>
    <w:p>
      <w:r>
        <w:t>Figure 5.3: Confidence distribution histograms for the Multi-Asset model (left, teal) and the</w:t>
      </w:r>
    </w:p>
    <w:p>
      <w:r>
        <w:t>Single-Asset model (right, red). The Multi-Asset model demonstrates a sharp concentration of</w:t>
      </w:r>
    </w:p>
    <w:p>
      <w:r>
        <w:t>predictions at near-1.0 confidence, while the Single-Asset distribution is considerably more</w:t>
      </w:r>
    </w:p>
    <w:p>
      <w:r>
        <w:t>dispersed, reflecting the greater decisiveness enabled by inter-market feature context.</w:t>
      </w:r>
    </w:p>
    <w:p/>
    <w:p>
      <w:r>
        <w:t>5.3 Performance Insights</w:t>
      </w:r>
    </w:p>
    <w:p/>
    <w:p>
      <w:r>
        <w:t>1. Mitigation of "Risk-Off" Confusion</w:t>
      </w:r>
    </w:p>
    <w:p/>
    <w:p>
      <w:r>
        <w:t>19</w:t>
      </w:r>
    </w:p>
    <w:p/>
    <w:p>
      <w:r>
        <w:t>The  Single-Asset  model's  low  precision  for  Risk-Off  (0.56)  suggests  it  often</w:t>
      </w:r>
    </w:p>
    <w:p>
      <w:r>
        <w:t>misidentifies  minor  equity  volatility  as  a  regime  shift.  The  Multi-Asset  model,  by</w:t>
      </w:r>
    </w:p>
    <w:p>
      <w:r>
        <w:t>contrast, achieved a precision of 0.92 for the same class. This demonstrates that the</w:t>
      </w:r>
    </w:p>
    <w:p>
      <w:r>
        <w:t>addition of Gold and Bond features acts as a "filter," allowing the model to distinguish</w:t>
      </w:r>
    </w:p>
    <w:p>
      <w:r>
        <w:t>between equity-specific noise and systemic risk.</w:t>
      </w:r>
    </w:p>
    <w:p/>
    <w:p>
      <w:r>
        <w:t>2. Crisis Sensitivity and Precision</w:t>
      </w:r>
    </w:p>
    <w:p/>
    <w:p>
      <w:r>
        <w:t>Both  models  were  relatively  successful  in  identifying  the  "Crisis"  proxy  regime,  but  the</w:t>
      </w:r>
    </w:p>
    <w:p>
      <w:r>
        <w:t>Multi-Asset model was more precise (0.94 vs. 0.82). The Multi-Asset model correctly</w:t>
      </w:r>
    </w:p>
    <w:p>
      <w:r>
        <w:t>identified  34  out  of  36  Crisis  days  in  the  evaluation  period,  ensuring  that  the  most</w:t>
      </w:r>
    </w:p>
    <w:p>
      <w:r>
        <w:t>dangerous market environments are flagged with minimal false alarms.</w:t>
      </w:r>
    </w:p>
    <w:p/>
    <w:p>
      <w:r>
        <w:t>3. Confidence Stability and Persistence</w:t>
      </w:r>
    </w:p>
    <w:p/>
    <w:p>
      <w:r>
        <w:t>The  Multi-Asset  model  generated  308  "High-Confidence"  days  out  of  324,  whereas</w:t>
      </w:r>
    </w:p>
    <w:p>
      <w:r>
        <w:t>the  Single-Asset  model  generated  only  290.  Furthermore,  the  agreement  on  these</w:t>
      </w:r>
    </w:p>
    <w:p>
      <w:r>
        <w:t>high-confidence days was significantly higher for the multi-asset variant (98.70% vs.</w:t>
      </w:r>
    </w:p>
    <w:p>
      <w:r>
        <w:t>89.66%). This indicates that the inter-market features not only improve agreement but</w:t>
      </w:r>
    </w:p>
    <w:p>
      <w:r>
        <w:t>also enhance the model's decisiveness, reducing the likelihood of "regime flickering"</w:t>
      </w:r>
    </w:p>
    <w:p>
      <w:r>
        <w:t>as evidenced by Figure 5.3.</w:t>
      </w:r>
    </w:p>
    <w:p/>
    <w:p>
      <w:r>
        <w:t>4. Transition Hit Rate Limitations</w:t>
      </w:r>
    </w:p>
    <w:p/>
    <w:p>
      <w:r>
        <w:t>Despite its high overall proxy-label agreement, the Multi-Asset model only correctly predicted the</w:t>
      </w:r>
    </w:p>
    <w:p>
      <w:r>
        <w:t>exact  transition  day  for  1  out  of  5  regime  shifts  (20.0%).  This  remains  the  primary</w:t>
      </w:r>
    </w:p>
    <w:p>
      <w:r>
        <w:t>engineering  bottleneck;  while  the  system  is  highly  effective  at  identifying  a  regime</w:t>
      </w:r>
    </w:p>
    <w:p>
      <w:r>
        <w:t>once  it  has  begun,  the  "Predictive  Lag"  inherent  in  LSTM  sequences  means  the</w:t>
      </w:r>
    </w:p>
    <w:p>
      <w:r>
        <w:t>exact  point  of  inflection  is  often  identified  24–48  hours  after  the  initial  move.  This</w:t>
      </w:r>
    </w:p>
    <w:p>
      <w:r>
        <w:t>limitation  motivates  future  work  on  adaptive  lookahead  mechanisms  and  real-time</w:t>
      </w:r>
    </w:p>
    <w:p>
      <w:r>
        <w:t>sentiment integration.</w:t>
      </w:r>
    </w:p>
    <w:p/>
    <w:p>
      <w:r>
        <w:t>20</w:t>
      </w:r>
    </w:p>
    <w:p/>
    <w:p>
      <w:r>
        <w:t>Chapter 6</w:t>
      </w:r>
    </w:p>
    <w:p/>
    <w:p>
      <w:r>
        <w:t>Conclusion and Future Work</w:t>
      </w:r>
    </w:p>
    <w:p/>
    <w:p>
      <w:r>
        <w:t>6.1 Summary of Contributions</w:t>
      </w:r>
    </w:p>
    <w:p/>
    <w:p>
      <w:r>
        <w:t>This  project  successfully  developed  and  evaluated  a  modular  9-stage  technical</w:t>
      </w:r>
    </w:p>
    <w:p>
      <w:r>
        <w:t>pipeline  for  automated  market  regime  discovery  and  forecasting.  By  synthesizing</w:t>
      </w:r>
    </w:p>
    <w:p>
      <w:r>
        <w:t>self-supervised  representation  learning  with  unsupervised  state  discovery,  we</w:t>
      </w:r>
    </w:p>
    <w:p>
      <w:r>
        <w:t>created  a  robust  "Financial  Market  Surveillance"  engine  capable  of  navigating</w:t>
      </w:r>
    </w:p>
    <w:p>
      <w:r>
        <w:t>complex macro-environments. The key contributions of this work include:</w:t>
      </w:r>
    </w:p>
    <w:p/>
    <w:p>
      <w:r>
        <w:t>(cid:127)  Modular 9-Stage Pipeline: The implementation of a scalable architecture that</w:t>
      </w:r>
    </w:p>
    <w:p>
      <w:r>
        <w:t>separates denoising (LSTM Autoencoder), discovery (Gaussian HMM), and</w:t>
      </w:r>
    </w:p>
    <w:p>
      <w:r>
        <w:t>prediction (Supervised LSTM), ensuring high-fidelity signal extraction at each</w:t>
      </w:r>
    </w:p>
    <w:p>
      <w:r>
        <w:t>stage.</w:t>
      </w:r>
    </w:p>
    <w:p/>
    <w:p>
      <w:r>
        <w:t>(cid:127)  Identification of the Multi-Asset Advantage: A comprehensive profiling of</w:t>
      </w:r>
    </w:p>
    <w:p>
      <w:r>
        <w:t>the performance gap between single-index and multi-asset models, establishing</w:t>
      </w:r>
    </w:p>
    <w:p>
      <w:r>
        <w:t>that inter-market context leads to a +10.80% proxy-label agreement improvement.</w:t>
      </w:r>
    </w:p>
    <w:p/>
    <w:p>
      <w:r>
        <w:t>(cid:127)  Illustrative Stress-Episode Signalling: A model that produced elevated</w:t>
      </w:r>
    </w:p>
    <w:p>
      <w:r>
        <w:t>Risk-Off behaviour during the March 2023 regional banking stress episode,</w:t>
      </w:r>
    </w:p>
    <w:p>
      <w:r>
        <w:t>presented as a qualitative case study rather than externally validated ground truth.</w:t>
      </w:r>
    </w:p>
    <w:p/>
    <w:p>
      <w:r>
        <w:t>(cid:127)  End-to-End Forecasting Engine: The delivery of a functional inference</w:t>
      </w:r>
    </w:p>
    <w:p>
      <w:r>
        <w:t>system that provides probabilistic regime forecasts for the subsequent trading</w:t>
      </w:r>
    </w:p>
    <w:p>
      <w:r>
        <w:t>session, achieving an overall backtest agreement of 97.53% for the 2025?2026</w:t>
      </w:r>
    </w:p>
    <w:p>
      <w:r>
        <w:t>period within the internal proxy-label framework.</w:t>
      </w:r>
    </w:p>
    <w:p/>
    <w:p>
      <w:r>
        <w:t>6.2 Lessons Learned</w:t>
      </w:r>
    </w:p>
    <w:p/>
    <w:p>
      <w:r>
        <w:t>6.2.1 Inter-market Context as a Volatility Filter</w:t>
      </w:r>
    </w:p>
    <w:p/>
    <w:p>
      <w:r>
        <w:t>The  research  highlighted  that  algorithmic  accuracy  in  regime  detection  is  strictly</w:t>
      </w:r>
    </w:p>
    <w:p>
      <w:r>
        <w:t>dependent on the breadth of the input universe. While the S&amp;P; 500 alone provides a</w:t>
      </w:r>
    </w:p>
    <w:p>
      <w:r>
        <w:t>"noisy" view of the market, the inclusion of Gold, Bonds, and Oil serves as a critical</w:t>
      </w:r>
    </w:p>
    <w:p>
      <w:r>
        <w:t>filter,  allowing  the  model  to  distinguish  between  localized  equity  volatility  and</w:t>
      </w:r>
    </w:p>
    <w:p>
      <w:r>
        <w:t>systemic regime shifts.</w:t>
      </w:r>
    </w:p>
    <w:p/>
    <w:p>
      <w:r>
        <w:t>6.2.2 The Importance of Regime Persistence</w:t>
      </w:r>
    </w:p>
    <w:p/>
    <w:p>
      <w:r>
        <w:t>Financial regimes are statistically "sticky". Initializing the HMM transition matrix with</w:t>
      </w:r>
    </w:p>
    <w:p>
      <w:r>
        <w:t>high diagonal values (0.90) was essential to prevent "regime flickering," ensuring that</w:t>
      </w:r>
    </w:p>
    <w:p>
      <w:r>
        <w:t>the identified states remained stable enough for practical risk-budgeting and trading</w:t>
      </w:r>
    </w:p>
    <w:p>
      <w:r>
        <w:t>applications.</w:t>
      </w:r>
    </w:p>
    <w:p/>
    <w:p>
      <w:r>
        <w:t>6.2.3 Representation Learning vs. Raw Data</w:t>
      </w:r>
    </w:p>
    <w:p/>
    <w:p>
      <w:r>
        <w:t>21</w:t>
      </w:r>
    </w:p>
    <w:p/>
    <w:p>
      <w:r>
        <w:t>The  self-supervised  Autoencoder  phase  was  found  to  be  the  most  critical  technical</w:t>
      </w:r>
    </w:p>
    <w:p>
      <w:r>
        <w:t>bottleneck. Reaching a final reconstruction loss of 0.0026 was necessary to extract</w:t>
      </w:r>
    </w:p>
    <w:p>
      <w:r>
        <w:t>the  "latent  DNA"  required  for  the  HMM  to  achieve  meaningful  state  separation.</w:t>
      </w:r>
    </w:p>
    <w:p>
      <w:r>
        <w:t>the  downstream  predictive  accuracy  suffered</w:t>
      </w:r>
    </w:p>
    <w:p>
      <w:r>
        <w:t xml:space="preserve">Without </w:t>
      </w:r>
    </w:p>
    <w:p>
      <w:r>
        <w:t>significantly.</w:t>
      </w:r>
    </w:p>
    <w:p/>
    <w:p>
      <w:r>
        <w:t xml:space="preserve">this  denoising  step, </w:t>
      </w:r>
    </w:p>
    <w:p/>
    <w:p>
      <w:r>
        <w:t>6.3 Future Work</w:t>
      </w:r>
    </w:p>
    <w:p/>
    <w:p>
      <w:r>
        <w:t>While  the  current  engine  achieves  high  proxy-label  agreement,  several  directions  for</w:t>
      </w:r>
    </w:p>
    <w:p>
      <w:r>
        <w:t>future enhancement remain:</w:t>
      </w:r>
    </w:p>
    <w:p/>
    <w:p>
      <w:r>
        <w:t>(cid:127)  Stage 10 – Portfolio Optimization: Implementing an automated "Leverage</w:t>
      </w:r>
    </w:p>
    <w:p>
      <w:r>
        <w:t>Gating" system that adjusts position sizes in real-time based on the 98.9%</w:t>
      </w:r>
    </w:p>
    <w:p>
      <w:r>
        <w:t>high-confidence signals produced in Stage 9.</w:t>
      </w:r>
    </w:p>
    <w:p/>
    <w:p>
      <w:r>
        <w:t>(cid:127)  Sentiment-Augmented Latent Space: Integrating NLP-derived features from</w:t>
      </w:r>
    </w:p>
    <w:p>
      <w:r>
        <w:t>financial news and Federal Reserve transcripts into the LSTM Autoencoder to</w:t>
      </w:r>
    </w:p>
    <w:p>
      <w:r>
        <w:t>capture the "narrative" shifts that precede price action.</w:t>
      </w:r>
    </w:p>
    <w:p/>
    <w:p>
      <w:r>
        <w:t>(cid:127)  Reinforcement Learning (RL) Integration: Developing an RL agent that uses</w:t>
      </w:r>
    </w:p>
    <w:p>
      <w:r>
        <w:t>the HMM regime as its "state" input to learn optimal buy/sell actions across</w:t>
      </w:r>
    </w:p>
    <w:p>
      <w:r>
        <w:t>different market environments.</w:t>
      </w:r>
    </w:p>
    <w:p/>
    <w:p>
      <w:r>
        <w:t>(cid:127)  Dynamic Transition Detection: Developing an adaptive algorithm that</w:t>
      </w:r>
    </w:p>
    <w:p>
      <w:r>
        <w:t>adjusts sensitivity to regime transitions in real-time based on recent acceptance</w:t>
      </w:r>
    </w:p>
    <w:p>
      <w:r>
        <w:t>history, targeting an improvement in the current 20% transition hit rate.</w:t>
      </w:r>
    </w:p>
    <w:p/>
    <w:p>
      <w:r>
        <w:t>(cid:127)  Edge Optimization: Optimizing the pipeline using 8-bit quantization to enable</w:t>
      </w:r>
    </w:p>
    <w:p>
      <w:r>
        <w:t>real-time surveillance on mobile and edge devices without relying on</w:t>
      </w:r>
    </w:p>
    <w:p>
      <w:r>
        <w:t>high-bandwidth GPU clusters.</w:t>
      </w:r>
    </w:p>
    <w:p/>
    <w:p>
      <w:r>
        <w:t>6.4 Concluding Remarks</w:t>
      </w:r>
    </w:p>
    <w:p/>
    <w:p>
      <w:r>
        <w:t>This work conducted a system-level evaluation of a custom market regime detection</w:t>
      </w:r>
    </w:p>
    <w:p>
      <w:r>
        <w:t>engine  under  various  macroeconomic  conditions  spanning  24  years  of  historical</w:t>
      </w:r>
    </w:p>
    <w:p>
      <w:r>
        <w:t>data.  The  results  confirm  that  financial  regimes  are  systemic  phenomena  that  are</w:t>
      </w:r>
    </w:p>
    <w:p>
      <w:r>
        <w:t>best captured through a multi-asset lens.</w:t>
      </w:r>
    </w:p>
    <w:p/>
    <w:p>
      <w:r>
        <w:t>The engine was benchmarked over a 324-day rolling backtest within an internal</w:t>
      </w:r>
    </w:p>
    <w:p>
      <w:r>
        <w:t>proxy-label evaluation framework. In this setting, the multi-asset engine achieved</w:t>
      </w:r>
    </w:p>
    <w:p>
      <w:r>
        <w:t>97.53% agreement, while the single-asset configuration trailed by 10.80 percentage</w:t>
      </w:r>
    </w:p>
    <w:p>
      <w:r>
        <w:t>points. These results indicate that inter-market context improves proxy-regime</w:t>
      </w:r>
    </w:p>
    <w:p>
      <w:r>
        <w:t>modelling even though the reported metrics should not be interpreted as externally</w:t>
      </w:r>
    </w:p>
    <w:p>
      <w:r>
        <w:t>validated ground-truth regime accuracy.</w:t>
      </w:r>
    </w:p>
    <w:p>
      <w:r>
        <w:t>Instead, they show that combining multiple market channels yields a more informative</w:t>
      </w:r>
    </w:p>
    <w:p>
      <w:r>
        <w:t>internal representation than relying solely on equity index data.</w:t>
      </w:r>
    </w:p>
    <w:p>
      <w:r>
        <w:t>gains.</w:t>
      </w:r>
    </w:p>
    <w:p/>
    <w:p>
      <w:r>
        <w:t>22</w:t>
      </w:r>
    </w:p>
    <w:p/>
    <w:p>
      <w:r>
        <w:t>By achieving 97.53% agreement within its proxy-label framework and providing</w:t>
      </w:r>
    </w:p>
    <w:p>
      <w:r>
        <w:t>clear, high-confidence signals, this project establishes a useful foundation for</w:t>
      </w:r>
    </w:p>
    <w:p>
      <w:r>
        <w:t>future quantitative research on multi-asset regime modelling, external validation,</w:t>
      </w:r>
    </w:p>
    <w:p>
      <w:r>
        <w:t>and more responsive transition detection.</w:t>
      </w:r>
    </w:p>
    <w:p/>
    <w:p>
      <w:r>
        <w:t>23</w:t>
      </w:r>
    </w:p>
    <w:p/>
    <w:p>
      <w:r>
        <w:t>Bibliography</w:t>
      </w:r>
    </w:p>
    <w:p/>
    <w:p>
      <w:r>
        <w:t>[1] J. D. Hamilton, "A New Approach to the Economic Analysis of Nonstationary Time</w:t>
      </w:r>
    </w:p>
    <w:p>
      <w:r>
        <w:t>Series and the Business Cycle," Econometrica, vol. 57, no. 2, pp. 357–384, 1989.</w:t>
      </w:r>
    </w:p>
    <w:p/>
    <w:p>
      <w:r>
        <w:t>[2]  L.  E.  Baum,  T.  Petrie,  G.  Soules,  and  N.  Weiss,  "A  Maximization  Technique</w:t>
      </w:r>
    </w:p>
    <w:p>
      <w:r>
        <w:t>Occurring in the Statistical Analysis of Probabilistic Functions of Markov Chains," The</w:t>
      </w:r>
    </w:p>
    <w:p>
      <w:r>
        <w:t>Annals of Mathematical Statistics, vol. 41, no. 1, pp. 164–171, 1970.</w:t>
      </w:r>
    </w:p>
    <w:p/>
    <w:p>
      <w:r>
        <w:t>[3] L. R. Rabiner, "A Tutorial on Hidden Markov Models and Selected Applications in</w:t>
      </w:r>
    </w:p>
    <w:p>
      <w:r>
        <w:t>Speech Recognition," Proceedings of the IEEE, vol. 77, no. 2, pp. 257–286, 1989.</w:t>
      </w:r>
    </w:p>
    <w:p/>
    <w:p>
      <w:r>
        <w:t>[4]  S.  Hochreiter  and  J.  Schmidhuber,  "Long  Short-Term  Memory,"  Neural</w:t>
      </w:r>
    </w:p>
    <w:p>
      <w:r>
        <w:t>Computation, vol. 9, no. 8, pp. 1735–1780, 1997.</w:t>
      </w:r>
    </w:p>
    <w:p/>
    <w:p>
      <w:r>
        <w:t>[5]  F.  A.  Gers,  J.  Schmidhuber,  and  F.  Cummins,  "Learning  to  Forget:  Continual</w:t>
      </w:r>
    </w:p>
    <w:p>
      <w:r>
        <w:t>Prediction with LSTM," Neural Computation, vol. 12, no. 10, pp. 2451–2471, 2000.</w:t>
      </w:r>
    </w:p>
    <w:p/>
    <w:p>
      <w:r>
        <w:t>[6]  K.  Greff,  R.  K.  Srivastava,  J.  Koutnik,  B.  R.  Steunebrink,  and  J.  Schmidhuber,</w:t>
      </w:r>
    </w:p>
    <w:p>
      <w:r>
        <w:t>"LSTM:  A  Search  Space  Odyssey,"  IEEE  Transactions  on  Neural  Networks  and</w:t>
      </w:r>
    </w:p>
    <w:p>
      <w:r>
        <w:t>Learning Systems, vol. 28, no. 10, pp. 2222–2232, 2017.</w:t>
      </w:r>
    </w:p>
    <w:p/>
    <w:p>
      <w:r>
        <w:t>[7]  A.  Graves,  "Generating  Sequences  With  Recurrent  Neural  Networks,"  arXiv</w:t>
      </w:r>
    </w:p>
    <w:p>
      <w:r>
        <w:t>preprint arXiv:1308.0850, 2013.</w:t>
      </w:r>
    </w:p>
    <w:p/>
    <w:p>
      <w:r>
        <w:t>[8]  T.  Ryden,  T.  Terasvirta,  and  S.  Asbrink,  "Stylized  Facts  of  Daily  Return  Series</w:t>
      </w:r>
    </w:p>
    <w:p>
      <w:r>
        <w:t>and the Hidden Markov Model," Journal of Applied Econometrics, vol. 13, no. 3, pp.</w:t>
      </w:r>
    </w:p>
    <w:p>
      <w:r>
        <w:t>217–244, 1998.</w:t>
      </w:r>
    </w:p>
    <w:p/>
    <w:p>
      <w:r>
        <w:t>[9]  A.  Ang  and  A.  Timmermann,  "Regime  Changes  in  Investment  Strategies,"</w:t>
      </w:r>
    </w:p>
    <w:p>
      <w:r>
        <w:t>Financial Analysts Journal, vol. 68, no. 1, pp. 14–37, 2012.</w:t>
      </w:r>
    </w:p>
    <w:p/>
    <w:p>
      <w:r>
        <w:t>[10] B. Efron and R. J. Tibshirani, An Introduction to the Bootstrap, CRC Press, 1994.</w:t>
      </w:r>
    </w:p>
    <w:p/>
    <w:p>
      <w:r>
        <w:t>[11]  A.  Paszke,  S.  Gross,  F.  Massa,  A.  Lerer,  J.  Bradbury,  G.  Chanan,  et  al.,</w:t>
      </w:r>
    </w:p>
    <w:p>
      <w:r>
        <w:t>"PyTorch:  An  Imperative  Style,  High-Performance  Deep  Learning  Library,"  in</w:t>
      </w:r>
    </w:p>
    <w:p>
      <w:r>
        <w:t>Advances in Neural Information Processing Systems (NeurIPS), 2019.</w:t>
      </w:r>
    </w:p>
    <w:p/>
    <w:p>
      <w:r>
        <w:t>[12]  R.  Gupta,  S.  Kapoor,  H.  Gupta,  and  S.  Natesan,  "A  Forest  of  Opinions:  A</w:t>
      </w:r>
    </w:p>
    <w:p>
      <w:r>
        <w:t>Multi-Model  Ensemble-HMM  Voting  Framework  for  Market  Regime  Shift  Detection</w:t>
      </w:r>
    </w:p>
    <w:p>
      <w:r>
        <w:t>and Trading," Data Science in Finance and Economics, vol. 5, no. 4, pp. 466–501,</w:t>
      </w:r>
    </w:p>
    <w:p>
      <w:r>
        <w:t>2025.</w:t>
      </w:r>
    </w:p>
    <w:p/>
    <w:p>
      <w:r>
        <w:t>[13]  R.  Aroussi,  "yfinance:  An  Open-Source  Tool  to  Access  Financial  Data  from</w:t>
      </w:r>
    </w:p>
    <w:p>
      <w:r>
        <w:t>Yahoo Finance," Python Package Index, 2024.</w:t>
      </w:r>
    </w:p>
    <w:p/>
    <w:p>
      <w:r>
        <w:t>24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