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D2" w:rsidRDefault="009D577C">
      <w:r>
        <w:t>Centurion does not have audited financials yet because the LP was created in 2014 so there were no audited financials available when fund was added.</w:t>
      </w:r>
      <w:bookmarkStart w:id="0" w:name="_GoBack"/>
      <w:bookmarkEnd w:id="0"/>
    </w:p>
    <w:sectPr w:rsidR="0073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7C"/>
    <w:rsid w:val="007313D2"/>
    <w:rsid w:val="009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2015-02-19T22:39:00Z</dcterms:created>
  <dcterms:modified xsi:type="dcterms:W3CDTF">2015-02-19T22:40:00Z</dcterms:modified>
</cp:coreProperties>
</file>