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010" w:rsidRDefault="00E81E7E">
      <w:r>
        <w:fldChar w:fldCharType="begin"/>
      </w:r>
      <w:r>
        <w:instrText xml:space="preserve"> HYPERLINK "</w:instrText>
      </w:r>
      <w:r w:rsidRPr="00E81E7E">
        <w:instrText>https://www.electronics.ru/journal/article/75</w:instrText>
      </w:r>
      <w:r>
        <w:instrText xml:space="preserve">" </w:instrText>
      </w:r>
      <w:r>
        <w:fldChar w:fldCharType="separate"/>
      </w:r>
      <w:r w:rsidRPr="00814C90">
        <w:rPr>
          <w:rStyle w:val="a3"/>
        </w:rPr>
        <w:t>https://www.electronics.ru/journal/article/75</w:t>
      </w:r>
      <w:r>
        <w:fldChar w:fldCharType="end"/>
      </w:r>
      <w:r>
        <w:t xml:space="preserve"> </w:t>
      </w:r>
    </w:p>
    <w:p w:rsidR="0009690E" w:rsidRPr="0009690E" w:rsidRDefault="0009690E" w:rsidP="00E81E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szCs w:val="15"/>
          <w:lang w:eastAsia="ru-RU"/>
        </w:rPr>
      </w:pPr>
      <w:hyperlink r:id="rId4" w:history="1">
        <w:r w:rsidRPr="0009690E">
          <w:rPr>
            <w:rFonts w:ascii="Tahoma" w:eastAsia="Times New Roman" w:hAnsi="Tahoma" w:cs="Tahoma"/>
            <w:color w:val="787878"/>
            <w:sz w:val="27"/>
            <w:szCs w:val="27"/>
            <w:u w:val="single"/>
            <w:lang w:eastAsia="ru-RU"/>
          </w:rPr>
          <w:t>Выпуск #4/2010</w:t>
        </w:r>
      </w:hyperlink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5"/>
          <w:szCs w:val="15"/>
          <w:lang w:eastAsia="ru-RU"/>
        </w:rPr>
      </w:pPr>
      <w:proofErr w:type="spellStart"/>
      <w:r w:rsidRPr="0009690E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>М.Куперман</w:t>
      </w:r>
      <w:proofErr w:type="spellEnd"/>
      <w:r w:rsidRPr="0009690E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 xml:space="preserve">, </w:t>
      </w:r>
      <w:proofErr w:type="spellStart"/>
      <w:r w:rsidRPr="0009690E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>Д.Аверьянов</w:t>
      </w:r>
      <w:proofErr w:type="spellEnd"/>
      <w:r w:rsidRPr="0009690E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ru-RU"/>
        </w:rPr>
        <w:t>.</w:t>
      </w:r>
      <w:r w:rsidRPr="0009690E">
        <w:rPr>
          <w:rFonts w:ascii="Times New Roman" w:eastAsia="Times New Roman" w:hAnsi="Times New Roman" w:cs="Times New Roman"/>
          <w:color w:val="000000"/>
          <w:sz w:val="15"/>
          <w:szCs w:val="15"/>
          <w:lang w:eastAsia="ru-RU"/>
        </w:rPr>
        <w:br/>
      </w:r>
      <w:r w:rsidRPr="0009690E">
        <w:rPr>
          <w:rFonts w:ascii="Tahoma" w:eastAsia="Times New Roman" w:hAnsi="Tahoma" w:cs="Tahoma"/>
          <w:color w:val="000000"/>
          <w:sz w:val="30"/>
          <w:szCs w:val="30"/>
          <w:lang w:eastAsia="ru-RU"/>
        </w:rPr>
        <w:t>Резервный центр обработки данных. Оценка надежности</w:t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5"/>
          <w:szCs w:val="15"/>
          <w:lang w:eastAsia="ru-RU"/>
        </w:rPr>
      </w:pPr>
      <w:r w:rsidRPr="0009690E">
        <w:rPr>
          <w:rFonts w:ascii="Tahoma" w:eastAsia="Times New Roman" w:hAnsi="Tahoma" w:cs="Tahoma"/>
          <w:color w:val="BBBBBB"/>
          <w:sz w:val="15"/>
          <w:szCs w:val="15"/>
          <w:lang w:eastAsia="ru-RU"/>
        </w:rPr>
        <w:t>Просмотры: 4446</w:t>
      </w:r>
    </w:p>
    <w:p w:rsidR="0009690E" w:rsidRPr="0009690E" w:rsidRDefault="0009690E" w:rsidP="000969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szCs w:val="15"/>
          <w:lang w:eastAsia="ru-RU"/>
        </w:rPr>
      </w:pPr>
      <w:r w:rsidRPr="0009690E">
        <w:rPr>
          <w:rFonts w:ascii="Tahoma" w:eastAsia="Times New Roman" w:hAnsi="Tahoma" w:cs="Tahoma"/>
          <w:color w:val="000000"/>
          <w:sz w:val="24"/>
          <w:szCs w:val="24"/>
          <w:lang w:eastAsia="ru-RU"/>
        </w:rPr>
        <w:t>Не секрет, что сегодня объемы информации растут лавинообразно и обычно она обрабатывается централизованно, а затем передается в территориально распределенные филиалы и клиентам. Это означает, что каждой крупной организации необходимо единое информационное пространство. Сегодня практически все крупные ведомства и корпорации имеют информационно-телекоммуникационные системы (ИТКС), обеспечивающие скоростной доступ к коллективным информационным ресурсам и различным телекоммуникационным сервисам. Для ряда ИТКС вопросы надежности принципиальны, особенно в военном, государственном и банковском секторах. Сегодня, как правило, применяют резервирование наиболее важных узлов, устанавливая рядом резервный комплект. Но этого часто недостаточно для обеспечения непрерывности бизнес-процессов и эффективного управления компанией.</w:t>
      </w:r>
    </w:p>
    <w:p w:rsidR="0009690E" w:rsidRPr="0009690E" w:rsidRDefault="0009690E" w:rsidP="0009690E">
      <w:pPr>
        <w:shd w:val="clear" w:color="auto" w:fill="FFFFFF"/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Катастрофоустойчивые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центры обработки данных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раций и министерств функционируют ненадежно, это большой риск, связанный с потерей данных или недоступностью информационных сервисов организации. Поэтому, чтобы обеспечить стабильность управления государственными структурами или непрерывность бизнес-процессов в коммерческих организациях, помимо основных информационных систем используют резервные центры (РЦ), основу которых составляют резервные центры обработки данных (ЦОД) или дата-центры (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Data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Center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).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Основная задача резервного центра обработки данных – обеспечивать непрерывность вычислительного процесса при выходе из строя основных систем. Чтобы добиться толерантности основных сервисов ИТКС к различным аварийным ситуациям, нужно разместить на резервной площадке дублирующий комплект серверов и телекоммуникационного оборудования, а также внедрить механизмы переключения информационных нагрузок и механизмы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репликаций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для поддержания актуальной копии данных.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Объемы информации постоянно растут, требования к ее сохранности и непрерывности процесса обработки ужесточаются, поэтому компаниям приходится сочетать методы консолидации информационных ресурсов в составе ЦОД и структурного резервирования их аппаратно-программных комплексов. Наиболее эффективное решение – резервирование совместно с территориальным разнесением узлов обработки и хранения данных (последнее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особеспечивает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катастрофоустойчивость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ядра информационно-телекоммуникационной инфраструктуры организации). Такое решение делает систему максимально жизнеспособной как при воздействии на нее локальных деструктивных факторов, в том числе отказов аппаратуры, сбоев программного обеспечения, ошибочных или злонамеренных действий пользователей, так и при воздействии различных внешних угроз – терроризма, пожара, затопления, аварий в сетях энергоснабжения или сетях передачи данных провайдера, а также других техногенных катастроф и стихийных бедствий. Резервный центр, удаленный от основной площадки, обеспечивает не только отказоустойчивость, но и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катастрофоустойчивость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, определяющую максимальную надежность ИТКС и, следовательно, минимальный риск остановки бизнес-процессов организации.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Обеспечение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катастрофоустойчивой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конфигурации ИТКС организации (ведомства) – это непростая и затратная задача, поэтому решается она только для ответственных применений. Резервные центры широко распространены в банковском секторе, где бизнес и репутация компании напрямую зависят от доступности информационной системы. Здесь стоимость простоя платежных систем настолько велика, что строительство резервного центра всегда окупается.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Обычно серьезные проблемы в банковских ИТКС тщательно скрываются, так как могут отразиться на лояльности клиентов и престиже банка в целом. Поэтому, чтобы проиллюстрировать то, как эффективная работа финансовых учреждений зависит от качества функционирования информационно-телекоммуникационных систем, мы приведем примеры остановки информационных систем крупнейших зарубежных бирж. В апреле 2000 года на восемь часов (почти на всю торговую сессию) были парализованы торги на Лондонской фондовой бирже (LSE) из-за ошибок в работе программного обеспечения. Убытки оценили в несколько миллионов фунтов. В сентябре 2008 года там же был зафиксирован сбой, и работа биржи была остановлена на четыре часа. Это не только привело к прямым потерям – около 40% дохода биржи приходится на продажу информации о курсах акций в режиме реального времени, – но и пошло на пользу конкурентам LSE. Известны также случаи крупных аварий, ставших причиной остановки критически важных сервисов на Токийской фондовой бирже и NASDAQ. 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lastRenderedPageBreak/>
        <w:t>Очевидно, что обеспечение непрерывности бизнес-процессов (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business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continuity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) является первостепенной задачей финансовых учреждений.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Резервные центры имеют Банк России, "Альфа-Банк", Банк ВЕФК, Московский кредитный банк, подразделения Сбербанка и другие. Резервные центры широко распространены в Министерстве обороны и других силовых ведомствах, например, крупный резервный ЦОД внедряется в интересах пограничной службы для обработки данных биометрических загранпаспортов граждан России.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Структура основного и резервного центра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При создании толерантных к серьезным авариям и катастрофам систем используется территориальное разнесение вычислительных платформ и информационных хранилищ: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кампусных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,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метрокластеровых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,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геокластеров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(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geocluster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) . В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катастрофоустойчивых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геокластерах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, как правило, узлы разнесены на расстояние не менее 50 км. В типовой структуре основного и резервного центра (рис.1), основанного на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геокластерах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, можно выделить три основные элемента обеспечения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катастрофоустойчивости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: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протяженная скоростная магистраль, соединяющая обе площадки, в данном случае реализованная в виде DWDM-кольца;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вычислительный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геокластер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(узлы кластера находятся на основной и резервной площадках);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геокластер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систем хранения (SAN,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Storage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Area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Network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).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В отличие от задачи обеспечения отказоустойчивости, которая не требует территориального разнесения сетевых узлов (следовательно, могут применяться технологии локальных сетей), для выполнения основной задачи резервного центра – обеспечения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катастрофоустойчивости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– необходимы магистральные линии связи и организация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геокластера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Часть приведенных выше подсистем, на первый взгляд, может показаться излишней даже для крупного банка и актуальной только для военных систем. Однако энергетический коллапс в мае 2005 года показал уровень толерантности эксплуатируемых систем. Торги на биржах были остановлены, а некоторые банки вынуждены были прекратить работу части своих офисов и филиалов. Сбербанк выступил с официальным обращением к гражданам о "возможных временных затруднениях в обслуживании клиентов банка".</w:t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09690E">
        <w:rPr>
          <w:rFonts w:ascii="Tahoma" w:eastAsia="Times New Roman" w:hAnsi="Tahoma" w:cs="Tahom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2400300" cy="2486025"/>
            <wp:effectExtent l="0" t="0" r="0" b="9525"/>
            <wp:docPr id="8" name="Рисунок 8" descr="https://www.electronics.ru/images/image/0/308_509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electronics.ru/images/image/0/308_5094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ahoma" w:eastAsia="Times New Roman" w:hAnsi="Tahoma" w:cs="Tahoma"/>
          <w:color w:val="787878"/>
          <w:sz w:val="18"/>
          <w:szCs w:val="18"/>
          <w:lang w:eastAsia="ru-RU"/>
        </w:rPr>
      </w:pPr>
      <w:r w:rsidRPr="0009690E">
        <w:rPr>
          <w:rFonts w:ascii="Tahoma" w:eastAsia="Times New Roman" w:hAnsi="Tahoma" w:cs="Tahoma"/>
          <w:color w:val="787878"/>
          <w:sz w:val="18"/>
          <w:szCs w:val="18"/>
          <w:lang w:eastAsia="ru-RU"/>
        </w:rPr>
        <w:t>Рис.1. Типовая структура основного и резервного центра</w:t>
      </w:r>
    </w:p>
    <w:p w:rsidR="0009690E" w:rsidRPr="0009690E" w:rsidRDefault="0009690E" w:rsidP="000969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Учитывая, что сегодня банковские системы, как правило, имеют централизованную обработку платежной и другой информации, даже наличие автономных источников электроэнергии на основной площадке не гарантирует связь с внешними объектами (филиалами, клиентами, другими платежными сетями). Нет гарантий работоспособности и всей цепочки операторов связи в проблемном регионе. Кроме того, работа руководства и структурных подразделений организации в таких условиях будет затруднена на основной площадке из-за дефицита энергии, генерируемой резервными источниками. От способности "безболезненно" переносить подобные коллапсы и любые другие катаклизмы зависит финансовая устойчивость и престиж банка. Поэтому все более широкое применение находят резервные центры, позволяющие предотвращать не только технические аварии и ошибки обслуживающего персонала, но и крупные пожары, обрушения зданий, заражение опасными вирусами, террористические акты (ложную информацию о них) и другие чрезвычайные ситуации. Но надо сказать, что целевое назначение резервного центра – повышение надежности – должно быть количественно обосновано.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Подходы к оценке надежности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Различают два подхода к оценке надежности резервного центра: оценка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катастрофоустойчивой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конфигурации и оценка отказоустойчивой конфигурации. При оценке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катастрофоустойчивости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, обеспечиваемой резервным центром, обычно рассматривается схема, приведенная на рис.2. Часто при этом оценивается не надежность резервируемой структуры при выходе из строя отдельного элемента 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lastRenderedPageBreak/>
        <w:t>основного центра, а вероятность крупной аварии или возникновения чрезвычайной ситуации (например, катастрофы), при которых неработоспособными считаются все элементы основной площадки.</w:t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690E">
        <w:rPr>
          <w:rFonts w:ascii="Tahoma" w:eastAsia="Times New Roman" w:hAnsi="Tahoma" w:cs="Tahom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2152650" cy="1362075"/>
            <wp:effectExtent l="0" t="0" r="0" b="9525"/>
            <wp:docPr id="7" name="Рисунок 7" descr="https://www.electronics.ru/images/image/0/309_7334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electronics.ru/images/image/0/309_73344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ahoma" w:eastAsia="Times New Roman" w:hAnsi="Tahoma" w:cs="Tahoma"/>
          <w:color w:val="787878"/>
          <w:sz w:val="18"/>
          <w:szCs w:val="18"/>
          <w:lang w:eastAsia="ru-RU"/>
        </w:rPr>
      </w:pPr>
      <w:r w:rsidRPr="0009690E">
        <w:rPr>
          <w:rFonts w:ascii="Tahoma" w:eastAsia="Times New Roman" w:hAnsi="Tahoma" w:cs="Tahoma"/>
          <w:color w:val="787878"/>
          <w:sz w:val="18"/>
          <w:szCs w:val="18"/>
          <w:lang w:eastAsia="ru-RU"/>
        </w:rPr>
        <w:t xml:space="preserve">Рис.2. Схема для оценки </w:t>
      </w:r>
      <w:proofErr w:type="spellStart"/>
      <w:r w:rsidRPr="0009690E">
        <w:rPr>
          <w:rFonts w:ascii="Tahoma" w:eastAsia="Times New Roman" w:hAnsi="Tahoma" w:cs="Tahoma"/>
          <w:color w:val="787878"/>
          <w:sz w:val="18"/>
          <w:szCs w:val="18"/>
          <w:lang w:eastAsia="ru-RU"/>
        </w:rPr>
        <w:t>катастрофоустойчивости</w:t>
      </w:r>
      <w:proofErr w:type="spellEnd"/>
    </w:p>
    <w:p w:rsidR="0009690E" w:rsidRPr="0009690E" w:rsidRDefault="0009690E" w:rsidP="0009690E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ри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оценке надежности отказоустойчивой конфигурации может рассматриваться поэлементная декомпозиция площадок с агрегированием элементов обеих площадок в составе одной функциональной подсистемы (рис.3).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Заметим, что с позиции надежности эта схема обладает лучшими показателями надежности по сравнению со схемой на рис.2. В этом случае имеет место гибкое перераспределение резервов между основной и резервной площадками. Так, например, допустимы одновременный выход из строя основного вычислительного центра и резервного узла связи.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При оценке надежности очень важна формулировка критерия отказа системы, в зависимости от которого разрабатывается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надежностная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схема. При задании критерия надежности указывается допустимое число отказавших устройств от их общего числа, предельное время неработоспособности (недоступности сервиса, например, при переключении на резерв) и другие параметры и условия.</w:t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690E">
        <w:rPr>
          <w:rFonts w:ascii="Tahoma" w:eastAsia="Times New Roman" w:hAnsi="Tahoma" w:cs="Tahom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2371725" cy="1162050"/>
            <wp:effectExtent l="0" t="0" r="9525" b="0"/>
            <wp:docPr id="6" name="Рисунок 6" descr="https://www.electronics.ru/images/image/0/307_4636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electronics.ru/images/image/0/307_46362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ahoma" w:eastAsia="Times New Roman" w:hAnsi="Tahoma" w:cs="Tahoma"/>
          <w:color w:val="787878"/>
          <w:sz w:val="18"/>
          <w:szCs w:val="18"/>
          <w:lang w:eastAsia="ru-RU"/>
        </w:rPr>
      </w:pPr>
      <w:r w:rsidRPr="0009690E">
        <w:rPr>
          <w:rFonts w:ascii="Tahoma" w:eastAsia="Times New Roman" w:hAnsi="Tahoma" w:cs="Tahoma"/>
          <w:color w:val="787878"/>
          <w:sz w:val="18"/>
          <w:szCs w:val="18"/>
          <w:lang w:eastAsia="ru-RU"/>
        </w:rPr>
        <w:t xml:space="preserve">Рис.3. </w:t>
      </w:r>
      <w:proofErr w:type="spellStart"/>
      <w:r w:rsidRPr="0009690E">
        <w:rPr>
          <w:rFonts w:ascii="Tahoma" w:eastAsia="Times New Roman" w:hAnsi="Tahoma" w:cs="Tahoma"/>
          <w:color w:val="787878"/>
          <w:sz w:val="18"/>
          <w:szCs w:val="18"/>
          <w:lang w:eastAsia="ru-RU"/>
        </w:rPr>
        <w:t>Надежностная</w:t>
      </w:r>
      <w:proofErr w:type="spellEnd"/>
      <w:r w:rsidRPr="0009690E">
        <w:rPr>
          <w:rFonts w:ascii="Tahoma" w:eastAsia="Times New Roman" w:hAnsi="Tahoma" w:cs="Tahoma"/>
          <w:color w:val="787878"/>
          <w:sz w:val="18"/>
          <w:szCs w:val="18"/>
          <w:lang w:eastAsia="ru-RU"/>
        </w:rPr>
        <w:t xml:space="preserve"> схема для оценки отказоустойчивости</w:t>
      </w:r>
    </w:p>
    <w:p w:rsidR="0009690E" w:rsidRPr="0009690E" w:rsidRDefault="0009690E" w:rsidP="0009690E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Для оценки надежности отказоустойчивой конфигурации используется схема (рис.3), элементы которой представляют собой последовательно соединенные укрупненные кластерные структуры: вычислительный кластер, распределенный кластер системы хранения, телекоммуникационный кластер. В практической реализации каждый из них может представлять собой набор нескольких кластеров: кластер платежного приложения, кластер платежного приложения (кластеры серверов приложений), кластеры СУБД, кластеры сетевой инфраструктуры (контроллеры доменов, DNS) и др. В простейшем случае оценка надежности сводится к расчету схемы, составленной по заданному критерию отказа последовательно соединенных кластерных структур, представленных дублированной группой узлов. Не следует забывать о необходимости учета надежности инфраструктуры ЦОД, в первую очередь системы электропитания и кондиционирования, без которых основные системы неработоспособны. Как правило, инфраструктурные элементы также задублированы, и рассчитывать их можно аналогично.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Марковские процессы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Статические модели, которые построены на методах, использующих основные формулы теории вероятности, комбинаторики, других логико-вероятностных методов, применяемых, главным образом, для описания последовательно-параллельных структур, не позволяют учитывать изменения в характеристиках и процессах в зависимости от уже происходящих событий, отказов. Поэтому выбор модели надежности для описания резервированной структуры резервного центра, его составных частей, ЦОД, кластерных структур обусловлен классом динамического моделирования.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Моделирование кластерных структур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марковскими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процессами позволяет отразить в модели и учесть изменения процессов и отказов элементов во времени, временные условия реализации других событий. Марковский процесс обладает характерными свойствами, которые определяются, в первую очередь, экспоненциальными распределениями времени пребывания в каждом состоянии.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Отказ дублированной группы наступает тогда, когда во время восстановления одного из узлов отказывает второй узел. Возможные состояния: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"0" – оба узла исправны;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"1" – отказ в одном узле;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"2" – отказ в обоих узлах.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lastRenderedPageBreak/>
        <w:t>Таким образом, состояния исправности системы – "0", "1", отказа – "2".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В случае отказа одного из элементов группы отказавший узел ремонтируется (заменяется) без остановки системы и после восстановления через случайный промежуток времени, распределенный по экспоненциальному закону с параметром µ, включается в состав дублированной группы: µ = 1/TB, где TB – среднее время восстановления. Допустим, что одновременно может восстанавливаться один узел.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При расчете модели кластера с двумя узлами и идеальной системой контроля (рис.4) получаются явно завышенные значения показателей надежности, не отражающие реальную надежность системы. При исходной интенсивности отказов η = 0,00005 1/ч (наработка на отказ составляет 20 000 ч) и интенсивности восстановления η = 0,25 1/ч (4 ч восстановления) получим из расчета графа (см. рис.4) значение Кг = 0,999 999 92 (семь девяток). Подчеркнем, что взятая наработка 20 000 ч является нижней планкой MTBF (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MeanTime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Before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Failure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, средняя наработка на отказ) серверных платформ. Обычно для серверов приводятся значения 50–100 тыс. часов и, следовательно, получаются чрезмерно "хорошие" результаты.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Модель (см. рис.4) применима, например, для систем класса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Stratus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Continuum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, в которых каждые два физических процессора объединяются парами и одновременно выполняют одну и ту же команду. При этом схема сравнения в каждом такте проверяет и устанавливает факт, что оба процессора пары дают одинаковый результат. Если результаты в паре различаются, то принимается решение о сбое, а пользователь использует результаты другой пары. Даже при такой организации вычислительного процесса FT-системы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Stratus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Continuum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, обеспечивающие непрерывную готовность (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Continuous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Availability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), декларируют коэффициент готовности, равный 99,999% (пять девяток – время недоступности системы 5 мин/год). При этом четыре процессора выполняют единственную команду с потактовой синхронизацией и сравнением результата.</w:t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690E">
        <w:rPr>
          <w:rFonts w:ascii="Tahoma" w:eastAsia="Times New Roman" w:hAnsi="Tahoma" w:cs="Tahom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2009775" cy="571500"/>
            <wp:effectExtent l="0" t="0" r="9525" b="0"/>
            <wp:docPr id="5" name="Рисунок 5" descr="https://www.electronics.ru/images/image/0/310_2673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electronics.ru/images/image/0/310_26731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ahoma" w:eastAsia="Times New Roman" w:hAnsi="Tahoma" w:cs="Tahoma"/>
          <w:color w:val="787878"/>
          <w:sz w:val="18"/>
          <w:szCs w:val="18"/>
          <w:lang w:eastAsia="ru-RU"/>
        </w:rPr>
      </w:pPr>
      <w:r w:rsidRPr="0009690E">
        <w:rPr>
          <w:rFonts w:ascii="Tahoma" w:eastAsia="Times New Roman" w:hAnsi="Tahoma" w:cs="Tahoma"/>
          <w:color w:val="787878"/>
          <w:sz w:val="18"/>
          <w:szCs w:val="18"/>
          <w:lang w:eastAsia="ru-RU"/>
        </w:rPr>
        <w:t>Рис.4. Граф состояний кластера с двумя узлами и идеальной системой контроля</w:t>
      </w:r>
    </w:p>
    <w:p w:rsidR="0009690E" w:rsidRPr="0009690E" w:rsidRDefault="0009690E" w:rsidP="0009690E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Несмотря на такие фантастические значения, рассмотренная выше модель для расчета кластерных структур является самой распространенной и очень удобной для подтверждения высокой надежности создаваемых "отказоустойчивых" систем. Однако она слишком упрощена и не соответствует реальным процессам. Модель не учитывает ряд факторов, существенно влияющих на надежность кластера. Речь не идет о надежности внешних по отношению к узлам кластера элементов (в принципе, они также должны быть учтены), в частности о коммуникационной среде, – например об элементах СКС и ЛВС. Будем считать, что такие факторы либо не оказывают влияния на состояние кластера, заданное критерием отказа, либо надежностью этих элементов можно пренебречь.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Важно, что модель (см. рис.4) не учитывает надежность программного обеспечения (ПО), так как в качестве параметра потока отказов задается наработка на отказ аппаратных средств. Вообще оценка надежности программного обеспечения – отдельная малоизученная тема, до сегодняшнего дня не имеющая эффективных методов оценки. Однако некоторые подходы к оценке отказоустойчивых структур позволяют существенно повысить адекватность уточненных моделей по сравнению с идеализированными.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Состояние необнаруженного отказа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В каждом элементе могут быть скрытые отказы. Модель с двумя узлами и идеальной системой контроля не учитывает вероятность обнаружения отказа, надежность "переключателя" резерва, задержку при переключении резервов и др. Учесть эти факторы можно только при введении дополнительных параметров модели. В реальности не существует идеальных программ, </w:t>
      </w:r>
      <w:proofErr w:type="gram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и следовательно</w:t>
      </w:r>
      <w:proofErr w:type="gram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, не существует идеальных систем контроля и управления. Рассмотрим возможность возникновения отказа, не обнаруженного системой управления кластера. Логическая структура дублированной системы с выделенным элементом управления и функциональная схема кластера с распределенной системой управления приведены на рис.5</w:t>
      </w:r>
      <w:proofErr w:type="gram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а,б.</w:t>
      </w:r>
      <w:proofErr w:type="gram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Элемент управления кластером размещен в каждом экземпляре кластерного ПО, выполняемого в каждом узле. Основная задача этого ПО – контроль работоспособности собственного узла и "соседа", информирование его о собственном состоянии, передача или принятие управления (переключение нагрузки на другой узел). Информация о собственном состоянии передается посредством служебных пакетов: "сердцебиения", пакетов пульса (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heartbeat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packets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), сообщениями типа "пока я жив" (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keep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 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alive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). Передача управления реализуется пакетами, свидетельствующими о переключении узлов (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fail-over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packet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).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Чтобы модель могла учитывать отказ, не обнаруженный системой контроля, введем соответствующее дополнительное состояние. Полученная модель, учитывающая неидеальный контроль, приведена на 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lastRenderedPageBreak/>
        <w:t>рис.6.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Множество состояний модели с идеальной системой контроля (см. рис.4) дополняется состоянием "3", т.е. состоянием, когда отказ не обнаружен средствами внутреннего (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внутрикластерного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) контроля.</w:t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690E">
        <w:rPr>
          <w:rFonts w:ascii="Tahoma" w:eastAsia="Times New Roman" w:hAnsi="Tahoma" w:cs="Tahom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2286000" cy="2352675"/>
            <wp:effectExtent l="0" t="0" r="0" b="9525"/>
            <wp:docPr id="4" name="Рисунок 4" descr="https://www.electronics.ru/images/image/0/311_197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electronics.ru/images/image/0/311_19701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ahoma" w:eastAsia="Times New Roman" w:hAnsi="Tahoma" w:cs="Tahoma"/>
          <w:color w:val="787878"/>
          <w:sz w:val="18"/>
          <w:szCs w:val="18"/>
          <w:lang w:eastAsia="ru-RU"/>
        </w:rPr>
      </w:pPr>
      <w:r w:rsidRPr="0009690E">
        <w:rPr>
          <w:rFonts w:ascii="Tahoma" w:eastAsia="Times New Roman" w:hAnsi="Tahoma" w:cs="Tahoma"/>
          <w:color w:val="787878"/>
          <w:sz w:val="18"/>
          <w:szCs w:val="18"/>
          <w:lang w:eastAsia="ru-RU"/>
        </w:rPr>
        <w:t>Рис.5. Граф состояний кластера: логическая структура (а) и функциональная схема (б)</w:t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ahoma" w:eastAsia="Times New Roman" w:hAnsi="Tahoma" w:cs="Tahoma"/>
          <w:color w:val="000000"/>
          <w:sz w:val="21"/>
          <w:szCs w:val="21"/>
          <w:lang w:eastAsia="ru-RU"/>
        </w:rPr>
      </w:pPr>
      <w:r w:rsidRPr="0009690E">
        <w:rPr>
          <w:rFonts w:ascii="Tahoma" w:eastAsia="Times New Roman" w:hAnsi="Tahoma" w:cs="Tahom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2009775" cy="1047750"/>
            <wp:effectExtent l="0" t="0" r="9525" b="0"/>
            <wp:docPr id="3" name="Рисунок 3" descr="https://www.electronics.ru/images/image/0/312_4115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electronics.ru/images/image/0/312_41154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ahoma" w:eastAsia="Times New Roman" w:hAnsi="Tahoma" w:cs="Tahoma"/>
          <w:color w:val="787878"/>
          <w:sz w:val="18"/>
          <w:szCs w:val="18"/>
          <w:lang w:eastAsia="ru-RU"/>
        </w:rPr>
      </w:pPr>
      <w:r w:rsidRPr="0009690E">
        <w:rPr>
          <w:rFonts w:ascii="Tahoma" w:eastAsia="Times New Roman" w:hAnsi="Tahoma" w:cs="Tahoma"/>
          <w:color w:val="787878"/>
          <w:sz w:val="18"/>
          <w:szCs w:val="18"/>
          <w:lang w:eastAsia="ru-RU"/>
        </w:rPr>
        <w:t>Рис.6. Граф состояний кластера с двумя узлами и неидеальной системой контроля</w:t>
      </w:r>
    </w:p>
    <w:p w:rsidR="0009690E" w:rsidRPr="0009690E" w:rsidRDefault="0009690E" w:rsidP="0009690E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Таким образом, с точки зрения контролируемости, кластер представляет собой дублированную структуру с непрерывным неполным контролем (внутренними средствами кластера), заданным η, и периодическим – внешним полным контролем работоспособности узлов, заданным θ, причем отказ узла с вероятностью η обнаруживается мгновенно, а отказ с вероятностью 1-η – с задержкой на время 1/θ. Таким образом, время задержки обнаружения скрытых отказов имеет экспоненциальное распределение с параметром θ.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Путем расчета полученной модели (графа на рис.4) для той же наработки на отказ и времени восстановления определим значение коэффициента готовности. Предположим, что для того, чтобы обнаружить "необнаруженный" внутренними средствами кластера отказ, потребуется 15 мин (за это время клиенты, убедившись в отсутствии сервисов, начинают звонить в техническую поддержку, вынуждая администраторов вручную проверять работоспособность кластера). Здесь сознательно используются заниженные значения параметров модели, чтобы получить предельное значение Кг. В действительности рассматриваемый показатель может значительно превышать 15 мин.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При подстановке значений получим, что уже при одном необнаруженном отказе на 100 отказов (η = 0,99), обнаруженных системой управления, резко снижается значение коэффициента готовности: с семи девяток до пяти! При каждом десятом необнаруженном отказе Кг составит уже менее пяти девяток, а при каждом втором необнаруженном – менее четырех девяток.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Здесь показан только один шаг повышения адекватности модели: состояние отказа, не обнаруженного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внутрикластерной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системой контроля при условии, что он произошел. Следующим шагом может быть введение состояния ложного "обнаружения" отказа, т.е. когда будет переключена нагрузка, но фактического отказа узла не было.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Дублирование или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троирование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?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Как было показано выше, при расчете дублированных структур без учета состояния необнаруженного отказа значения показателей надежности оказываются завышенными. При увеличении кратности резервирования увеличиваются и значения показателей надежности, при этом для Кг получаются еще более фантастические (точнее астрономические) цифры.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Однако при использовании модели с неидеальным контролем (см. рис.6) ситуация кардинально меняется.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Введение состояния необнаруженного отказа позволяет наблюдать не только количественное, но и качественное изменение зависимости значений показателя надежности. Имеет место "феномен", когда повысить надежность путем повышения кратности резервирования (добавления нового резервного узла) уже невозможно, учитывая фактор неполноты контроля функционирования, т.е. коэффициента η. 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lastRenderedPageBreak/>
        <w:t xml:space="preserve">Результаты расчетов Кг, выполненные по представленным выше моделям дублирования и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троирования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с неидеальной системой контроля (рис.6 и 7 соответственно), приведены на рис.8.</w:t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690E">
        <w:rPr>
          <w:rFonts w:ascii="Tahoma" w:eastAsia="Times New Roman" w:hAnsi="Tahoma" w:cs="Tahom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2362200" cy="1019175"/>
            <wp:effectExtent l="0" t="0" r="0" b="9525"/>
            <wp:docPr id="2" name="Рисунок 2" descr="https://www.electronics.ru/images/image/0/313_7664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electronics.ru/images/image/0/313_76647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ahoma" w:eastAsia="Times New Roman" w:hAnsi="Tahoma" w:cs="Tahoma"/>
          <w:color w:val="787878"/>
          <w:sz w:val="18"/>
          <w:szCs w:val="18"/>
          <w:lang w:eastAsia="ru-RU"/>
        </w:rPr>
      </w:pPr>
      <w:r w:rsidRPr="0009690E">
        <w:rPr>
          <w:rFonts w:ascii="Tahoma" w:eastAsia="Times New Roman" w:hAnsi="Tahoma" w:cs="Tahoma"/>
          <w:color w:val="787878"/>
          <w:sz w:val="18"/>
          <w:szCs w:val="18"/>
          <w:lang w:eastAsia="ru-RU"/>
        </w:rPr>
        <w:t xml:space="preserve">Рис.7. Граф состояний </w:t>
      </w:r>
      <w:proofErr w:type="spellStart"/>
      <w:r w:rsidRPr="0009690E">
        <w:rPr>
          <w:rFonts w:ascii="Tahoma" w:eastAsia="Times New Roman" w:hAnsi="Tahoma" w:cs="Tahoma"/>
          <w:color w:val="787878"/>
          <w:sz w:val="18"/>
          <w:szCs w:val="18"/>
          <w:lang w:eastAsia="ru-RU"/>
        </w:rPr>
        <w:t>троированной</w:t>
      </w:r>
      <w:proofErr w:type="spellEnd"/>
      <w:r w:rsidRPr="0009690E">
        <w:rPr>
          <w:rFonts w:ascii="Tahoma" w:eastAsia="Times New Roman" w:hAnsi="Tahoma" w:cs="Tahoma"/>
          <w:color w:val="787878"/>
          <w:sz w:val="18"/>
          <w:szCs w:val="18"/>
          <w:lang w:eastAsia="ru-RU"/>
        </w:rPr>
        <w:t xml:space="preserve"> системы с неидеальной системой контроля</w:t>
      </w:r>
    </w:p>
    <w:p w:rsidR="0009690E" w:rsidRPr="0009690E" w:rsidRDefault="0009690E" w:rsidP="0009690E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Схемы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двухузловой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организации кластера могут показывать лучшие показатели надежности, чем трех-, четырех- и т.д. узловые. Так, при равных системных параметрах λ, µ, θ и η ≤ 0,999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двухузловой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кластер обеспечивает лучший Кг по сравнению с аналогичной моделью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трехузлового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кластера. При одном необнаруженном отказе на тысячу обнаруженных (η = 0,999) значение Кг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двухузлового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кластера составит 0, 999 999 49, а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трехузлового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– всего 0,999 999 36. При ухудшении контролируемости, т.е. при уменьшении η, преимущества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двухузловых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конфигураций перед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трехузловыми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неоспоримы.</w:t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690E">
        <w:rPr>
          <w:rFonts w:ascii="Tahoma" w:eastAsia="Times New Roman" w:hAnsi="Tahoma" w:cs="Tahom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2247900" cy="1143000"/>
            <wp:effectExtent l="0" t="0" r="0" b="0"/>
            <wp:docPr id="1" name="Рисунок 1" descr="https://www.electronics.ru/images/image/0/314_3186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electronics.ru/images/image/0/314_31861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ahoma" w:eastAsia="Times New Roman" w:hAnsi="Tahoma" w:cs="Tahoma"/>
          <w:color w:val="787878"/>
          <w:sz w:val="18"/>
          <w:szCs w:val="18"/>
          <w:lang w:eastAsia="ru-RU"/>
        </w:rPr>
      </w:pPr>
      <w:r w:rsidRPr="0009690E">
        <w:rPr>
          <w:rFonts w:ascii="Tahoma" w:eastAsia="Times New Roman" w:hAnsi="Tahoma" w:cs="Tahoma"/>
          <w:color w:val="787878"/>
          <w:sz w:val="18"/>
          <w:szCs w:val="18"/>
          <w:lang w:eastAsia="ru-RU"/>
        </w:rPr>
        <w:t>Рис.8. Зависимость Кг от кратности резервирования при η≤0,999</w:t>
      </w:r>
    </w:p>
    <w:p w:rsidR="0009690E" w:rsidRPr="0009690E" w:rsidRDefault="0009690E" w:rsidP="000969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szCs w:val="15"/>
          <w:lang w:eastAsia="ru-RU"/>
        </w:rPr>
      </w:pP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Это объясняется тем, что определяющую роль при малых значениях интенсивности отказов играет составляющая </w:t>
      </w:r>
      <w:proofErr w:type="gram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m(</w:t>
      </w:r>
      <w:proofErr w:type="gram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1 - η)*, где m = 1, 2 для схемы дублирования (см. рис.6) и m = 1, 2, 3 для схемы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троирования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(см. рис.7). Иными словами, для резервируемых систем, претендующих на высокие показатели надежности, основной вклад в результирующее значение Кг вносит вероятность обнаружения отказа, а не добавление нового резервного узла.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Сколько девяток нужно?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>Приведенные примеры показывают, что популярные модели расчета надежности резервируемых структур, в том числе кластеры, являются очень упрощенными и не соответствуют реальным процессам, происходящим в исследуемых системах. Вследствие этого мы получаем не только явно завышенные значения показателей надежности, но и неверные качественные зависимости функции показателя надежности от параметров системы, например кратности резервирования.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Ситуацию усугубляет положение в IT-сфере, когда "правдивость пяти девяток" остается "на совести"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вендора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, т.е. заявленные значения показателей надежности системы, как правило, ничем не обосновываются. С одной стороны, отказоустойчивые системы и системы высокой готовности с высокими декларируемыми значениями не могут годами испытываться для получения необходимой статистики (пять девяток – время недоступности системы 5 мин/год) и после этого допускаться на рынок с подтвержденными испытаниями результатами, так как в таком случае они устареют до появления на рынке. С другой стороны, компании-производители не предоставляют математических моделей, по которым была проведена оценка надежности предлагаемых изделий.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br/>
        <w:t xml:space="preserve">Можно предположить, что такие модели являются упрощенными, идеальными и не позволяют получать близкие к реальным значения показателей надежности. При просьбе о предоставлении моделей компании, как правило, ссылаются на то, что это закрытая информация или значения взяты по аналогии с подобными комплексами. Сегодня отсутствуют международные или фирменные общедоступные методики и модели расчета кластерных структур, позволяющие стандартизовать хотя бы подход к подобным вычислениям. Поэтому при сравнении изделий двух производителей даже более низкое значение коэффициента готовности может характеризовать более надежную систему – например, когда один из них предоставил адекватную методику, а другой идеализированную модель или вообще отказал в ее предоставлении. Целесообразно отдать предпочтение изделию с "честными" четырьмя девятками (Кг = 0,9999), полученными из понятной модели, учитывающей максимальное число влияющих на систему факторов, нежели изделию с "сомнительными" шестью девятками, подтвержденными только рекламными заверениями </w:t>
      </w:r>
      <w:proofErr w:type="spellStart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>вендора</w:t>
      </w:r>
      <w:proofErr w:type="spellEnd"/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t xml:space="preserve"> без убедительных обоснований декларируемой цифры. Следовательно, стоит хорошо подумать, выбирая на богатом предложениями рынке высоконадежную вычислительную и </w:t>
      </w:r>
      <w:r w:rsidRPr="0009690E">
        <w:rPr>
          <w:rFonts w:ascii="Tahoma" w:eastAsia="Times New Roman" w:hAnsi="Tahoma" w:cs="Tahoma"/>
          <w:color w:val="000000"/>
          <w:sz w:val="21"/>
          <w:szCs w:val="21"/>
          <w:lang w:eastAsia="ru-RU"/>
        </w:rPr>
        <w:lastRenderedPageBreak/>
        <w:t>телекоммуникационную систему, либо систему хранения данных. Но следует помнить, что этот рынок также "богат" фантастическими оценками надежности таких систем, в том числе "виртуальными" девятками коэффициента готовности.</w:t>
      </w:r>
    </w:p>
    <w:p w:rsidR="0009690E" w:rsidRPr="0009690E" w:rsidRDefault="0009690E" w:rsidP="0009690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5"/>
          <w:szCs w:val="15"/>
          <w:lang w:eastAsia="ru-RU"/>
        </w:rPr>
      </w:pPr>
      <w:hyperlink r:id="rId13" w:history="1">
        <w:r w:rsidRPr="0009690E">
          <w:rPr>
            <w:rFonts w:ascii="Tahoma" w:eastAsia="Times New Roman" w:hAnsi="Tahoma" w:cs="Tahoma"/>
            <w:color w:val="640000"/>
            <w:sz w:val="21"/>
            <w:szCs w:val="21"/>
            <w:u w:val="single"/>
            <w:lang w:eastAsia="ru-RU"/>
          </w:rPr>
          <w:t>Электроника НТБ. Выпуск #4/2010</w:t>
        </w:r>
      </w:hyperlink>
    </w:p>
    <w:p w:rsidR="0009690E" w:rsidRDefault="0009690E"/>
    <w:sectPr w:rsidR="0009690E" w:rsidSect="000969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90E"/>
    <w:rsid w:val="0009690E"/>
    <w:rsid w:val="005859BC"/>
    <w:rsid w:val="00BB005D"/>
    <w:rsid w:val="00E8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EFAAC"/>
  <w15:chartTrackingRefBased/>
  <w15:docId w15:val="{75B7AD18-8F88-4F9A-91B8-CADCC21DD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igger2">
    <w:name w:val="bigger2"/>
    <w:basedOn w:val="a0"/>
    <w:rsid w:val="0009690E"/>
  </w:style>
  <w:style w:type="character" w:styleId="a3">
    <w:name w:val="Hyperlink"/>
    <w:basedOn w:val="a0"/>
    <w:uiPriority w:val="99"/>
    <w:unhideWhenUsed/>
    <w:rsid w:val="0009690E"/>
    <w:rPr>
      <w:color w:val="0000FF"/>
      <w:u w:val="single"/>
    </w:rPr>
  </w:style>
  <w:style w:type="character" w:customStyle="1" w:styleId="bigger1">
    <w:name w:val="bigger1"/>
    <w:basedOn w:val="a0"/>
    <w:rsid w:val="0009690E"/>
  </w:style>
  <w:style w:type="character" w:customStyle="1" w:styleId="bigger3">
    <w:name w:val="bigger3"/>
    <w:basedOn w:val="a0"/>
    <w:rsid w:val="0009690E"/>
  </w:style>
  <w:style w:type="character" w:customStyle="1" w:styleId="smaller3">
    <w:name w:val="smaller3"/>
    <w:basedOn w:val="a0"/>
    <w:rsid w:val="0009690E"/>
  </w:style>
  <w:style w:type="character" w:customStyle="1" w:styleId="norm">
    <w:name w:val="norm"/>
    <w:basedOn w:val="a0"/>
    <w:rsid w:val="00096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electronics.ru/journal/2010/4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hyperlink" Target="https://www.electronics.ru/journal/2010/4" TargetMode="Externa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3480</Words>
  <Characters>19838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</dc:creator>
  <cp:keywords/>
  <dc:description/>
  <cp:lastModifiedBy>mini</cp:lastModifiedBy>
  <cp:revision>2</cp:revision>
  <dcterms:created xsi:type="dcterms:W3CDTF">2026-10-07T17:25:00Z</dcterms:created>
  <dcterms:modified xsi:type="dcterms:W3CDTF">2026-10-07T17:28:00Z</dcterms:modified>
</cp:coreProperties>
</file>