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KnowWhere System Audit</w:t>
      </w:r>
    </w:p>
    <w:p>
      <w:r>
        <w:rPr>
          <w:b/>
        </w:rPr>
        <w:t xml:space="preserve">Generated: </w:t>
      </w:r>
      <w:r>
        <w:t>2026-04-21 14:34</w:t>
      </w:r>
    </w:p>
    <w:p>
      <w:r>
        <w:t>Table fields capture modules and their primary software criteria (Characteristic / functionality / Specific Feature).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 Title</w:t>
            </w:r>
          </w:p>
        </w:tc>
        <w:tc>
          <w:tcPr>
            <w:tcW w:type="dxa" w:w="4320"/>
          </w:tcPr>
          <w:p>
            <w:r>
              <w:t>Software Criterion(Characteristic / functionality / Specific Feature )</w:t>
            </w:r>
          </w:p>
        </w:tc>
      </w:tr>
      <w:tr>
        <w:tc>
          <w:tcPr>
            <w:tcW w:type="dxa" w:w="4320"/>
          </w:tcPr>
          <w:p>
            <w:r>
              <w:t>API Runtime (Server Setup &amp; Defaults)</w:t>
            </w:r>
          </w:p>
        </w:tc>
        <w:tc>
          <w:tcPr>
            <w:tcW w:type="dxa" w:w="4320"/>
          </w:tcPr>
          <w:p>
            <w:r>
              <w:t>Runs the HTTP server and exposes all API endpoints</w:t>
              <w:br/>
              <w:t>Adds basic security protections for web requests</w:t>
              <w:br/>
              <w:t>Controls which websites can call the API from a browser (allowed origins)</w:t>
              <w:br/>
              <w:t>Applies request-rate limits with an allowlist for trusted sources</w:t>
              <w:br/>
              <w:t>Supports deployments behind tunnels/gateways when configured</w:t>
            </w:r>
          </w:p>
        </w:tc>
      </w:tr>
      <w:tr>
        <w:tc>
          <w:tcPr>
            <w:tcW w:type="dxa" w:w="4320"/>
          </w:tcPr>
          <w:p>
            <w:r>
              <w:t>API Access Control (API Key Guard)</w:t>
            </w:r>
          </w:p>
        </w:tc>
        <w:tc>
          <w:tcPr>
            <w:tcW w:type="dxa" w:w="4320"/>
          </w:tcPr>
          <w:p>
            <w:r>
              <w:t>Optionally requires an access key for protected endpoints</w:t>
              <w:br/>
              <w:t>Always allows health checks and readiness checks without a key</w:t>
              <w:br/>
              <w:t>Allows the contact/feedback endpoint without a key (so the public UI can submit messages)</w:t>
            </w:r>
          </w:p>
        </w:tc>
      </w:tr>
      <w:tr>
        <w:tc>
          <w:tcPr>
            <w:tcW w:type="dxa" w:w="4320"/>
          </w:tcPr>
          <w:p>
            <w:r>
              <w:t>API: POST /search</w:t>
            </w:r>
          </w:p>
        </w:tc>
        <w:tc>
          <w:tcPr>
            <w:tcW w:type="dxa" w:w="4320"/>
          </w:tcPr>
          <w:p>
            <w:r>
              <w:t>Accepts a search question plus optional settings (result count, search style, and filters)</w:t>
              <w:br/>
              <w:t>Supports different search styles: keyword-focused, meaning-focused, or a mix of both</w:t>
              <w:br/>
              <w:t>Can return results as whole papers or as smaller passages</w:t>
              <w:br/>
              <w:t>Can optionally re-order results for better relevance</w:t>
              <w:br/>
              <w:t>Includes extra protection against heavy use (higher per-route request limit, but still bounded inputs)</w:t>
            </w:r>
          </w:p>
        </w:tc>
      </w:tr>
      <w:tr>
        <w:tc>
          <w:tcPr>
            <w:tcW w:type="dxa" w:w="4320"/>
          </w:tcPr>
          <w:p>
            <w:r>
              <w:t>API: POST /embed</w:t>
            </w:r>
          </w:p>
        </w:tc>
        <w:tc>
          <w:tcPr>
            <w:tcW w:type="dxa" w:w="4320"/>
          </w:tcPr>
          <w:p>
            <w:r>
              <w:t>Accepts a list of texts and returns a list of numeric representations (one per text)</w:t>
              <w:br/>
              <w:t>Rejects empty inputs and enforces a minimum structure</w:t>
              <w:br/>
              <w:t>Used to power meaning-based search and similarity comparisons</w:t>
            </w:r>
          </w:p>
        </w:tc>
      </w:tr>
      <w:tr>
        <w:tc>
          <w:tcPr>
            <w:tcW w:type="dxa" w:w="4320"/>
          </w:tcPr>
          <w:p>
            <w:r>
              <w:t>API: POST /rerank</w:t>
            </w:r>
          </w:p>
        </w:tc>
        <w:tc>
          <w:tcPr>
            <w:tcW w:type="dxa" w:w="4320"/>
          </w:tcPr>
          <w:p>
            <w:r>
              <w:t>Accepts a query and a list of candidate texts, then scores each candidate for relevance</w:t>
              <w:br/>
              <w:t>Returns a score list aligned with the input order</w:t>
              <w:br/>
              <w:t>If the reranking service is unavailable, safely returns an empty score list</w:t>
            </w:r>
          </w:p>
        </w:tc>
      </w:tr>
      <w:tr>
        <w:tc>
          <w:tcPr>
            <w:tcW w:type="dxa" w:w="4320"/>
          </w:tcPr>
          <w:p>
            <w:r>
              <w:t>API: POST /ingest</w:t>
            </w:r>
          </w:p>
        </w:tc>
        <w:tc>
          <w:tcPr>
            <w:tcW w:type="dxa" w:w="4320"/>
          </w:tcPr>
          <w:p>
            <w:r>
              <w:t>Starts an import job from a chosen source (arXiv, Crossref, or OpenAlex)</w:t>
              <w:br/>
              <w:t>Accepts a query plus a target count (with a hard cap to prevent runaway imports)</w:t>
              <w:br/>
              <w:t>Returns immediately with an “accepted” response and includes a process id for tracking</w:t>
              <w:br/>
              <w:t>Strictly limited to prevent abuse (very low per-route rate limit)</w:t>
            </w:r>
          </w:p>
        </w:tc>
      </w:tr>
      <w:tr>
        <w:tc>
          <w:tcPr>
            <w:tcW w:type="dxa" w:w="4320"/>
          </w:tcPr>
          <w:p>
            <w:r>
              <w:t>API: GET /health</w:t>
            </w:r>
          </w:p>
        </w:tc>
        <w:tc>
          <w:tcPr>
            <w:tcW w:type="dxa" w:w="4320"/>
          </w:tcPr>
          <w:p>
            <w:r>
              <w:t>Provides a quick “is it running?” status for the API and supporting services</w:t>
              <w:br/>
              <w:t>Can check specific dependencies on request (e.g., database, embedding service, reranker)</w:t>
              <w:br/>
              <w:t>Returns a simple per-service status summary</w:t>
            </w:r>
          </w:p>
        </w:tc>
      </w:tr>
      <w:tr>
        <w:tc>
          <w:tcPr>
            <w:tcW w:type="dxa" w:w="4320"/>
          </w:tcPr>
          <w:p>
            <w:r>
              <w:t>API: GET /ready</w:t>
            </w:r>
          </w:p>
        </w:tc>
        <w:tc>
          <w:tcPr>
            <w:tcW w:type="dxa" w:w="4320"/>
          </w:tcPr>
          <w:p>
            <w:r>
              <w:t>Simple readiness endpoint for load balancers and deployments</w:t>
              <w:br/>
              <w:t>Returns a “ready” status without doing dependency checks</w:t>
            </w:r>
          </w:p>
        </w:tc>
      </w:tr>
      <w:tr>
        <w:tc>
          <w:tcPr>
            <w:tcW w:type="dxa" w:w="4320"/>
          </w:tcPr>
          <w:p>
            <w:r>
              <w:t>API: GET /stats</w:t>
            </w:r>
          </w:p>
        </w:tc>
        <w:tc>
          <w:tcPr>
            <w:tcW w:type="dxa" w:w="4320"/>
          </w:tcPr>
          <w:p>
            <w:r>
              <w:t>Returns high-level counts for stored content (papers, passages, subjects, sources)</w:t>
              <w:br/>
              <w:t>Used for sanity checks and reporting dataset size</w:t>
            </w:r>
          </w:p>
        </w:tc>
      </w:tr>
      <w:tr>
        <w:tc>
          <w:tcPr>
            <w:tcW w:type="dxa" w:w="4320"/>
          </w:tcPr>
          <w:p>
            <w:r>
              <w:t>API: GET /logs</w:t>
            </w:r>
          </w:p>
        </w:tc>
        <w:tc>
          <w:tcPr>
            <w:tcW w:type="dxa" w:w="4320"/>
          </w:tcPr>
          <w:p>
            <w:r>
              <w:t>Returns recent search activity records for review and troubleshooting</w:t>
              <w:br/>
              <w:t>Supports a ‘limit’ parameter with a safe maximum to prevent huge responses</w:t>
              <w:br/>
              <w:t>Returns logs sorted from newest to oldest</w:t>
            </w:r>
          </w:p>
        </w:tc>
      </w:tr>
      <w:tr>
        <w:tc>
          <w:tcPr>
            <w:tcW w:type="dxa" w:w="4320"/>
          </w:tcPr>
          <w:p>
            <w:r>
              <w:t>API: POST /contact</w:t>
            </w:r>
          </w:p>
        </w:tc>
        <w:tc>
          <w:tcPr>
            <w:tcW w:type="dxa" w:w="4320"/>
          </w:tcPr>
          <w:p>
            <w:r>
              <w:t>Accepts a message (name, email, role, message) and sends it to the configured recipient</w:t>
              <w:br/>
              <w:t>Sends a confirmation copy back to the sender</w:t>
              <w:br/>
              <w:t>If email is not configured, clearly reports that the feature is unavailable</w:t>
              <w:br/>
              <w:t>Has a rate limit to reduce spam and abuse</w:t>
            </w:r>
          </w:p>
        </w:tc>
      </w:tr>
      <w:tr>
        <w:tc>
          <w:tcPr>
            <w:tcW w:type="dxa" w:w="4320"/>
          </w:tcPr>
          <w:p>
            <w:r>
              <w:t>Core Search Logic (Search Service)</w:t>
            </w:r>
          </w:p>
        </w:tc>
        <w:tc>
          <w:tcPr>
            <w:tcW w:type="dxa" w:w="4320"/>
          </w:tcPr>
          <w:p>
            <w:r>
              <w:t>Combines keyword matching with meaning-based matching to find relevant items</w:t>
              <w:br/>
              <w:t>Produces a ranked list with relevance scores and short previews</w:t>
              <w:br/>
              <w:t>Supports paper-level and passage-level results and common filters</w:t>
            </w:r>
          </w:p>
        </w:tc>
      </w:tr>
      <w:tr>
        <w:tc>
          <w:tcPr>
            <w:tcW w:type="dxa" w:w="4320"/>
          </w:tcPr>
          <w:p>
            <w:r>
              <w:t>Search Mode: Keyword-focused (Lexical)</w:t>
            </w:r>
          </w:p>
        </w:tc>
        <w:tc>
          <w:tcPr>
            <w:tcW w:type="dxa" w:w="4320"/>
          </w:tcPr>
          <w:p>
            <w:r>
              <w:t>Finds results by matching the user’s words to stored text fields</w:t>
              <w:br/>
              <w:t>Prioritizes exact or close term matches when the wording matters</w:t>
              <w:br/>
              <w:t>Works even when meaning-based services are unavailable</w:t>
            </w:r>
          </w:p>
        </w:tc>
      </w:tr>
      <w:tr>
        <w:tc>
          <w:tcPr>
            <w:tcW w:type="dxa" w:w="4320"/>
          </w:tcPr>
          <w:p>
            <w:r>
              <w:t>Search Mode: Meaning-focused (Semantic)</w:t>
            </w:r>
          </w:p>
        </w:tc>
        <w:tc>
          <w:tcPr>
            <w:tcW w:type="dxa" w:w="4320"/>
          </w:tcPr>
          <w:p>
            <w:r>
              <w:t>Finds results based on similarity of meaning, even when wording differs</w:t>
              <w:br/>
              <w:t>Requires text-to-number conversion for the user query</w:t>
              <w:br/>
              <w:t>Depends on stored meaning-representations being present for items</w:t>
            </w:r>
          </w:p>
        </w:tc>
      </w:tr>
      <w:tr>
        <w:tc>
          <w:tcPr>
            <w:tcW w:type="dxa" w:w="4320"/>
          </w:tcPr>
          <w:p>
            <w:r>
              <w:t>Search Mode: Combined (Hybrid)</w:t>
            </w:r>
          </w:p>
        </w:tc>
        <w:tc>
          <w:tcPr>
            <w:tcW w:type="dxa" w:w="4320"/>
          </w:tcPr>
          <w:p>
            <w:r>
              <w:t>Combines keyword and meaning signals into one overall relevance score</w:t>
              <w:br/>
              <w:t>Uses adjustable weighting between keyword and meaning signals</w:t>
              <w:br/>
              <w:t>Limits candidate pools for efficiency, then fuses and re-sorts results</w:t>
            </w:r>
          </w:p>
        </w:tc>
      </w:tr>
      <w:tr>
        <w:tc>
          <w:tcPr>
            <w:tcW w:type="dxa" w:w="4320"/>
          </w:tcPr>
          <w:p>
            <w:r>
              <w:t>Search: Result Quality Heuristics</w:t>
            </w:r>
          </w:p>
        </w:tc>
        <w:tc>
          <w:tcPr>
            <w:tcW w:type="dxa" w:w="4320"/>
          </w:tcPr>
          <w:p>
            <w:r>
              <w:t>Downranks low-information or ‘stub’ records so complete papers appear higher</w:t>
              <w:br/>
              <w:t>Gives a small boost when both keyword and meaning signals agree</w:t>
              <w:br/>
              <w:t>Removes duplicates (by DOI when available, otherwise by normalized title) and keeps the best-scoring entry</w:t>
            </w:r>
          </w:p>
        </w:tc>
      </w:tr>
      <w:tr>
        <w:tc>
          <w:tcPr>
            <w:tcW w:type="dxa" w:w="4320"/>
          </w:tcPr>
          <w:p>
            <w:r>
              <w:t>Search: Filters (Year / Venue / Subject / Source)</w:t>
            </w:r>
          </w:p>
        </w:tc>
        <w:tc>
          <w:tcPr>
            <w:tcW w:type="dxa" w:w="4320"/>
          </w:tcPr>
          <w:p>
            <w:r>
              <w:t>Lets users narrow results to a time range (from/to year)</w:t>
              <w:br/>
              <w:t>Supports filtering by venue name, subject/category, and data source</w:t>
              <w:br/>
              <w:t>Applies filters consistently across paper-level and passage-level search</w:t>
            </w:r>
          </w:p>
        </w:tc>
      </w:tr>
      <w:tr>
        <w:tc>
          <w:tcPr>
            <w:tcW w:type="dxa" w:w="4320"/>
          </w:tcPr>
          <w:p>
            <w:r>
              <w:t>Search: Snippets / Previews</w:t>
            </w:r>
          </w:p>
        </w:tc>
        <w:tc>
          <w:tcPr>
            <w:tcW w:type="dxa" w:w="4320"/>
          </w:tcPr>
          <w:p>
            <w:r>
              <w:t>Returns short previews of text so users can judge relevance quickly</w:t>
              <w:br/>
              <w:t>Uses a fixed preview length for consistent UI display</w:t>
            </w:r>
          </w:p>
        </w:tc>
      </w:tr>
      <w:tr>
        <w:tc>
          <w:tcPr>
            <w:tcW w:type="dxa" w:w="4320"/>
          </w:tcPr>
          <w:p>
            <w:r>
              <w:t>Search: Result Re-ordering + Relevance Gate</w:t>
            </w:r>
          </w:p>
        </w:tc>
        <w:tc>
          <w:tcPr>
            <w:tcW w:type="dxa" w:w="4320"/>
          </w:tcPr>
          <w:p>
            <w:r>
              <w:t>Re-orders the top results using a second relevance check</w:t>
              <w:br/>
              <w:t>Can be configured to return fewer results when confidence is low (strict relevance mode)</w:t>
              <w:br/>
              <w:t>Falls back safely when strict mode would otherwise return nothing</w:t>
            </w:r>
          </w:p>
        </w:tc>
      </w:tr>
      <w:tr>
        <w:tc>
          <w:tcPr>
            <w:tcW w:type="dxa" w:w="4320"/>
          </w:tcPr>
          <w:p>
            <w:r>
              <w:t>Meaning-based Matching (Embedding Service Integration)</w:t>
            </w:r>
          </w:p>
        </w:tc>
        <w:tc>
          <w:tcPr>
            <w:tcW w:type="dxa" w:w="4320"/>
          </w:tcPr>
          <w:p>
            <w:r>
              <w:t>Converts text into a numeric form used for meaning-based comparisons</w:t>
              <w:br/>
              <w:t>Must stay consistent with how the database stores these representations</w:t>
              <w:br/>
              <w:t>Supports health checking to confirm the service is reachable</w:t>
            </w:r>
          </w:p>
        </w:tc>
      </w:tr>
      <w:tr>
        <w:tc>
          <w:tcPr>
            <w:tcW w:type="dxa" w:w="4320"/>
          </w:tcPr>
          <w:p>
            <w:r>
              <w:t>Embedding Client: Request/Response Handling</w:t>
            </w:r>
          </w:p>
        </w:tc>
        <w:tc>
          <w:tcPr>
            <w:tcW w:type="dxa" w:w="4320"/>
          </w:tcPr>
          <w:p>
            <w:r>
              <w:t>Sends text to the embedding service with a configured model name</w:t>
              <w:br/>
              <w:t>Uses a timeout so requests don’t hang indefinitely</w:t>
              <w:br/>
              <w:t>Accepts common response formats and rejects unknown formats clearly</w:t>
            </w:r>
          </w:p>
        </w:tc>
      </w:tr>
      <w:tr>
        <w:tc>
          <w:tcPr>
            <w:tcW w:type="dxa" w:w="4320"/>
          </w:tcPr>
          <w:p>
            <w:r>
              <w:t>Relevance Improvement (Reranking Service Integration)</w:t>
            </w:r>
          </w:p>
        </w:tc>
        <w:tc>
          <w:tcPr>
            <w:tcW w:type="dxa" w:w="4320"/>
          </w:tcPr>
          <w:p>
            <w:r>
              <w:t>Optionally re-orders the top candidates to improve relevance quality</w:t>
              <w:br/>
              <w:t>Can be configured to be stricter about relevance (avoid weak matches)</w:t>
              <w:br/>
              <w:t>Designed to degrade gracefully if the reranking service is unavailable</w:t>
            </w:r>
          </w:p>
        </w:tc>
      </w:tr>
      <w:tr>
        <w:tc>
          <w:tcPr>
            <w:tcW w:type="dxa" w:w="4320"/>
          </w:tcPr>
          <w:p>
            <w:r>
              <w:t>Rerank Client: Timeouts and Test Bypass</w:t>
            </w:r>
          </w:p>
        </w:tc>
        <w:tc>
          <w:tcPr>
            <w:tcW w:type="dxa" w:w="4320"/>
          </w:tcPr>
          <w:p>
            <w:r>
              <w:t>Uses a timeout so the system can recover from slow or stuck rerank requests</w:t>
              <w:br/>
              <w:t>Allows reranking to be skipped during automated tests when the service isn’t running</w:t>
              <w:br/>
              <w:t>Rejects missing configuration in normal operation to avoid silent failures</w:t>
            </w:r>
          </w:p>
        </w:tc>
      </w:tr>
      <w:tr>
        <w:tc>
          <w:tcPr>
            <w:tcW w:type="dxa" w:w="4320"/>
          </w:tcPr>
          <w:p>
            <w:r>
              <w:t>Database (Stored Papers, Passages, and Search Data)</w:t>
            </w:r>
          </w:p>
        </w:tc>
        <w:tc>
          <w:tcPr>
            <w:tcW w:type="dxa" w:w="4320"/>
          </w:tcPr>
          <w:p>
            <w:r>
              <w:t>Stores papers, optional passages, and the meaning-based representations used for search</w:t>
              <w:br/>
              <w:t>Supports fast lookup for both keyword search and meaning-based search</w:t>
              <w:br/>
              <w:t>Uses safe database access patterns to reduce risk of data errors or misuse</w:t>
            </w:r>
          </w:p>
        </w:tc>
      </w:tr>
      <w:tr>
        <w:tc>
          <w:tcPr>
            <w:tcW w:type="dxa" w:w="4320"/>
          </w:tcPr>
          <w:p>
            <w:r>
              <w:t>Database Access Layer (Connection Pool)</w:t>
            </w:r>
          </w:p>
        </w:tc>
        <w:tc>
          <w:tcPr>
            <w:tcW w:type="dxa" w:w="4320"/>
          </w:tcPr>
          <w:p>
            <w:r>
              <w:t>Maintains a reusable pool of database connections for performance</w:t>
              <w:br/>
              <w:t>Applies connection timeouts and idle timeouts to avoid resource leaks</w:t>
              <w:br/>
              <w:t>Provides a shared query function used across the system</w:t>
            </w:r>
          </w:p>
        </w:tc>
      </w:tr>
      <w:tr>
        <w:tc>
          <w:tcPr>
            <w:tcW w:type="dxa" w:w="4320"/>
          </w:tcPr>
          <w:p>
            <w:r>
              <w:t>Database Setup (Schema / Migrations)</w:t>
            </w:r>
          </w:p>
        </w:tc>
        <w:tc>
          <w:tcPr>
            <w:tcW w:type="dxa" w:w="4320"/>
          </w:tcPr>
          <w:p>
            <w:r>
              <w:t>Defines the database tables and relationships needed by the system</w:t>
              <w:br/>
              <w:t>Sets up the database so new installations match the expected structure</w:t>
              <w:br/>
              <w:t>Can be applied repeatedly without breaking an existing setup (safe re-run behavior)</w:t>
            </w:r>
          </w:p>
        </w:tc>
      </w:tr>
      <w:tr>
        <w:tc>
          <w:tcPr>
            <w:tcW w:type="dxa" w:w="4320"/>
          </w:tcPr>
          <w:p>
            <w:r>
              <w:t>Configuration / Environment</w:t>
            </w:r>
          </w:p>
        </w:tc>
        <w:tc>
          <w:tcPr>
            <w:tcW w:type="dxa" w:w="4320"/>
          </w:tcPr>
          <w:p>
            <w:r>
              <w:t>Central place to set how the system runs (addresses, ports, allowed websites, deployment mode)</w:t>
              <w:br/>
              <w:t>Lets operators point the system to supporting services and choose which models to use</w:t>
              <w:br/>
              <w:t>Enables operational controls like request limits and stricter relevance settings</w:t>
            </w:r>
          </w:p>
        </w:tc>
      </w:tr>
      <w:tr>
        <w:tc>
          <w:tcPr>
            <w:tcW w:type="dxa" w:w="4320"/>
          </w:tcPr>
          <w:p>
            <w:r>
              <w:t>Configuration Validation (Startup Checks)</w:t>
            </w:r>
          </w:p>
        </w:tc>
        <w:tc>
          <w:tcPr>
            <w:tcW w:type="dxa" w:w="4320"/>
          </w:tcPr>
          <w:p>
            <w:r>
              <w:t>Validates required settings at startup and stops early if something is missing</w:t>
              <w:br/>
              <w:t>Ensures URLs and numbers are in the correct format</w:t>
              <w:br/>
              <w:t>Enforces stricter requirements in non-test environments (e.g., reranking configured in production/dev)</w:t>
            </w:r>
          </w:p>
        </w:tc>
      </w:tr>
      <w:tr>
        <w:tc>
          <w:tcPr>
            <w:tcW w:type="dxa" w:w="4320"/>
          </w:tcPr>
          <w:p>
            <w:r>
              <w:t>Data Ingestion (Pipeline Controller)</w:t>
            </w:r>
          </w:p>
        </w:tc>
        <w:tc>
          <w:tcPr>
            <w:tcW w:type="dxa" w:w="4320"/>
          </w:tcPr>
          <w:p>
            <w:r>
              <w:t>Coordinates importing new research data into the system</w:t>
              <w:br/>
              <w:t>Uses safe pacing and automatic retries to avoid overloading external services</w:t>
              <w:br/>
              <w:t>Avoids duplicates and updates existing records when the same paper appears again</w:t>
              <w:br/>
              <w:t>Supports long-running imports that can pause and continue later, with progress tracking</w:t>
            </w:r>
          </w:p>
        </w:tc>
      </w:tr>
      <w:tr>
        <w:tc>
          <w:tcPr>
            <w:tcW w:type="dxa" w:w="4320"/>
          </w:tcPr>
          <w:p>
            <w:r>
              <w:t>Data Ingestion Sources (arXiv / Crossref / OpenAlex)</w:t>
            </w:r>
          </w:p>
        </w:tc>
        <w:tc>
          <w:tcPr>
            <w:tcW w:type="dxa" w:w="4320"/>
          </w:tcPr>
          <w:p>
            <w:r>
              <w:t>Imports paper details from multiple external sources</w:t>
              <w:br/>
              <w:t>Collects and standardizes key details (title, authors, year, identifiers, links) before saving</w:t>
              <w:br/>
              <w:t>When available, brings in document text for better searching and previews</w:t>
            </w:r>
          </w:p>
        </w:tc>
      </w:tr>
      <w:tr>
        <w:tc>
          <w:tcPr>
            <w:tcW w:type="dxa" w:w="4320"/>
          </w:tcPr>
          <w:p>
            <w:r>
              <w:t>Ingestion Utility: Retry + Backoff</w:t>
            </w:r>
          </w:p>
        </w:tc>
        <w:tc>
          <w:tcPr>
            <w:tcW w:type="dxa" w:w="4320"/>
          </w:tcPr>
          <w:p>
            <w:r>
              <w:t>Retries temporary network failures automatically</w:t>
              <w:br/>
              <w:t>Waits longer between retries to reduce repeated failures</w:t>
              <w:br/>
              <w:t>Handles “too many requests” responses by waiting before retrying</w:t>
            </w:r>
          </w:p>
        </w:tc>
      </w:tr>
      <w:tr>
        <w:tc>
          <w:tcPr>
            <w:tcW w:type="dxa" w:w="4320"/>
          </w:tcPr>
          <w:p>
            <w:r>
              <w:t>Ingestion Utility: Request Pacing (Rate Limit Helper)</w:t>
            </w:r>
          </w:p>
        </w:tc>
        <w:tc>
          <w:tcPr>
            <w:tcW w:type="dxa" w:w="4320"/>
          </w:tcPr>
          <w:p>
            <w:r>
              <w:t>Adds intentional delays between requests to respect upstream limits</w:t>
              <w:br/>
              <w:t>Prevents the system from overwhelming external data providers</w:t>
            </w:r>
          </w:p>
        </w:tc>
      </w:tr>
      <w:tr>
        <w:tc>
          <w:tcPr>
            <w:tcW w:type="dxa" w:w="4320"/>
          </w:tcPr>
          <w:p>
            <w:r>
              <w:t>Ingestion Utility: Document Chunking</w:t>
            </w:r>
          </w:p>
        </w:tc>
        <w:tc>
          <w:tcPr>
            <w:tcW w:type="dxa" w:w="4320"/>
          </w:tcPr>
          <w:p>
            <w:r>
              <w:t>Splits long text into overlapping passages for better search coverage</w:t>
              <w:br/>
              <w:t>Controls maximum passage size and overlap to balance quality vs storage</w:t>
            </w:r>
          </w:p>
        </w:tc>
      </w:tr>
      <w:tr>
        <w:tc>
          <w:tcPr>
            <w:tcW w:type="dxa" w:w="4320"/>
          </w:tcPr>
          <w:p>
            <w:r>
              <w:t>Ingestion Utility: PDF Text Extraction</w:t>
            </w:r>
          </w:p>
        </w:tc>
        <w:tc>
          <w:tcPr>
            <w:tcW w:type="dxa" w:w="4320"/>
          </w:tcPr>
          <w:p>
            <w:r>
              <w:t>Downloads PDFs when available and extracts readable text</w:t>
              <w:br/>
              <w:t>Fails safely (returns no text) when PDFs can’t be fetched or parsed</w:t>
            </w:r>
          </w:p>
        </w:tc>
      </w:tr>
      <w:tr>
        <w:tc>
          <w:tcPr>
            <w:tcW w:type="dxa" w:w="4320"/>
          </w:tcPr>
          <w:p>
            <w:r>
              <w:t>Topic-based Import (Batch / Resume)</w:t>
            </w:r>
          </w:p>
        </w:tc>
        <w:tc>
          <w:tcPr>
            <w:tcW w:type="dxa" w:w="4320"/>
          </w:tcPr>
          <w:p>
            <w:r>
              <w:t>Imports by topic lists to build a balanced dataset</w:t>
              <w:br/>
              <w:t>Can distribute work across topics and sources to reach a target dataset size</w:t>
              <w:br/>
              <w:t>Supports resume/checkpoints so long runs can be stopped and continued later</w:t>
            </w:r>
          </w:p>
        </w:tc>
      </w:tr>
      <w:tr>
        <w:tc>
          <w:tcPr>
            <w:tcW w:type="dxa" w:w="4320"/>
          </w:tcPr>
          <w:p>
            <w:r>
              <w:t>Interactive Ingest Tool (CLI)</w:t>
            </w:r>
          </w:p>
        </w:tc>
        <w:tc>
          <w:tcPr>
            <w:tcW w:type="dxa" w:w="4320"/>
          </w:tcPr>
          <w:p>
            <w:r>
              <w:t>Guides a user through starting an import (choose source, query, quantity)</w:t>
              <w:br/>
              <w:t>Provides a topic-run mode with a saved progress file for resuming later</w:t>
              <w:br/>
              <w:t>Prints progress updates (“heartbeats”) during long-running imports</w:t>
            </w:r>
          </w:p>
        </w:tc>
      </w:tr>
      <w:tr>
        <w:tc>
          <w:tcPr>
            <w:tcW w:type="dxa" w:w="4320"/>
          </w:tcPr>
          <w:p>
            <w:r>
              <w:t>Topics Runner (Non-interactive CLI)</w:t>
            </w:r>
          </w:p>
        </w:tc>
        <w:tc>
          <w:tcPr>
            <w:tcW w:type="dxa" w:w="4320"/>
          </w:tcPr>
          <w:p>
            <w:r>
              <w:t>Runs large topic imports from command-line flags (target, per-topic, sources, resume, dry-run)</w:t>
              <w:br/>
              <w:t>Supports a dry-run mode that previews remaining work without importing</w:t>
              <w:br/>
              <w:t>Tracks failures per topic and retries with increasing wait times</w:t>
            </w:r>
          </w:p>
        </w:tc>
      </w:tr>
      <w:tr>
        <w:tc>
          <w:tcPr>
            <w:tcW w:type="dxa" w:w="4320"/>
          </w:tcPr>
          <w:p>
            <w:r>
              <w:t>Backfill Jobs</w:t>
            </w:r>
          </w:p>
        </w:tc>
        <w:tc>
          <w:tcPr>
            <w:tcW w:type="dxa" w:w="4320"/>
          </w:tcPr>
          <w:p>
            <w:r>
              <w:t>Improves existing records after initial import (adds missing search-ready fields)</w:t>
              <w:br/>
              <w:t>Fills in missing meaning-based representations for older items</w:t>
              <w:br/>
              <w:t>Designed to be safe to run multiple times as data evolves</w:t>
            </w:r>
          </w:p>
        </w:tc>
      </w:tr>
      <w:tr>
        <w:tc>
          <w:tcPr>
            <w:tcW w:type="dxa" w:w="4320"/>
          </w:tcPr>
          <w:p>
            <w:r>
              <w:t>Backfill: Search-ready Text Fields (TSV)</w:t>
            </w:r>
          </w:p>
        </w:tc>
        <w:tc>
          <w:tcPr>
            <w:tcW w:type="dxa" w:w="4320"/>
          </w:tcPr>
          <w:p>
            <w:r>
              <w:t>Rebuilds the database’s search-ready text fields for papers and passages</w:t>
              <w:br/>
              <w:t>Ensures keyword searching stays accurate after data changes</w:t>
            </w:r>
          </w:p>
        </w:tc>
      </w:tr>
      <w:tr>
        <w:tc>
          <w:tcPr>
            <w:tcW w:type="dxa" w:w="4320"/>
          </w:tcPr>
          <w:p>
            <w:r>
              <w:t>Backfill: Missing Meaning Representations (Embeddings)</w:t>
            </w:r>
          </w:p>
        </w:tc>
        <w:tc>
          <w:tcPr>
            <w:tcW w:type="dxa" w:w="4320"/>
          </w:tcPr>
          <w:p>
            <w:r>
              <w:t>Finds records missing meaning-representations and fills them in batches</w:t>
              <w:br/>
              <w:t>Updates papers and passages separately</w:t>
              <w:br/>
              <w:t>Uses a controlled batch size to avoid overloading the system</w:t>
            </w:r>
          </w:p>
        </w:tc>
      </w:tr>
      <w:tr>
        <w:tc>
          <w:tcPr>
            <w:tcW w:type="dxa" w:w="4320"/>
          </w:tcPr>
          <w:p>
            <w:r>
              <w:t>Document Processing (PDF + Chunking Utilities)</w:t>
            </w:r>
          </w:p>
        </w:tc>
        <w:tc>
          <w:tcPr>
            <w:tcW w:type="dxa" w:w="4320"/>
          </w:tcPr>
          <w:p>
            <w:r>
              <w:t>Extracts readable text from PDFs when available</w:t>
              <w:br/>
              <w:t>Splits long documents into smaller passages for better searching and previews</w:t>
              <w:br/>
              <w:t>Provides shared reliability tools used during import (retries and pacing)</w:t>
            </w:r>
          </w:p>
        </w:tc>
      </w:tr>
      <w:tr>
        <w:tc>
          <w:tcPr>
            <w:tcW w:type="dxa" w:w="4320"/>
          </w:tcPr>
          <w:p>
            <w:r>
              <w:t>Contact / Email Delivery</w:t>
            </w:r>
          </w:p>
        </w:tc>
        <w:tc>
          <w:tcPr>
            <w:tcW w:type="dxa" w:w="4320"/>
          </w:tcPr>
          <w:p>
            <w:r>
              <w:t>Allows users to send messages/feedback to the project team</w:t>
              <w:br/>
              <w:t>Uses configurable email settings so it can work in different deployments</w:t>
            </w:r>
          </w:p>
        </w:tc>
      </w:tr>
      <w:tr>
        <w:tc>
          <w:tcPr>
            <w:tcW w:type="dxa" w:w="4320"/>
          </w:tcPr>
          <w:p>
            <w:r>
              <w:t>Web UI (Static Playground + Docs)</w:t>
            </w:r>
          </w:p>
        </w:tc>
        <w:tc>
          <w:tcPr>
            <w:tcW w:type="dxa" w:w="4320"/>
          </w:tcPr>
          <w:p>
            <w:r>
              <w:t>Provides a simple website for documentation and trying the search features</w:t>
              <w:br/>
              <w:t>Includes a playground/test pages for sending example searches</w:t>
              <w:br/>
              <w:t>Can be pointed at a different server address when needed (e.g., demo/public link)</w:t>
              <w:br/>
              <w:t>Serves the website pages from standard paths (home and /web)</w:t>
            </w:r>
          </w:p>
        </w:tc>
      </w:tr>
      <w:tr>
        <w:tc>
          <w:tcPr>
            <w:tcW w:type="dxa" w:w="4320"/>
          </w:tcPr>
          <w:p>
            <w:r>
              <w:t>Web Page: Landing Page (Home)</w:t>
            </w:r>
          </w:p>
        </w:tc>
        <w:tc>
          <w:tcPr>
            <w:tcW w:type="dxa" w:w="4320"/>
          </w:tcPr>
          <w:p>
            <w:r>
              <w:t>Introduces the product and key features to new users</w:t>
              <w:br/>
              <w:t>Provides navigation to the API docs and the search playground</w:t>
              <w:br/>
              <w:t>Includes a contact form that sends messages to the backend contact endpoint</w:t>
            </w:r>
          </w:p>
        </w:tc>
      </w:tr>
      <w:tr>
        <w:tc>
          <w:tcPr>
            <w:tcW w:type="dxa" w:w="4320"/>
          </w:tcPr>
          <w:p>
            <w:r>
              <w:t>Web Page: Search Playground</w:t>
            </w:r>
          </w:p>
        </w:tc>
        <w:tc>
          <w:tcPr>
            <w:tcW w:type="dxa" w:w="4320"/>
          </w:tcPr>
          <w:p>
            <w:r>
              <w:t>Lets users run searches and compare result columns visually</w:t>
              <w:br/>
              <w:t>Uses the proxied API path by default (so one public link works for both web and API)</w:t>
              <w:br/>
              <w:t>Supports providing an API key in the UI when access control is enabled</w:t>
            </w:r>
          </w:p>
        </w:tc>
      </w:tr>
      <w:tr>
        <w:tc>
          <w:tcPr>
            <w:tcW w:type="dxa" w:w="4320"/>
          </w:tcPr>
          <w:p>
            <w:r>
              <w:t>Web Page: API Documentation</w:t>
            </w:r>
          </w:p>
        </w:tc>
        <w:tc>
          <w:tcPr>
            <w:tcW w:type="dxa" w:w="4320"/>
          </w:tcPr>
          <w:p>
            <w:r>
              <w:t>Explains request/response formats for each endpoint with examples</w:t>
              <w:br/>
              <w:t>Documents how authentication and rate limits work</w:t>
              <w:br/>
              <w:t>Serves as a static reference page (no login required)</w:t>
            </w:r>
          </w:p>
        </w:tc>
      </w:tr>
      <w:tr>
        <w:tc>
          <w:tcPr>
            <w:tcW w:type="dxa" w:w="4320"/>
          </w:tcPr>
          <w:p>
            <w:r>
              <w:t>Reverse Proxy (Single Public Entry Point)</w:t>
            </w:r>
          </w:p>
        </w:tc>
        <w:tc>
          <w:tcPr>
            <w:tcW w:type="dxa" w:w="4320"/>
          </w:tcPr>
          <w:p>
            <w:r>
              <w:t>Routes website ‘API’ requests to the backend automatically so users only need one public link</w:t>
              <w:br/>
              <w:t>Keeps the website and API under one address for simpler demos and deployments</w:t>
            </w:r>
          </w:p>
        </w:tc>
      </w:tr>
      <w:tr>
        <w:tc>
          <w:tcPr>
            <w:tcW w:type="dxa" w:w="4320"/>
          </w:tcPr>
          <w:p>
            <w:r>
              <w:t>Containerization / Local Deployment</w:t>
            </w:r>
          </w:p>
        </w:tc>
        <w:tc>
          <w:tcPr>
            <w:tcW w:type="dxa" w:w="4320"/>
          </w:tcPr>
          <w:p>
            <w:r>
              <w:t>Runs the whole system locally in a consistent, repeatable way</w:t>
              <w:br/>
              <w:t>Starts parts in the right order and checks readiness before use</w:t>
              <w:br/>
              <w:t>Supports using pre-downloaded models to reduce setup time and avoid repeated downloads</w:t>
            </w:r>
          </w:p>
        </w:tc>
      </w:tr>
      <w:tr>
        <w:tc>
          <w:tcPr>
            <w:tcW w:type="dxa" w:w="4320"/>
          </w:tcPr>
          <w:p>
            <w:r>
              <w:t>Docker Compose: Database Service</w:t>
            </w:r>
          </w:p>
        </w:tc>
        <w:tc>
          <w:tcPr>
            <w:tcW w:type="dxa" w:w="4320"/>
          </w:tcPr>
          <w:p>
            <w:r>
              <w:t>Provides a local database for storing papers and search data</w:t>
              <w:br/>
              <w:t>Keeps data across restarts using a persistent volume</w:t>
              <w:br/>
              <w:t>Includes a health check so other services can wait until it’s ready</w:t>
            </w:r>
          </w:p>
        </w:tc>
      </w:tr>
      <w:tr>
        <w:tc>
          <w:tcPr>
            <w:tcW w:type="dxa" w:w="4320"/>
          </w:tcPr>
          <w:p>
            <w:r>
              <w:t>Docker Compose: Embedding Service</w:t>
            </w:r>
          </w:p>
        </w:tc>
        <w:tc>
          <w:tcPr>
            <w:tcW w:type="dxa" w:w="4320"/>
          </w:tcPr>
          <w:p>
            <w:r>
              <w:t>Runs the text-to-number service used for meaning-based search</w:t>
              <w:br/>
              <w:t>Exposes a health endpoint to confirm readiness</w:t>
              <w:br/>
              <w:t>Allows switching the model through configuration</w:t>
            </w:r>
          </w:p>
        </w:tc>
      </w:tr>
      <w:tr>
        <w:tc>
          <w:tcPr>
            <w:tcW w:type="dxa" w:w="4320"/>
          </w:tcPr>
          <w:p>
            <w:r>
              <w:t>Docker Compose: Reranker Service</w:t>
            </w:r>
          </w:p>
        </w:tc>
        <w:tc>
          <w:tcPr>
            <w:tcW w:type="dxa" w:w="4320"/>
          </w:tcPr>
          <w:p>
            <w:r>
              <w:t>Runs the result re-ordering service used to improve relevance quality</w:t>
              <w:br/>
              <w:t>Exposes a health endpoint to confirm readiness</w:t>
              <w:br/>
              <w:t>Allows switching the model through configuration</w:t>
            </w:r>
          </w:p>
        </w:tc>
      </w:tr>
      <w:tr>
        <w:tc>
          <w:tcPr>
            <w:tcW w:type="dxa" w:w="4320"/>
          </w:tcPr>
          <w:p>
            <w:r>
              <w:t>Docker Compose: API Service</w:t>
            </w:r>
          </w:p>
        </w:tc>
        <w:tc>
          <w:tcPr>
            <w:tcW w:type="dxa" w:w="4320"/>
          </w:tcPr>
          <w:p>
            <w:r>
              <w:t>Runs the backend that connects the web UI, database, and model services</w:t>
              <w:br/>
              <w:t>Configured to use internal service addresses when running in Docker</w:t>
              <w:br/>
              <w:t>Includes a health check for automated startup and monitoring</w:t>
            </w:r>
          </w:p>
        </w:tc>
      </w:tr>
      <w:tr>
        <w:tc>
          <w:tcPr>
            <w:tcW w:type="dxa" w:w="4320"/>
          </w:tcPr>
          <w:p>
            <w:r>
              <w:t>Docker Compose: Schema Setup Job</w:t>
            </w:r>
          </w:p>
        </w:tc>
        <w:tc>
          <w:tcPr>
            <w:tcW w:type="dxa" w:w="4320"/>
          </w:tcPr>
          <w:p>
            <w:r>
              <w:t>Applies the database setup script automatically</w:t>
              <w:br/>
              <w:t>Waits for the database health check before running</w:t>
              <w:br/>
              <w:t>Designed to be safe even if run multiple times</w:t>
            </w:r>
          </w:p>
        </w:tc>
      </w:tr>
      <w:tr>
        <w:tc>
          <w:tcPr>
            <w:tcW w:type="dxa" w:w="4320"/>
          </w:tcPr>
          <w:p>
            <w:r>
              <w:t>Docker Compose: Web Service</w:t>
            </w:r>
          </w:p>
        </w:tc>
        <w:tc>
          <w:tcPr>
            <w:tcW w:type="dxa" w:w="4320"/>
          </w:tcPr>
          <w:p>
            <w:r>
              <w:t>Serves the static website and proxies API requests under the same address</w:t>
              <w:br/>
              <w:t>Supports live updates to static files via a mounted folder during development</w:t>
            </w:r>
          </w:p>
        </w:tc>
      </w:tr>
      <w:tr>
        <w:tc>
          <w:tcPr>
            <w:tcW w:type="dxa" w:w="4320"/>
          </w:tcPr>
          <w:p>
            <w:r>
              <w:t>Testing &amp; CI Signals</w:t>
            </w:r>
          </w:p>
        </w:tc>
        <w:tc>
          <w:tcPr>
            <w:tcW w:type="dxa" w:w="4320"/>
          </w:tcPr>
          <w:p>
            <w:r>
              <w:t>Small tests to validate key functions and rules</w:t>
              <w:br/>
              <w:t>System-level tests to confirm components work together as expected</w:t>
              <w:br/>
              <w:t>Browser-based checks to ensure the website and playground behave correctly</w:t>
              <w:br/>
              <w:t>Quality checks for supporting ML services, including coverage targets</w:t>
            </w:r>
          </w:p>
        </w:tc>
      </w:tr>
      <w:tr>
        <w:tc>
          <w:tcPr>
            <w:tcW w:type="dxa" w:w="4320"/>
          </w:tcPr>
          <w:p>
            <w:r>
              <w:t>Observability / Operations</w:t>
            </w:r>
          </w:p>
        </w:tc>
        <w:tc>
          <w:tcPr>
            <w:tcW w:type="dxa" w:w="4320"/>
          </w:tcPr>
          <w:p>
            <w:r>
              <w:t>Provides simple “is it running?” checks for each service</w:t>
              <w:br/>
              <w:t>Exposes operational information useful for monitoring and troubleshooting (where enabled)</w:t>
              <w:br/>
              <w:t>Includes safe default settings that reduce risk during public demos or heavy use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