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Web UAT test cases (functional)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Test Case Scenario ID</w:t>
            </w:r>
          </w:p>
        </w:tc>
        <w:tc>
          <w:tcPr>
            <w:tcW w:type="dxa" w:w="1728"/>
          </w:tcPr>
          <w:p>
            <w:r>
              <w:t>Test Case Scenario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Actual Input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</w:tr>
      <w:tr>
        <w:tc>
          <w:tcPr>
            <w:tcW w:type="dxa" w:w="1728"/>
          </w:tcPr>
          <w:p>
            <w:r>
              <w:t>KN-F-UAT-01</w:t>
            </w:r>
          </w:p>
        </w:tc>
        <w:tc>
          <w:tcPr>
            <w:tcW w:type="dxa" w:w="1728"/>
          </w:tcPr>
          <w:p>
            <w:r>
              <w:t>Web home page loads and can open API documentation</w:t>
            </w:r>
          </w:p>
        </w:tc>
        <w:tc>
          <w:tcPr>
            <w:tcW w:type="dxa" w:w="1728"/>
          </w:tcPr>
          <w:p>
            <w:r>
              <w:t>Open the KnowWhere website, then click “API” in the top menu</w:t>
            </w:r>
          </w:p>
        </w:tc>
        <w:tc>
          <w:tcPr>
            <w:tcW w:type="dxa" w:w="1728"/>
          </w:tcPr>
          <w:p>
            <w:r>
              <w:t>Website URL: the KnowWhere site (example: http://localhost:8080/web/index.html)</w:t>
            </w:r>
          </w:p>
        </w:tc>
        <w:tc>
          <w:tcPr>
            <w:tcW w:type="dxa" w:w="1728"/>
          </w:tcPr>
          <w:p>
            <w:r>
              <w:t>The home page loads and the API documentation page opens</w:t>
            </w:r>
          </w:p>
        </w:tc>
      </w:tr>
      <w:tr>
        <w:tc>
          <w:tcPr>
            <w:tcW w:type="dxa" w:w="1728"/>
          </w:tcPr>
          <w:p>
            <w:r>
              <w:t>KN-F-UAT-02</w:t>
            </w:r>
          </w:p>
        </w:tc>
        <w:tc>
          <w:tcPr>
            <w:tcW w:type="dxa" w:w="1728"/>
          </w:tcPr>
          <w:p>
            <w:r>
              <w:t>Web search page loads and shows search controls</w:t>
            </w:r>
          </w:p>
        </w:tc>
        <w:tc>
          <w:tcPr>
            <w:tcW w:type="dxa" w:w="1728"/>
          </w:tcPr>
          <w:p>
            <w:r>
              <w:t>Open the KnowWhere Search page</w:t>
            </w:r>
          </w:p>
        </w:tc>
        <w:tc>
          <w:tcPr>
            <w:tcW w:type="dxa" w:w="1728"/>
          </w:tcPr>
          <w:p>
            <w:r>
              <w:t>Website URL: the KnowWhere Search page (example: http://localhost:8080/web/test.html)</w:t>
            </w:r>
          </w:p>
        </w:tc>
        <w:tc>
          <w:tcPr>
            <w:tcW w:type="dxa" w:w="1728"/>
          </w:tcPr>
          <w:p>
            <w:r>
              <w:t>The search page loads and you can see a search box, a Search button, and an area where results will appear</w:t>
            </w:r>
          </w:p>
        </w:tc>
      </w:tr>
      <w:tr>
        <w:tc>
          <w:tcPr>
            <w:tcW w:type="dxa" w:w="1728"/>
          </w:tcPr>
          <w:p>
            <w:r>
              <w:t>KN-F-UAT-03</w:t>
            </w:r>
          </w:p>
        </w:tc>
        <w:tc>
          <w:tcPr>
            <w:tcW w:type="dxa" w:w="1728"/>
          </w:tcPr>
          <w:p>
            <w:r>
              <w:t>Web search can run a query and show results</w:t>
            </w:r>
          </w:p>
        </w:tc>
        <w:tc>
          <w:tcPr>
            <w:tcW w:type="dxa" w:w="1728"/>
          </w:tcPr>
          <w:p>
            <w:r>
              <w:t>Type a search query and click Search</w:t>
            </w:r>
          </w:p>
        </w:tc>
        <w:tc>
          <w:tcPr>
            <w:tcW w:type="dxa" w:w="1728"/>
          </w:tcPr>
          <w:p>
            <w:r>
              <w:t>Query text: graph neural networks</w:t>
            </w:r>
          </w:p>
        </w:tc>
        <w:tc>
          <w:tcPr>
            <w:tcW w:type="dxa" w:w="1728"/>
          </w:tcPr>
          <w:p>
            <w:r>
              <w:t>The search completes without showing an error message and at least one result appears</w:t>
            </w:r>
          </w:p>
        </w:tc>
      </w:tr>
      <w:tr>
        <w:tc>
          <w:tcPr>
            <w:tcW w:type="dxa" w:w="1728"/>
          </w:tcPr>
          <w:p>
            <w:r>
              <w:t>KN-F-UAT-04</w:t>
            </w:r>
          </w:p>
        </w:tc>
        <w:tc>
          <w:tcPr>
            <w:tcW w:type="dxa" w:w="1728"/>
          </w:tcPr>
          <w:p>
            <w:r>
              <w:t>Web search shows two result columns (Standard vs KnowWhere)</w:t>
            </w:r>
          </w:p>
        </w:tc>
        <w:tc>
          <w:tcPr>
            <w:tcW w:type="dxa" w:w="1728"/>
          </w:tcPr>
          <w:p>
            <w:r>
              <w:t>Open the Search page and observe the results area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Two columns are shown: Standard Search and KnowWhere Search</w:t>
            </w:r>
          </w:p>
        </w:tc>
      </w:tr>
      <w:tr>
        <w:tc>
          <w:tcPr>
            <w:tcW w:type="dxa" w:w="1728"/>
          </w:tcPr>
          <w:p>
            <w:r>
              <w:t>KN-F-UAT-05</w:t>
            </w:r>
          </w:p>
        </w:tc>
        <w:tc>
          <w:tcPr>
            <w:tcW w:type="dxa" w:w="1728"/>
          </w:tcPr>
          <w:p>
            <w:r>
              <w:t>Web search shows a “Standard Search” results area</w:t>
            </w:r>
          </w:p>
        </w:tc>
        <w:tc>
          <w:tcPr>
            <w:tcW w:type="dxa" w:w="1728"/>
          </w:tcPr>
          <w:p>
            <w:r>
              <w:t>Perform a search and view the Standard Search column</w:t>
            </w:r>
          </w:p>
        </w:tc>
        <w:tc>
          <w:tcPr>
            <w:tcW w:type="dxa" w:w="1728"/>
          </w:tcPr>
          <w:p>
            <w:r>
              <w:t>Query text: machine learning</w:t>
            </w:r>
          </w:p>
        </w:tc>
        <w:tc>
          <w:tcPr>
            <w:tcW w:type="dxa" w:w="1728"/>
          </w:tcPr>
          <w:p>
            <w:r>
              <w:t>Standard Search results area shows items (or a clear “no results” state if dataset is empty)</w:t>
            </w:r>
          </w:p>
        </w:tc>
      </w:tr>
      <w:tr>
        <w:tc>
          <w:tcPr>
            <w:tcW w:type="dxa" w:w="1728"/>
          </w:tcPr>
          <w:p>
            <w:r>
              <w:t>KN-F-UAT-06</w:t>
            </w:r>
          </w:p>
        </w:tc>
        <w:tc>
          <w:tcPr>
            <w:tcW w:type="dxa" w:w="1728"/>
          </w:tcPr>
          <w:p>
            <w:r>
              <w:t>Web search shows a “KnowWhere Search” results area</w:t>
            </w:r>
          </w:p>
        </w:tc>
        <w:tc>
          <w:tcPr>
            <w:tcW w:type="dxa" w:w="1728"/>
          </w:tcPr>
          <w:p>
            <w:r>
              <w:t>Perform a search and view the KnowWhere Search column</w:t>
            </w:r>
          </w:p>
        </w:tc>
        <w:tc>
          <w:tcPr>
            <w:tcW w:type="dxa" w:w="1728"/>
          </w:tcPr>
          <w:p>
            <w:r>
              <w:t>Query text: machine learning</w:t>
            </w:r>
          </w:p>
        </w:tc>
        <w:tc>
          <w:tcPr>
            <w:tcW w:type="dxa" w:w="1728"/>
          </w:tcPr>
          <w:p>
            <w:r>
              <w:t>KnowWhere Search results area shows items (or a clear “no results” state if dataset is empty)</w:t>
            </w:r>
          </w:p>
        </w:tc>
      </w:tr>
      <w:tr>
        <w:tc>
          <w:tcPr>
            <w:tcW w:type="dxa" w:w="1728"/>
          </w:tcPr>
          <w:p>
            <w:r>
              <w:t>KN-F-UAT-07</w:t>
            </w:r>
          </w:p>
        </w:tc>
        <w:tc>
          <w:tcPr>
            <w:tcW w:type="dxa" w:w="1728"/>
          </w:tcPr>
          <w:p>
            <w:r>
              <w:t>Web search supports pagination controls</w:t>
            </w:r>
          </w:p>
        </w:tc>
        <w:tc>
          <w:tcPr>
            <w:tcW w:type="dxa" w:w="1728"/>
          </w:tcPr>
          <w:p>
            <w:r>
              <w:t>Perform a search that returns more than one page of results</w:t>
            </w:r>
          </w:p>
        </w:tc>
        <w:tc>
          <w:tcPr>
            <w:tcW w:type="dxa" w:w="1728"/>
          </w:tcPr>
          <w:p>
            <w:r>
              <w:t>Query text: any query that yields many results in your dataset</w:t>
            </w:r>
          </w:p>
        </w:tc>
        <w:tc>
          <w:tcPr>
            <w:tcW w:type="dxa" w:w="1728"/>
          </w:tcPr>
          <w:p>
            <w:r>
              <w:t>Pagination controls appear (top and/or bottom) and you can move between pages</w:t>
            </w:r>
          </w:p>
        </w:tc>
      </w:tr>
      <w:tr>
        <w:tc>
          <w:tcPr>
            <w:tcW w:type="dxa" w:w="1728"/>
          </w:tcPr>
          <w:p>
            <w:r>
              <w:t>KN-F-UAT-08</w:t>
            </w:r>
          </w:p>
        </w:tc>
        <w:tc>
          <w:tcPr>
            <w:tcW w:type="dxa" w:w="1728"/>
          </w:tcPr>
          <w:p>
            <w:r>
              <w:t>Web search accepts a long query without breaking the UI</w:t>
            </w:r>
          </w:p>
        </w:tc>
        <w:tc>
          <w:tcPr>
            <w:tcW w:type="dxa" w:w="1728"/>
          </w:tcPr>
          <w:p>
            <w:r>
              <w:t>Paste a long query and click Search</w:t>
            </w:r>
          </w:p>
        </w:tc>
        <w:tc>
          <w:tcPr>
            <w:tcW w:type="dxa" w:w="1728"/>
          </w:tcPr>
          <w:p>
            <w:r>
              <w:t>Query text (long): I am looking for research papers about using graph neural networks for molecular property prediction, including message passing neural networks, attention-based GNNs, benchmarks like QM9, and comparisons to transformer models</w:t>
            </w:r>
          </w:p>
        </w:tc>
        <w:tc>
          <w:tcPr>
            <w:tcW w:type="dxa" w:w="1728"/>
          </w:tcPr>
          <w:p>
            <w:r>
              <w:t>The page remains responsive, the query stays visible/scrollable in the input, and results (or a clear “no results” state) appear without showing an error message</w:t>
            </w:r>
          </w:p>
        </w:tc>
      </w:tr>
      <w:tr>
        <w:tc>
          <w:tcPr>
            <w:tcW w:type="dxa" w:w="1728"/>
          </w:tcPr>
          <w:p>
            <w:r>
              <w:t>KN-F-UAT-09</w:t>
            </w:r>
          </w:p>
        </w:tc>
        <w:tc>
          <w:tcPr>
            <w:tcW w:type="dxa" w:w="1728"/>
          </w:tcPr>
          <w:p>
            <w:r>
              <w:t>Web search tolerates a misspelled query and still completes</w:t>
            </w:r>
          </w:p>
        </w:tc>
        <w:tc>
          <w:tcPr>
            <w:tcW w:type="dxa" w:w="1728"/>
          </w:tcPr>
          <w:p>
            <w:r>
              <w:t>Type a misspelled query and click Search</w:t>
            </w:r>
          </w:p>
        </w:tc>
        <w:tc>
          <w:tcPr>
            <w:tcW w:type="dxa" w:w="1728"/>
          </w:tcPr>
          <w:p>
            <w:r>
              <w:t>Query text (misspelled): grph nueral netwroks moleculs</w:t>
            </w:r>
          </w:p>
        </w:tc>
        <w:tc>
          <w:tcPr>
            <w:tcW w:type="dxa" w:w="1728"/>
          </w:tcPr>
          <w:p>
            <w:r>
              <w:t>The search completes without the page showing an error message; results may vary, but the UI should not break</w:t>
            </w:r>
          </w:p>
        </w:tc>
      </w:tr>
      <w:tr>
        <w:tc>
          <w:tcPr>
            <w:tcW w:type="dxa" w:w="1728"/>
          </w:tcPr>
          <w:p>
            <w:r>
              <w:t>KN-F-UAT-10</w:t>
            </w:r>
          </w:p>
        </w:tc>
        <w:tc>
          <w:tcPr>
            <w:tcW w:type="dxa" w:w="1728"/>
          </w:tcPr>
          <w:p>
            <w:r>
              <w:t>Home page “Get Started” button opens the Search page</w:t>
            </w:r>
          </w:p>
        </w:tc>
        <w:tc>
          <w:tcPr>
            <w:tcW w:type="dxa" w:w="1728"/>
          </w:tcPr>
          <w:p>
            <w:r>
              <w:t>On the home page, click “Get Started”</w:t>
            </w:r>
          </w:p>
        </w:tc>
        <w:tc>
          <w:tcPr>
            <w:tcW w:type="dxa" w:w="1728"/>
          </w:tcPr>
          <w:p>
            <w:r>
              <w:t>Website URL: Home page</w:t>
            </w:r>
          </w:p>
        </w:tc>
        <w:tc>
          <w:tcPr>
            <w:tcW w:type="dxa" w:w="1728"/>
          </w:tcPr>
          <w:p>
            <w:r>
              <w:t>You are taken to the Search page</w:t>
            </w:r>
          </w:p>
        </w:tc>
      </w:tr>
      <w:tr>
        <w:tc>
          <w:tcPr>
            <w:tcW w:type="dxa" w:w="1728"/>
          </w:tcPr>
          <w:p>
            <w:r>
              <w:t>KN-F-UAT-11</w:t>
            </w:r>
          </w:p>
        </w:tc>
        <w:tc>
          <w:tcPr>
            <w:tcW w:type="dxa" w:w="1728"/>
          </w:tcPr>
          <w:p>
            <w:r>
              <w:t>Home page top-menu “Get Started” opens the Search page</w:t>
            </w:r>
          </w:p>
        </w:tc>
        <w:tc>
          <w:tcPr>
            <w:tcW w:type="dxa" w:w="1728"/>
          </w:tcPr>
          <w:p>
            <w:r>
              <w:t>On the home page, click “Get Started” in the top menu</w:t>
            </w:r>
          </w:p>
        </w:tc>
        <w:tc>
          <w:tcPr>
            <w:tcW w:type="dxa" w:w="1728"/>
          </w:tcPr>
          <w:p>
            <w:r>
              <w:t>Website URL: Home page</w:t>
            </w:r>
          </w:p>
        </w:tc>
        <w:tc>
          <w:tcPr>
            <w:tcW w:type="dxa" w:w="1728"/>
          </w:tcPr>
          <w:p>
            <w:r>
              <w:t>You are taken to the Search page</w:t>
            </w:r>
          </w:p>
        </w:tc>
      </w:tr>
      <w:tr>
        <w:tc>
          <w:tcPr>
            <w:tcW w:type="dxa" w:w="1728"/>
          </w:tcPr>
          <w:p>
            <w:r>
              <w:t>KN-F-UAT-12</w:t>
            </w:r>
          </w:p>
        </w:tc>
        <w:tc>
          <w:tcPr>
            <w:tcW w:type="dxa" w:w="1728"/>
          </w:tcPr>
          <w:p>
            <w:r>
              <w:t>Home page menu can jump to “Features”</w:t>
            </w:r>
          </w:p>
        </w:tc>
        <w:tc>
          <w:tcPr>
            <w:tcW w:type="dxa" w:w="1728"/>
          </w:tcPr>
          <w:p>
            <w:r>
              <w:t>On the home page, click “Features” in the top menu</w:t>
            </w:r>
          </w:p>
        </w:tc>
        <w:tc>
          <w:tcPr>
            <w:tcW w:type="dxa" w:w="1728"/>
          </w:tcPr>
          <w:p>
            <w:r>
              <w:t>Menu item: Features</w:t>
            </w:r>
          </w:p>
        </w:tc>
        <w:tc>
          <w:tcPr>
            <w:tcW w:type="dxa" w:w="1728"/>
          </w:tcPr>
          <w:p>
            <w:r>
              <w:t>The page scrolls/jumps to the Features section</w:t>
            </w:r>
          </w:p>
        </w:tc>
      </w:tr>
      <w:tr>
        <w:tc>
          <w:tcPr>
            <w:tcW w:type="dxa" w:w="1728"/>
          </w:tcPr>
          <w:p>
            <w:r>
              <w:t>KN-F-UAT-13</w:t>
            </w:r>
          </w:p>
        </w:tc>
        <w:tc>
          <w:tcPr>
            <w:tcW w:type="dxa" w:w="1728"/>
          </w:tcPr>
          <w:p>
            <w:r>
              <w:t>Home page menu can jump to “About”</w:t>
            </w:r>
          </w:p>
        </w:tc>
        <w:tc>
          <w:tcPr>
            <w:tcW w:type="dxa" w:w="1728"/>
          </w:tcPr>
          <w:p>
            <w:r>
              <w:t>On the home page, click “About” in the top menu</w:t>
            </w:r>
          </w:p>
        </w:tc>
        <w:tc>
          <w:tcPr>
            <w:tcW w:type="dxa" w:w="1728"/>
          </w:tcPr>
          <w:p>
            <w:r>
              <w:t>Menu item: About</w:t>
            </w:r>
          </w:p>
        </w:tc>
        <w:tc>
          <w:tcPr>
            <w:tcW w:type="dxa" w:w="1728"/>
          </w:tcPr>
          <w:p>
            <w:r>
              <w:t>The page scrolls/jumps to the About section</w:t>
            </w:r>
          </w:p>
        </w:tc>
      </w:tr>
      <w:tr>
        <w:tc>
          <w:tcPr>
            <w:tcW w:type="dxa" w:w="1728"/>
          </w:tcPr>
          <w:p>
            <w:r>
              <w:t>KN-F-UAT-14</w:t>
            </w:r>
          </w:p>
        </w:tc>
        <w:tc>
          <w:tcPr>
            <w:tcW w:type="dxa" w:w="1728"/>
          </w:tcPr>
          <w:p>
            <w:r>
              <w:t>Home page menu can jump to “Contact”</w:t>
            </w:r>
          </w:p>
        </w:tc>
        <w:tc>
          <w:tcPr>
            <w:tcW w:type="dxa" w:w="1728"/>
          </w:tcPr>
          <w:p>
            <w:r>
              <w:t>On the home page, click “Contact” in the top menu</w:t>
            </w:r>
          </w:p>
        </w:tc>
        <w:tc>
          <w:tcPr>
            <w:tcW w:type="dxa" w:w="1728"/>
          </w:tcPr>
          <w:p>
            <w:r>
              <w:t>Menu item: Contact</w:t>
            </w:r>
          </w:p>
        </w:tc>
        <w:tc>
          <w:tcPr>
            <w:tcW w:type="dxa" w:w="1728"/>
          </w:tcPr>
          <w:p>
            <w:r>
              <w:t>The page scrolls/jumps to the Contact section and the contact form is visible</w:t>
            </w:r>
          </w:p>
        </w:tc>
      </w:tr>
      <w:tr>
        <w:tc>
          <w:tcPr>
            <w:tcW w:type="dxa" w:w="1728"/>
          </w:tcPr>
          <w:p>
            <w:r>
              <w:t>KN-F-UAT-15</w:t>
            </w:r>
          </w:p>
        </w:tc>
        <w:tc>
          <w:tcPr>
            <w:tcW w:type="dxa" w:w="1728"/>
          </w:tcPr>
          <w:p>
            <w:r>
              <w:t>Contact form blocks sending when required fields are empty</w:t>
            </w:r>
          </w:p>
        </w:tc>
        <w:tc>
          <w:tcPr>
            <w:tcW w:type="dxa" w:w="1728"/>
          </w:tcPr>
          <w:p>
            <w:r>
              <w:t>Go to Contact and click “Send Message” without filling the form</w:t>
            </w:r>
          </w:p>
        </w:tc>
        <w:tc>
          <w:tcPr>
            <w:tcW w:type="dxa" w:w="1728"/>
          </w:tcPr>
          <w:p>
            <w:r>
              <w:t>Form fields: leave Name/Email/Message empty</w:t>
            </w:r>
          </w:p>
        </w:tc>
        <w:tc>
          <w:tcPr>
            <w:tcW w:type="dxa" w:w="1728"/>
          </w:tcPr>
          <w:p>
            <w:r>
              <w:t>A message appears telling you to fill out all fields, and the message is not sent</w:t>
            </w:r>
          </w:p>
        </w:tc>
      </w:tr>
      <w:tr>
        <w:tc>
          <w:tcPr>
            <w:tcW w:type="dxa" w:w="1728"/>
          </w:tcPr>
          <w:p>
            <w:r>
              <w:t>KN-F-UAT-16</w:t>
            </w:r>
          </w:p>
        </w:tc>
        <w:tc>
          <w:tcPr>
            <w:tcW w:type="dxa" w:w="1728"/>
          </w:tcPr>
          <w:p>
            <w:r>
              <w:t>Contact form accepts leading/trailing spaces in Name and Message</w:t>
            </w:r>
          </w:p>
        </w:tc>
        <w:tc>
          <w:tcPr>
            <w:tcW w:type="dxa" w:w="1728"/>
          </w:tcPr>
          <w:p>
            <w:r>
              <w:t>Fill out the form using extra spaces and submit</w:t>
            </w:r>
          </w:p>
        </w:tc>
        <w:tc>
          <w:tcPr>
            <w:tcW w:type="dxa" w:w="1728"/>
          </w:tcPr>
          <w:p>
            <w:r>
              <w:t>Name: Ada Email: ada@example.com Role: Student Message: Hello there</w:t>
            </w:r>
          </w:p>
        </w:tc>
        <w:tc>
          <w:tcPr>
            <w:tcW w:type="dxa" w:w="1728"/>
          </w:tcPr>
          <w:p>
            <w:r>
              <w:t>The message is accepted (or fails only for service reasons), and the UI does not show a “fill out all fields” error for whitespace-padded values</w:t>
            </w:r>
          </w:p>
        </w:tc>
      </w:tr>
      <w:tr>
        <w:tc>
          <w:tcPr>
            <w:tcW w:type="dxa" w:w="1728"/>
          </w:tcPr>
          <w:p>
            <w:r>
              <w:t>KN-F-UAT-17</w:t>
            </w:r>
          </w:p>
        </w:tc>
        <w:tc>
          <w:tcPr>
            <w:tcW w:type="dxa" w:w="1728"/>
          </w:tcPr>
          <w:p>
            <w:r>
              <w:t>Contact form blocks sending when Email format is invalid</w:t>
            </w:r>
          </w:p>
        </w:tc>
        <w:tc>
          <w:tcPr>
            <w:tcW w:type="dxa" w:w="1728"/>
          </w:tcPr>
          <w:p>
            <w:r>
              <w:t>Enter an invalid email and try to send</w:t>
            </w:r>
          </w:p>
        </w:tc>
        <w:tc>
          <w:tcPr>
            <w:tcW w:type="dxa" w:w="1728"/>
          </w:tcPr>
          <w:p>
            <w:r>
              <w:t>Name: Ada Email: ada@ Role: Student Message: Hello</w:t>
            </w:r>
          </w:p>
        </w:tc>
        <w:tc>
          <w:tcPr>
            <w:tcW w:type="dxa" w:w="1728"/>
          </w:tcPr>
          <w:p>
            <w:r>
              <w:t>The form blocks sending and shows a validation error (browser validation or an on-page message)</w:t>
            </w:r>
          </w:p>
        </w:tc>
      </w:tr>
      <w:tr>
        <w:tc>
          <w:tcPr>
            <w:tcW w:type="dxa" w:w="1728"/>
          </w:tcPr>
          <w:p>
            <w:r>
              <w:t>KN-F-UAT-18</w:t>
            </w:r>
          </w:p>
        </w:tc>
        <w:tc>
          <w:tcPr>
            <w:tcW w:type="dxa" w:w="1728"/>
          </w:tcPr>
          <w:p>
            <w:r>
              <w:t>Contact form enforces the message length limit</w:t>
            </w:r>
          </w:p>
        </w:tc>
        <w:tc>
          <w:tcPr>
            <w:tcW w:type="dxa" w:w="1728"/>
          </w:tcPr>
          <w:p>
            <w:r>
              <w:t>Type a message longer than the limit and observe the counter</w:t>
            </w:r>
          </w:p>
        </w:tc>
        <w:tc>
          <w:tcPr>
            <w:tcW w:type="dxa" w:w="1728"/>
          </w:tcPr>
          <w:p>
            <w:r>
              <w:t>Message: type until past 250 characters</w:t>
            </w:r>
          </w:p>
        </w:tc>
        <w:tc>
          <w:tcPr>
            <w:tcW w:type="dxa" w:w="1728"/>
          </w:tcPr>
          <w:p>
            <w:r>
              <w:t>You cannot exceed the max length; the counter reflects the limit and the message stays at the maximum allowed length</w:t>
            </w:r>
          </w:p>
        </w:tc>
      </w:tr>
      <w:tr>
        <w:tc>
          <w:tcPr>
            <w:tcW w:type="dxa" w:w="1728"/>
          </w:tcPr>
          <w:p>
            <w:r>
              <w:t>KN-F-UAT-19</w:t>
            </w:r>
          </w:p>
        </w:tc>
        <w:tc>
          <w:tcPr>
            <w:tcW w:type="dxa" w:w="1728"/>
          </w:tcPr>
          <w:p>
            <w:r>
              <w:t>Contact form role can be changed and is accepted</w:t>
            </w:r>
          </w:p>
        </w:tc>
        <w:tc>
          <w:tcPr>
            <w:tcW w:type="dxa" w:w="1728"/>
          </w:tcPr>
          <w:p>
            <w:r>
              <w:t>Choose a different role and submit</w:t>
            </w:r>
          </w:p>
        </w:tc>
        <w:tc>
          <w:tcPr>
            <w:tcW w:type="dxa" w:w="1728"/>
          </w:tcPr>
          <w:p>
            <w:r>
              <w:t>Role: Faculty (or any other option) with valid Name/Email/Message</w:t>
            </w:r>
          </w:p>
        </w:tc>
        <w:tc>
          <w:tcPr>
            <w:tcW w:type="dxa" w:w="1728"/>
          </w:tcPr>
          <w:p>
            <w:r>
              <w:t>The role selection is accepted and the message is sent (or fails only for service reasons)</w:t>
            </w:r>
          </w:p>
        </w:tc>
      </w:tr>
      <w:tr>
        <w:tc>
          <w:tcPr>
            <w:tcW w:type="dxa" w:w="1728"/>
          </w:tcPr>
          <w:p>
            <w:r>
              <w:t>KN-F-UAT-20</w:t>
            </w:r>
          </w:p>
        </w:tc>
        <w:tc>
          <w:tcPr>
            <w:tcW w:type="dxa" w:w="1728"/>
          </w:tcPr>
          <w:p>
            <w:r>
              <w:t>Contact form can send a message successfully</w:t>
            </w:r>
          </w:p>
        </w:tc>
        <w:tc>
          <w:tcPr>
            <w:tcW w:type="dxa" w:w="1728"/>
          </w:tcPr>
          <w:p>
            <w:r>
              <w:t>Fill out the contact form and submit</w:t>
            </w:r>
          </w:p>
        </w:tc>
        <w:tc>
          <w:tcPr>
            <w:tcW w:type="dxa" w:w="1728"/>
          </w:tcPr>
          <w:p>
            <w:r>
              <w:t>Name: Ada Email: ada@example.com Role: Student Message: Hello</w:t>
            </w:r>
          </w:p>
        </w:tc>
        <w:tc>
          <w:tcPr>
            <w:tcW w:type="dxa" w:w="1728"/>
          </w:tcPr>
          <w:p>
            <w:r>
              <w:t>A success message is shown and the form clears (the message is accepted for delivery)</w:t>
            </w:r>
          </w:p>
        </w:tc>
      </w:tr>
      <w:tr>
        <w:tc>
          <w:tcPr>
            <w:tcW w:type="dxa" w:w="1728"/>
          </w:tcPr>
          <w:p>
            <w:r>
              <w:t>KN-F-UAT-21</w:t>
            </w:r>
          </w:p>
        </w:tc>
        <w:tc>
          <w:tcPr>
            <w:tcW w:type="dxa" w:w="1728"/>
          </w:tcPr>
          <w:p>
            <w:r>
              <w:t>Contact form shows an error if sending fails</w:t>
            </w:r>
          </w:p>
        </w:tc>
        <w:tc>
          <w:tcPr>
            <w:tcW w:type="dxa" w:w="1728"/>
          </w:tcPr>
          <w:p>
            <w:r>
              <w:t>Fill out the contact form and submit when the service is unavailable/misconfigured</w:t>
            </w:r>
          </w:p>
        </w:tc>
        <w:tc>
          <w:tcPr>
            <w:tcW w:type="dxa" w:w="1728"/>
          </w:tcPr>
          <w:p>
            <w:r>
              <w:t>Form fields: valid Name/Email/Role/Message</w:t>
            </w:r>
          </w:p>
        </w:tc>
        <w:tc>
          <w:tcPr>
            <w:tcW w:type="dxa" w:w="1728"/>
          </w:tcPr>
          <w:p>
            <w:r>
              <w:t>An error message is shown telling you the message failed to send and you can try again</w:t>
            </w:r>
          </w:p>
        </w:tc>
      </w:tr>
      <w:tr>
        <w:tc>
          <w:tcPr>
            <w:tcW w:type="dxa" w:w="1728"/>
          </w:tcPr>
          <w:p>
            <w:r>
              <w:t>KN-F-UAT-22</w:t>
            </w:r>
          </w:p>
        </w:tc>
        <w:tc>
          <w:tcPr>
            <w:tcW w:type="dxa" w:w="1728"/>
          </w:tcPr>
          <w:p>
            <w:r>
              <w:t>API documentation page loads and shows the left navigation menu</w:t>
            </w:r>
          </w:p>
        </w:tc>
        <w:tc>
          <w:tcPr>
            <w:tcW w:type="dxa" w:w="1728"/>
          </w:tcPr>
          <w:p>
            <w:r>
              <w:t>Open the API documentation page</w:t>
            </w:r>
          </w:p>
        </w:tc>
        <w:tc>
          <w:tcPr>
            <w:tcW w:type="dxa" w:w="1728"/>
          </w:tcPr>
          <w:p>
            <w:r>
              <w:t>Website URL: API documentation page (example: http://localhost:8080/web/api.html)</w:t>
            </w:r>
          </w:p>
        </w:tc>
        <w:tc>
          <w:tcPr>
            <w:tcW w:type="dxa" w:w="1728"/>
          </w:tcPr>
          <w:p>
            <w:r>
              <w:t>The API documentation page loads and a left-side menu is visible with sections like API Documentation, Auth &amp; Rate Limits, Search, Ingest, Embed, Rerank, Health, Stats, Logs, Model Services, Error Codes, and Search</w:t>
            </w:r>
          </w:p>
        </w:tc>
      </w:tr>
      <w:tr>
        <w:tc>
          <w:tcPr>
            <w:tcW w:type="dxa" w:w="1728"/>
          </w:tcPr>
          <w:p>
            <w:r>
              <w:t>KN-F-UAT-23</w:t>
            </w:r>
          </w:p>
        </w:tc>
        <w:tc>
          <w:tcPr>
            <w:tcW w:type="dxa" w:w="1728"/>
          </w:tcPr>
          <w:p>
            <w:r>
              <w:t>API documentation menu items jump to their section</w:t>
            </w:r>
          </w:p>
        </w:tc>
        <w:tc>
          <w:tcPr>
            <w:tcW w:type="dxa" w:w="1728"/>
          </w:tcPr>
          <w:p>
            <w:r>
              <w:t>On the API documentation page, click a menu item (example: “Auth &amp; Rate Limits”)</w:t>
            </w:r>
          </w:p>
        </w:tc>
        <w:tc>
          <w:tcPr>
            <w:tcW w:type="dxa" w:w="1728"/>
          </w:tcPr>
          <w:p>
            <w:r>
              <w:t>Menu item: Auth &amp; Rate Limits</w:t>
            </w:r>
          </w:p>
        </w:tc>
        <w:tc>
          <w:tcPr>
            <w:tcW w:type="dxa" w:w="1728"/>
          </w:tcPr>
          <w:p>
            <w:r>
              <w:t>The page jumps/scrolls to the matching section and its heading is visible</w:t>
            </w:r>
          </w:p>
        </w:tc>
      </w:tr>
      <w:tr>
        <w:tc>
          <w:tcPr>
            <w:tcW w:type="dxa" w:w="1728"/>
          </w:tcPr>
          <w:p>
            <w:r>
              <w:t>KN-F-UAT-24</w:t>
            </w:r>
          </w:p>
        </w:tc>
        <w:tc>
          <w:tcPr>
            <w:tcW w:type="dxa" w:w="1728"/>
          </w:tcPr>
          <w:p>
            <w:r>
              <w:t>API documentation “Search” menu item opens the web search page</w:t>
            </w:r>
          </w:p>
        </w:tc>
        <w:tc>
          <w:tcPr>
            <w:tcW w:type="dxa" w:w="1728"/>
          </w:tcPr>
          <w:p>
            <w:r>
              <w:t>On the API documentation page, click “Search” in the left menu</w:t>
            </w:r>
          </w:p>
        </w:tc>
        <w:tc>
          <w:tcPr>
            <w:tcW w:type="dxa" w:w="1728"/>
          </w:tcPr>
          <w:p>
            <w:r>
              <w:t>Menu item: Search</w:t>
            </w:r>
          </w:p>
        </w:tc>
        <w:tc>
          <w:tcPr>
            <w:tcW w:type="dxa" w:w="1728"/>
          </w:tcPr>
          <w:p>
            <w:r>
              <w:t>The browser opens the KnowWhere Search page</w:t>
            </w:r>
          </w:p>
        </w:tc>
      </w:tr>
      <w:tr>
        <w:tc>
          <w:tcPr>
            <w:tcW w:type="dxa" w:w="1728"/>
          </w:tcPr>
          <w:p>
            <w:r>
              <w:t>KN-F-UAT-25</w:t>
            </w:r>
          </w:p>
        </w:tc>
        <w:tc>
          <w:tcPr>
            <w:tcW w:type="dxa" w:w="1728"/>
          </w:tcPr>
          <w:p>
            <w:r>
              <w:t>API documentation code examples can switch languages (Ingest)</w:t>
            </w:r>
          </w:p>
        </w:tc>
        <w:tc>
          <w:tcPr>
            <w:tcW w:type="dxa" w:w="1728"/>
          </w:tcPr>
          <w:p>
            <w:r>
              <w:t>In the Ingest section, switch the code example tab between cURL / Node.js / Python</w:t>
            </w:r>
          </w:p>
        </w:tc>
        <w:tc>
          <w:tcPr>
            <w:tcW w:type="dxa" w:w="1728"/>
          </w:tcPr>
          <w:p>
            <w:r>
              <w:t>Tabs: cURL, Node.js, Python</w:t>
            </w:r>
          </w:p>
        </w:tc>
        <w:tc>
          <w:tcPr>
            <w:tcW w:type="dxa" w:w="1728"/>
          </w:tcPr>
          <w:p>
            <w:r>
              <w:t>The displayed code example changes when you click each tab</w:t>
            </w:r>
          </w:p>
        </w:tc>
      </w:tr>
      <w:tr>
        <w:tc>
          <w:tcPr>
            <w:tcW w:type="dxa" w:w="1728"/>
          </w:tcPr>
          <w:p>
            <w:r>
              <w:t>KN-F-UAT-26</w:t>
            </w:r>
          </w:p>
        </w:tc>
        <w:tc>
          <w:tcPr>
            <w:tcW w:type="dxa" w:w="1728"/>
          </w:tcPr>
          <w:p>
            <w:r>
              <w:t>API documentation code examples can switch languages (Search)</w:t>
            </w:r>
          </w:p>
        </w:tc>
        <w:tc>
          <w:tcPr>
            <w:tcW w:type="dxa" w:w="1728"/>
          </w:tcPr>
          <w:p>
            <w:r>
              <w:t>In the Search section, switch the code example tab between cURL / Node.js / Python</w:t>
            </w:r>
          </w:p>
        </w:tc>
        <w:tc>
          <w:tcPr>
            <w:tcW w:type="dxa" w:w="1728"/>
          </w:tcPr>
          <w:p>
            <w:r>
              <w:t>Tabs: cURL, Node.js, Python</w:t>
            </w:r>
          </w:p>
        </w:tc>
        <w:tc>
          <w:tcPr>
            <w:tcW w:type="dxa" w:w="1728"/>
          </w:tcPr>
          <w:p>
            <w:r>
              <w:t>The displayed code example changes when you click each tab</w:t>
            </w:r>
          </w:p>
        </w:tc>
      </w:tr>
      <w:tr>
        <w:tc>
          <w:tcPr>
            <w:tcW w:type="dxa" w:w="1728"/>
          </w:tcPr>
          <w:p>
            <w:r>
              <w:t>KN-F-UAT-27</w:t>
            </w:r>
          </w:p>
        </w:tc>
        <w:tc>
          <w:tcPr>
            <w:tcW w:type="dxa" w:w="1728"/>
          </w:tcPr>
          <w:p>
            <w:r>
              <w:t>API documentation code examples can switch languages (Health)</w:t>
            </w:r>
          </w:p>
        </w:tc>
        <w:tc>
          <w:tcPr>
            <w:tcW w:type="dxa" w:w="1728"/>
          </w:tcPr>
          <w:p>
            <w:r>
              <w:t>In the Health section, switch the code example tab between cURL / Node.js / Python</w:t>
            </w:r>
          </w:p>
        </w:tc>
        <w:tc>
          <w:tcPr>
            <w:tcW w:type="dxa" w:w="1728"/>
          </w:tcPr>
          <w:p>
            <w:r>
              <w:t>Tabs: cURL, Node.js, Python</w:t>
            </w:r>
          </w:p>
        </w:tc>
        <w:tc>
          <w:tcPr>
            <w:tcW w:type="dxa" w:w="1728"/>
          </w:tcPr>
          <w:p>
            <w:r>
              <w:t>The displayed code example changes when you click each tab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