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cases (non-functional)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KN-NF-SM-01</w:t>
            </w:r>
          </w:p>
        </w:tc>
        <w:tc>
          <w:tcPr>
            <w:tcW w:type="dxa" w:w="1728"/>
          </w:tcPr>
          <w:p>
            <w:r>
              <w:t>API responds quickly for health checks</w:t>
            </w:r>
          </w:p>
        </w:tc>
        <w:tc>
          <w:tcPr>
            <w:tcW w:type="dxa" w:w="1728"/>
          </w:tcPr>
          <w:p>
            <w:r>
              <w:t>Open the health endpoint and observe responsiveness</w:t>
            </w:r>
          </w:p>
        </w:tc>
        <w:tc>
          <w:tcPr>
            <w:tcW w:type="dxa" w:w="1728"/>
          </w:tcPr>
          <w:p>
            <w:r>
              <w:t>URL: http://localhost:3000/health?services=api</w:t>
            </w:r>
          </w:p>
        </w:tc>
        <w:tc>
          <w:tcPr>
            <w:tcW w:type="dxa" w:w="1728"/>
          </w:tcPr>
          <w:p>
            <w:r>
              <w:t>Response comes back quickly (no “hang”); suitable for a quick deployment check</w:t>
            </w:r>
          </w:p>
        </w:tc>
      </w:tr>
      <w:tr>
        <w:tc>
          <w:tcPr>
            <w:tcW w:type="dxa" w:w="1728"/>
          </w:tcPr>
          <w:p>
            <w:r>
              <w:t>KN-NF-SM-02</w:t>
            </w:r>
          </w:p>
        </w:tc>
        <w:tc>
          <w:tcPr>
            <w:tcW w:type="dxa" w:w="1728"/>
          </w:tcPr>
          <w:p>
            <w:r>
              <w:t>Web pages load without obvious rendering errors</w:t>
            </w:r>
          </w:p>
        </w:tc>
        <w:tc>
          <w:tcPr>
            <w:tcW w:type="dxa" w:w="1728"/>
          </w:tcPr>
          <w:p>
            <w:r>
              <w:t>Open the home page and search page in a browser</w:t>
            </w:r>
          </w:p>
        </w:tc>
        <w:tc>
          <w:tcPr>
            <w:tcW w:type="dxa" w:w="1728"/>
          </w:tcPr>
          <w:p>
            <w:r>
              <w:t>Pages: http://localhost:8080/web/index.html, http://localhost:8080/web/test.html</w:t>
            </w:r>
          </w:p>
        </w:tc>
        <w:tc>
          <w:tcPr>
            <w:tcW w:type="dxa" w:w="1728"/>
          </w:tcPr>
          <w:p>
            <w:r>
              <w:t>Pages load without blank screens or obvious layout breakage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