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23B5" w14:textId="77777777" w:rsidR="00806E1E" w:rsidRPr="00806E1E" w:rsidRDefault="00806E1E" w:rsidP="00806E1E">
      <w:pPr>
        <w:jc w:val="center"/>
        <w:rPr>
          <w:b/>
          <w:bCs/>
          <w:sz w:val="40"/>
          <w:szCs w:val="40"/>
        </w:rPr>
      </w:pPr>
      <w:r w:rsidRPr="00806E1E">
        <w:rPr>
          <w:b/>
          <w:bCs/>
          <w:sz w:val="40"/>
          <w:szCs w:val="40"/>
        </w:rPr>
        <w:t>HEALTHCARE DATASET</w:t>
      </w:r>
      <w:r w:rsidRPr="00806E1E">
        <w:rPr>
          <w:b/>
          <w:bCs/>
          <w:sz w:val="40"/>
          <w:szCs w:val="40"/>
        </w:rPr>
        <w:t xml:space="preserve"> - </w:t>
      </w:r>
      <w:r w:rsidRPr="00806E1E">
        <w:rPr>
          <w:b/>
          <w:bCs/>
          <w:sz w:val="40"/>
          <w:szCs w:val="40"/>
        </w:rPr>
        <w:t>REPORT ANALYSIS</w:t>
      </w:r>
    </w:p>
    <w:p w14:paraId="5376AA1C" w14:textId="77777777" w:rsidR="00806E1E" w:rsidRDefault="00806E1E" w:rsidP="00806E1E">
      <w:pPr>
        <w:jc w:val="center"/>
        <w:rPr>
          <w:b/>
          <w:bCs/>
          <w:sz w:val="36"/>
          <w:szCs w:val="36"/>
        </w:rPr>
      </w:pPr>
    </w:p>
    <w:p w14:paraId="78DCC6F8" w14:textId="7420FED3" w:rsidR="00806E1E" w:rsidRPr="00806E1E" w:rsidRDefault="00806E1E" w:rsidP="00806E1E">
      <w:pPr>
        <w:rPr>
          <w:b/>
          <w:bCs/>
          <w:sz w:val="28"/>
          <w:szCs w:val="28"/>
        </w:rPr>
      </w:pPr>
      <w:r w:rsidRPr="00806E1E">
        <w:rPr>
          <w:b/>
          <w:bCs/>
          <w:sz w:val="28"/>
          <w:szCs w:val="28"/>
        </w:rPr>
        <w:t>DATASET OVERVIEW</w:t>
      </w:r>
    </w:p>
    <w:p w14:paraId="48CA0FC1" w14:textId="77777777" w:rsidR="00806E1E" w:rsidRDefault="00806E1E" w:rsidP="00806E1E">
      <w:r w:rsidRPr="00806E1E">
        <w:t xml:space="preserve">The dataset contains </w:t>
      </w:r>
      <w:r w:rsidRPr="00806E1E">
        <w:rPr>
          <w:b/>
          <w:bCs/>
        </w:rPr>
        <w:t>55,500 patient records</w:t>
      </w:r>
      <w:r w:rsidRPr="00806E1E">
        <w:t xml:space="preserve"> with information about patients, medical conditions, billing, admission type, insurance, medication and other healthcare details. The EDA was performed using </w:t>
      </w:r>
      <w:r w:rsidRPr="00806E1E">
        <w:rPr>
          <w:b/>
          <w:bCs/>
        </w:rPr>
        <w:t>Python, Pandas, Matplotlib and Seaborn</w:t>
      </w:r>
      <w:r w:rsidRPr="00806E1E">
        <w:t>.</w:t>
      </w:r>
    </w:p>
    <w:p w14:paraId="24084589" w14:textId="77777777" w:rsidR="00806E1E" w:rsidRPr="00806E1E" w:rsidRDefault="00806E1E" w:rsidP="00806E1E"/>
    <w:p w14:paraId="0ACB3C1A" w14:textId="4A6157C4" w:rsidR="00806E1E" w:rsidRPr="00806E1E" w:rsidRDefault="00806E1E" w:rsidP="00806E1E">
      <w:pPr>
        <w:rPr>
          <w:b/>
          <w:bCs/>
          <w:sz w:val="28"/>
          <w:szCs w:val="28"/>
        </w:rPr>
      </w:pPr>
      <w:r w:rsidRPr="00806E1E">
        <w:rPr>
          <w:b/>
          <w:bCs/>
          <w:sz w:val="28"/>
          <w:szCs w:val="28"/>
        </w:rPr>
        <w:t>KEY ANALYSIS AND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685"/>
        <w:gridCol w:w="3356"/>
      </w:tblGrid>
      <w:tr w:rsidR="00806E1E" w:rsidRPr="00806E1E" w14:paraId="430B4F66" w14:textId="77777777" w:rsidTr="00806E1E">
        <w:trPr>
          <w:tblHeader/>
          <w:tblCellSpacing w:w="15" w:type="dxa"/>
        </w:trPr>
        <w:tc>
          <w:tcPr>
            <w:tcW w:w="1940" w:type="dxa"/>
            <w:vAlign w:val="center"/>
            <w:hideMark/>
          </w:tcPr>
          <w:p w14:paraId="31CD74E2" w14:textId="77777777" w:rsidR="00806E1E" w:rsidRPr="00806E1E" w:rsidRDefault="00806E1E" w:rsidP="00806E1E">
            <w:pPr>
              <w:rPr>
                <w:b/>
                <w:bCs/>
              </w:rPr>
            </w:pPr>
            <w:r w:rsidRPr="00806E1E">
              <w:rPr>
                <w:b/>
                <w:bCs/>
              </w:rPr>
              <w:t>Analysis</w:t>
            </w:r>
          </w:p>
        </w:tc>
        <w:tc>
          <w:tcPr>
            <w:tcW w:w="3655" w:type="dxa"/>
            <w:vAlign w:val="center"/>
            <w:hideMark/>
          </w:tcPr>
          <w:p w14:paraId="3209C7DC" w14:textId="77777777" w:rsidR="00806E1E" w:rsidRPr="00806E1E" w:rsidRDefault="00806E1E" w:rsidP="00806E1E">
            <w:pPr>
              <w:rPr>
                <w:b/>
                <w:bCs/>
              </w:rPr>
            </w:pPr>
            <w:r w:rsidRPr="00806E1E">
              <w:rPr>
                <w:b/>
                <w:bCs/>
              </w:rPr>
              <w:t>Finding</w:t>
            </w:r>
          </w:p>
        </w:tc>
        <w:tc>
          <w:tcPr>
            <w:tcW w:w="3311" w:type="dxa"/>
            <w:vAlign w:val="center"/>
            <w:hideMark/>
          </w:tcPr>
          <w:p w14:paraId="3C4520E2" w14:textId="77777777" w:rsidR="00806E1E" w:rsidRPr="00806E1E" w:rsidRDefault="00806E1E" w:rsidP="00806E1E">
            <w:pPr>
              <w:rPr>
                <w:b/>
                <w:bCs/>
              </w:rPr>
            </w:pPr>
            <w:r w:rsidRPr="00806E1E">
              <w:rPr>
                <w:b/>
                <w:bCs/>
              </w:rPr>
              <w:t>Insight</w:t>
            </w:r>
          </w:p>
        </w:tc>
      </w:tr>
      <w:tr w:rsidR="00806E1E" w:rsidRPr="00806E1E" w14:paraId="07F92964" w14:textId="77777777" w:rsidTr="00806E1E">
        <w:trPr>
          <w:tblCellSpacing w:w="15" w:type="dxa"/>
        </w:trPr>
        <w:tc>
          <w:tcPr>
            <w:tcW w:w="1940" w:type="dxa"/>
            <w:vAlign w:val="center"/>
            <w:hideMark/>
          </w:tcPr>
          <w:p w14:paraId="23F1D8F8" w14:textId="77777777" w:rsidR="00806E1E" w:rsidRPr="00806E1E" w:rsidRDefault="00806E1E" w:rsidP="00806E1E">
            <w:r w:rsidRPr="00806E1E">
              <w:rPr>
                <w:b/>
                <w:bCs/>
              </w:rPr>
              <w:t>Age &amp; Medical Condition</w:t>
            </w:r>
          </w:p>
        </w:tc>
        <w:tc>
          <w:tcPr>
            <w:tcW w:w="3655" w:type="dxa"/>
            <w:vAlign w:val="center"/>
            <w:hideMark/>
          </w:tcPr>
          <w:p w14:paraId="101D5E90" w14:textId="44FD3FF5" w:rsidR="00806E1E" w:rsidRPr="00806E1E" w:rsidRDefault="00806E1E" w:rsidP="00806E1E">
            <w:r w:rsidRPr="00806E1E">
              <w:t>Age distribution was compared</w:t>
            </w:r>
            <w:r>
              <w:t xml:space="preserve">  </w:t>
            </w:r>
            <w:r w:rsidRPr="00806E1E">
              <w:t xml:space="preserve"> for different medical conditions.</w:t>
            </w:r>
          </w:p>
        </w:tc>
        <w:tc>
          <w:tcPr>
            <w:tcW w:w="3311" w:type="dxa"/>
            <w:vAlign w:val="center"/>
            <w:hideMark/>
          </w:tcPr>
          <w:p w14:paraId="51C18431" w14:textId="77777777" w:rsidR="00806E1E" w:rsidRPr="00806E1E" w:rsidRDefault="00806E1E" w:rsidP="00806E1E">
            <w:r w:rsidRPr="00806E1E">
              <w:t>Helps understand the age pattern of patients with different conditions.</w:t>
            </w:r>
          </w:p>
        </w:tc>
      </w:tr>
      <w:tr w:rsidR="00806E1E" w:rsidRPr="00806E1E" w14:paraId="12CDF5E9" w14:textId="77777777" w:rsidTr="00806E1E">
        <w:trPr>
          <w:tblCellSpacing w:w="15" w:type="dxa"/>
        </w:trPr>
        <w:tc>
          <w:tcPr>
            <w:tcW w:w="1940" w:type="dxa"/>
            <w:vAlign w:val="center"/>
            <w:hideMark/>
          </w:tcPr>
          <w:p w14:paraId="7CB58FC8" w14:textId="77777777" w:rsidR="00806E1E" w:rsidRPr="00806E1E" w:rsidRDefault="00806E1E" w:rsidP="00806E1E">
            <w:r w:rsidRPr="00806E1E">
              <w:rPr>
                <w:b/>
                <w:bCs/>
              </w:rPr>
              <w:t>Gender &amp; Condition</w:t>
            </w:r>
          </w:p>
        </w:tc>
        <w:tc>
          <w:tcPr>
            <w:tcW w:w="3655" w:type="dxa"/>
            <w:vAlign w:val="center"/>
            <w:hideMark/>
          </w:tcPr>
          <w:p w14:paraId="5C59DD2C" w14:textId="77777777" w:rsidR="00806E1E" w:rsidRPr="00806E1E" w:rsidRDefault="00806E1E" w:rsidP="00806E1E">
            <w:r w:rsidRPr="00806E1E">
              <w:t>Male and female patients were compared across medical conditions.</w:t>
            </w:r>
          </w:p>
        </w:tc>
        <w:tc>
          <w:tcPr>
            <w:tcW w:w="3311" w:type="dxa"/>
            <w:vAlign w:val="center"/>
            <w:hideMark/>
          </w:tcPr>
          <w:p w14:paraId="7E86C203" w14:textId="77777777" w:rsidR="00806E1E" w:rsidRPr="00806E1E" w:rsidRDefault="00806E1E" w:rsidP="00806E1E">
            <w:r w:rsidRPr="00806E1E">
              <w:t>Shows how patients are distributed by gender and condition.</w:t>
            </w:r>
          </w:p>
        </w:tc>
      </w:tr>
      <w:tr w:rsidR="00806E1E" w:rsidRPr="00806E1E" w14:paraId="2CA5ACC6" w14:textId="77777777" w:rsidTr="00806E1E">
        <w:trPr>
          <w:tblCellSpacing w:w="15" w:type="dxa"/>
        </w:trPr>
        <w:tc>
          <w:tcPr>
            <w:tcW w:w="1940" w:type="dxa"/>
            <w:vAlign w:val="center"/>
            <w:hideMark/>
          </w:tcPr>
          <w:p w14:paraId="025FB933" w14:textId="77777777" w:rsidR="00806E1E" w:rsidRPr="00806E1E" w:rsidRDefault="00806E1E" w:rsidP="00806E1E">
            <w:r w:rsidRPr="00806E1E">
              <w:rPr>
                <w:b/>
                <w:bCs/>
              </w:rPr>
              <w:t>Billing &amp; Condition</w:t>
            </w:r>
          </w:p>
        </w:tc>
        <w:tc>
          <w:tcPr>
            <w:tcW w:w="3655" w:type="dxa"/>
            <w:vAlign w:val="center"/>
            <w:hideMark/>
          </w:tcPr>
          <w:p w14:paraId="2D508CEE" w14:textId="77777777" w:rsidR="00806E1E" w:rsidRPr="00806E1E" w:rsidRDefault="00806E1E" w:rsidP="00806E1E">
            <w:r w:rsidRPr="00806E1E">
              <w:t>Average billing amount was compared between medical conditions.</w:t>
            </w:r>
          </w:p>
        </w:tc>
        <w:tc>
          <w:tcPr>
            <w:tcW w:w="3311" w:type="dxa"/>
            <w:vAlign w:val="center"/>
            <w:hideMark/>
          </w:tcPr>
          <w:p w14:paraId="063B512C" w14:textId="77777777" w:rsidR="00806E1E" w:rsidRPr="00806E1E" w:rsidRDefault="00806E1E" w:rsidP="00806E1E">
            <w:r w:rsidRPr="00806E1E">
              <w:t>Helps identify differences in healthcare costs.</w:t>
            </w:r>
          </w:p>
        </w:tc>
      </w:tr>
      <w:tr w:rsidR="00806E1E" w:rsidRPr="00806E1E" w14:paraId="1097036B" w14:textId="77777777" w:rsidTr="00806E1E">
        <w:trPr>
          <w:tblCellSpacing w:w="15" w:type="dxa"/>
        </w:trPr>
        <w:tc>
          <w:tcPr>
            <w:tcW w:w="1940" w:type="dxa"/>
            <w:vAlign w:val="center"/>
            <w:hideMark/>
          </w:tcPr>
          <w:p w14:paraId="6AE1ECB6" w14:textId="77777777" w:rsidR="00806E1E" w:rsidRPr="00806E1E" w:rsidRDefault="00806E1E" w:rsidP="00806E1E">
            <w:r w:rsidRPr="00806E1E">
              <w:rPr>
                <w:b/>
                <w:bCs/>
              </w:rPr>
              <w:t>Billing &amp; Insurance</w:t>
            </w:r>
          </w:p>
        </w:tc>
        <w:tc>
          <w:tcPr>
            <w:tcW w:w="3655" w:type="dxa"/>
            <w:vAlign w:val="center"/>
            <w:hideMark/>
          </w:tcPr>
          <w:p w14:paraId="7842F893" w14:textId="77777777" w:rsidR="00806E1E" w:rsidRPr="00806E1E" w:rsidRDefault="00806E1E" w:rsidP="00806E1E">
            <w:r w:rsidRPr="00806E1E">
              <w:t>Billing amounts were compared across insurance providers.</w:t>
            </w:r>
          </w:p>
        </w:tc>
        <w:tc>
          <w:tcPr>
            <w:tcW w:w="3311" w:type="dxa"/>
            <w:vAlign w:val="center"/>
            <w:hideMark/>
          </w:tcPr>
          <w:p w14:paraId="3C472659" w14:textId="77777777" w:rsidR="00806E1E" w:rsidRPr="00806E1E" w:rsidRDefault="00806E1E" w:rsidP="00806E1E">
            <w:r w:rsidRPr="00806E1E">
              <w:t>Shows variation in billing among insurance providers.</w:t>
            </w:r>
          </w:p>
        </w:tc>
      </w:tr>
      <w:tr w:rsidR="00806E1E" w:rsidRPr="00806E1E" w14:paraId="3758689A" w14:textId="77777777" w:rsidTr="00806E1E">
        <w:trPr>
          <w:tblCellSpacing w:w="15" w:type="dxa"/>
        </w:trPr>
        <w:tc>
          <w:tcPr>
            <w:tcW w:w="1940" w:type="dxa"/>
            <w:vAlign w:val="center"/>
            <w:hideMark/>
          </w:tcPr>
          <w:p w14:paraId="0C6AE69B" w14:textId="77777777" w:rsidR="00806E1E" w:rsidRPr="00806E1E" w:rsidRDefault="00806E1E" w:rsidP="00806E1E">
            <w:r w:rsidRPr="00806E1E">
              <w:rPr>
                <w:b/>
                <w:bCs/>
              </w:rPr>
              <w:t>Admission Type</w:t>
            </w:r>
          </w:p>
        </w:tc>
        <w:tc>
          <w:tcPr>
            <w:tcW w:w="3655" w:type="dxa"/>
            <w:vAlign w:val="center"/>
            <w:hideMark/>
          </w:tcPr>
          <w:p w14:paraId="7C1D8DC4" w14:textId="77777777" w:rsidR="00806E1E" w:rsidRPr="00806E1E" w:rsidRDefault="00806E1E" w:rsidP="00806E1E">
            <w:r w:rsidRPr="00806E1E">
              <w:t xml:space="preserve">Elective: </w:t>
            </w:r>
            <w:r w:rsidRPr="00806E1E">
              <w:rPr>
                <w:b/>
                <w:bCs/>
              </w:rPr>
              <w:t>18,655</w:t>
            </w:r>
            <w:r w:rsidRPr="00806E1E">
              <w:t xml:space="preserve">, Urgent: </w:t>
            </w:r>
            <w:r w:rsidRPr="00806E1E">
              <w:rPr>
                <w:b/>
                <w:bCs/>
              </w:rPr>
              <w:t>18,576</w:t>
            </w:r>
            <w:r w:rsidRPr="00806E1E">
              <w:t xml:space="preserve">, Emergency: </w:t>
            </w:r>
            <w:r w:rsidRPr="00806E1E">
              <w:rPr>
                <w:b/>
                <w:bCs/>
              </w:rPr>
              <w:t>18,269</w:t>
            </w:r>
            <w:r w:rsidRPr="00806E1E">
              <w:t>.</w:t>
            </w:r>
          </w:p>
        </w:tc>
        <w:tc>
          <w:tcPr>
            <w:tcW w:w="3311" w:type="dxa"/>
            <w:vAlign w:val="center"/>
            <w:hideMark/>
          </w:tcPr>
          <w:p w14:paraId="14D480A8" w14:textId="77777777" w:rsidR="00806E1E" w:rsidRPr="00806E1E" w:rsidRDefault="00806E1E" w:rsidP="00806E1E">
            <w:r w:rsidRPr="00806E1E">
              <w:t>Elective admissions are slightly more common.</w:t>
            </w:r>
          </w:p>
        </w:tc>
      </w:tr>
      <w:tr w:rsidR="00806E1E" w:rsidRPr="00806E1E" w14:paraId="2B6A42AF" w14:textId="77777777" w:rsidTr="00806E1E">
        <w:trPr>
          <w:tblCellSpacing w:w="15" w:type="dxa"/>
        </w:trPr>
        <w:tc>
          <w:tcPr>
            <w:tcW w:w="1940" w:type="dxa"/>
            <w:vAlign w:val="center"/>
            <w:hideMark/>
          </w:tcPr>
          <w:p w14:paraId="55B19EEE" w14:textId="77777777" w:rsidR="00806E1E" w:rsidRPr="00806E1E" w:rsidRDefault="00806E1E" w:rsidP="00806E1E">
            <w:r w:rsidRPr="00806E1E">
              <w:rPr>
                <w:b/>
                <w:bCs/>
              </w:rPr>
              <w:t>Medical Conditions</w:t>
            </w:r>
          </w:p>
        </w:tc>
        <w:tc>
          <w:tcPr>
            <w:tcW w:w="3655" w:type="dxa"/>
            <w:vAlign w:val="center"/>
            <w:hideMark/>
          </w:tcPr>
          <w:p w14:paraId="1A2AF923" w14:textId="77777777" w:rsidR="00806E1E" w:rsidRPr="00806E1E" w:rsidRDefault="00806E1E" w:rsidP="00806E1E">
            <w:r w:rsidRPr="00806E1E">
              <w:t>Arthritis (</w:t>
            </w:r>
            <w:r w:rsidRPr="00806E1E">
              <w:rPr>
                <w:b/>
                <w:bCs/>
              </w:rPr>
              <w:t>9,308</w:t>
            </w:r>
            <w:r w:rsidRPr="00806E1E">
              <w:t>) and Diabetes (</w:t>
            </w:r>
            <w:r w:rsidRPr="00806E1E">
              <w:rPr>
                <w:b/>
                <w:bCs/>
              </w:rPr>
              <w:t>9,304</w:t>
            </w:r>
            <w:r w:rsidRPr="00806E1E">
              <w:t>) have the highest counts; Asthma has the lowest (</w:t>
            </w:r>
            <w:r w:rsidRPr="00806E1E">
              <w:rPr>
                <w:b/>
                <w:bCs/>
              </w:rPr>
              <w:t>9,185</w:t>
            </w:r>
            <w:r w:rsidRPr="00806E1E">
              <w:t>).</w:t>
            </w:r>
          </w:p>
        </w:tc>
        <w:tc>
          <w:tcPr>
            <w:tcW w:w="3311" w:type="dxa"/>
            <w:vAlign w:val="center"/>
            <w:hideMark/>
          </w:tcPr>
          <w:p w14:paraId="7DA48409" w14:textId="77777777" w:rsidR="00806E1E" w:rsidRPr="00806E1E" w:rsidRDefault="00806E1E" w:rsidP="00806E1E">
            <w:r w:rsidRPr="00806E1E">
              <w:t>The number of patients is fairly balanced across conditions.</w:t>
            </w:r>
          </w:p>
        </w:tc>
      </w:tr>
      <w:tr w:rsidR="00806E1E" w:rsidRPr="00806E1E" w14:paraId="63BC688C" w14:textId="77777777" w:rsidTr="00806E1E">
        <w:trPr>
          <w:tblCellSpacing w:w="15" w:type="dxa"/>
        </w:trPr>
        <w:tc>
          <w:tcPr>
            <w:tcW w:w="1940" w:type="dxa"/>
            <w:vAlign w:val="center"/>
            <w:hideMark/>
          </w:tcPr>
          <w:p w14:paraId="268CFF54" w14:textId="77777777" w:rsidR="00806E1E" w:rsidRPr="00806E1E" w:rsidRDefault="00806E1E" w:rsidP="00806E1E">
            <w:r w:rsidRPr="00806E1E">
              <w:rPr>
                <w:b/>
                <w:bCs/>
              </w:rPr>
              <w:t>Medications</w:t>
            </w:r>
          </w:p>
        </w:tc>
        <w:tc>
          <w:tcPr>
            <w:tcW w:w="3655" w:type="dxa"/>
            <w:vAlign w:val="center"/>
            <w:hideMark/>
          </w:tcPr>
          <w:p w14:paraId="0A2C057F" w14:textId="77777777" w:rsidR="00806E1E" w:rsidRPr="00806E1E" w:rsidRDefault="00806E1E" w:rsidP="00806E1E">
            <w:r w:rsidRPr="00806E1E">
              <w:t>Lipitor has the highest count (</w:t>
            </w:r>
            <w:r w:rsidRPr="00806E1E">
              <w:rPr>
                <w:b/>
                <w:bCs/>
              </w:rPr>
              <w:t>11,140</w:t>
            </w:r>
            <w:r w:rsidRPr="00806E1E">
              <w:t>), followed by Ibuprofen and Aspirin.</w:t>
            </w:r>
          </w:p>
        </w:tc>
        <w:tc>
          <w:tcPr>
            <w:tcW w:w="3311" w:type="dxa"/>
            <w:vAlign w:val="center"/>
            <w:hideMark/>
          </w:tcPr>
          <w:p w14:paraId="55DB93A8" w14:textId="77777777" w:rsidR="00806E1E" w:rsidRPr="00806E1E" w:rsidRDefault="00806E1E" w:rsidP="00806E1E">
            <w:r w:rsidRPr="00806E1E">
              <w:t>Medication usage is fairly evenly distributed.</w:t>
            </w:r>
          </w:p>
        </w:tc>
      </w:tr>
      <w:tr w:rsidR="00806E1E" w:rsidRPr="00806E1E" w14:paraId="1A22FF90" w14:textId="77777777" w:rsidTr="00806E1E">
        <w:trPr>
          <w:tblCellSpacing w:w="15" w:type="dxa"/>
        </w:trPr>
        <w:tc>
          <w:tcPr>
            <w:tcW w:w="1940" w:type="dxa"/>
            <w:vAlign w:val="center"/>
            <w:hideMark/>
          </w:tcPr>
          <w:p w14:paraId="4E03BEDD" w14:textId="77777777" w:rsidR="00806E1E" w:rsidRPr="00806E1E" w:rsidRDefault="00806E1E" w:rsidP="00806E1E">
            <w:r w:rsidRPr="00806E1E">
              <w:rPr>
                <w:b/>
                <w:bCs/>
              </w:rPr>
              <w:t>Monthly Admissions</w:t>
            </w:r>
          </w:p>
        </w:tc>
        <w:tc>
          <w:tcPr>
            <w:tcW w:w="3655" w:type="dxa"/>
            <w:vAlign w:val="center"/>
            <w:hideMark/>
          </w:tcPr>
          <w:p w14:paraId="00BE15BB" w14:textId="77777777" w:rsidR="00806E1E" w:rsidRPr="00806E1E" w:rsidRDefault="00806E1E" w:rsidP="00806E1E">
            <w:r w:rsidRPr="00806E1E">
              <w:t>July (</w:t>
            </w:r>
            <w:r w:rsidRPr="00806E1E">
              <w:rPr>
                <w:b/>
                <w:bCs/>
              </w:rPr>
              <w:t>4,812</w:t>
            </w:r>
            <w:r w:rsidRPr="00806E1E">
              <w:t>) and August (</w:t>
            </w:r>
            <w:r w:rsidRPr="00806E1E">
              <w:rPr>
                <w:b/>
                <w:bCs/>
              </w:rPr>
              <w:t>4,832</w:t>
            </w:r>
            <w:r w:rsidRPr="00806E1E">
              <w:t>) have the highest admissions.</w:t>
            </w:r>
          </w:p>
        </w:tc>
        <w:tc>
          <w:tcPr>
            <w:tcW w:w="3311" w:type="dxa"/>
            <w:vAlign w:val="center"/>
            <w:hideMark/>
          </w:tcPr>
          <w:p w14:paraId="17545A90" w14:textId="77777777" w:rsidR="00806E1E" w:rsidRPr="00806E1E" w:rsidRDefault="00806E1E" w:rsidP="00806E1E">
            <w:r w:rsidRPr="00806E1E">
              <w:t>Patient admissions vary slightly across months.</w:t>
            </w:r>
          </w:p>
        </w:tc>
      </w:tr>
      <w:tr w:rsidR="00806E1E" w:rsidRPr="00806E1E" w14:paraId="5043F137" w14:textId="77777777" w:rsidTr="00806E1E">
        <w:trPr>
          <w:tblCellSpacing w:w="15" w:type="dxa"/>
        </w:trPr>
        <w:tc>
          <w:tcPr>
            <w:tcW w:w="1940" w:type="dxa"/>
            <w:vAlign w:val="center"/>
            <w:hideMark/>
          </w:tcPr>
          <w:p w14:paraId="4BB2ED99" w14:textId="77777777" w:rsidR="00806E1E" w:rsidRPr="00806E1E" w:rsidRDefault="00806E1E" w:rsidP="00806E1E">
            <w:r w:rsidRPr="00806E1E">
              <w:rPr>
                <w:b/>
                <w:bCs/>
              </w:rPr>
              <w:lastRenderedPageBreak/>
              <w:t>Correlation</w:t>
            </w:r>
          </w:p>
        </w:tc>
        <w:tc>
          <w:tcPr>
            <w:tcW w:w="3655" w:type="dxa"/>
            <w:vAlign w:val="center"/>
            <w:hideMark/>
          </w:tcPr>
          <w:p w14:paraId="2A51E435" w14:textId="0F071AF6" w:rsidR="00806E1E" w:rsidRPr="00806E1E" w:rsidRDefault="00806E1E" w:rsidP="00806E1E">
            <w:r w:rsidRPr="00806E1E">
              <w:t xml:space="preserve">Age–Stay Days = </w:t>
            </w:r>
            <w:r w:rsidRPr="00806E1E">
              <w:rPr>
                <w:b/>
                <w:bCs/>
              </w:rPr>
              <w:t>0.008</w:t>
            </w:r>
            <w:r w:rsidRPr="00806E1E">
              <w:t>, Age</w:t>
            </w:r>
            <w:r>
              <w:t xml:space="preserve"> </w:t>
            </w:r>
            <w:r w:rsidRPr="00806E1E">
              <w:t>–</w:t>
            </w:r>
            <w:r>
              <w:t xml:space="preserve"> </w:t>
            </w:r>
            <w:r w:rsidRPr="00806E1E">
              <w:t xml:space="preserve">Billing = </w:t>
            </w:r>
            <w:r w:rsidRPr="00806E1E">
              <w:rPr>
                <w:b/>
                <w:bCs/>
              </w:rPr>
              <w:t>-0.</w:t>
            </w:r>
            <w:proofErr w:type="gramStart"/>
            <w:r w:rsidRPr="00806E1E">
              <w:rPr>
                <w:b/>
                <w:bCs/>
              </w:rPr>
              <w:t>004</w:t>
            </w:r>
            <w:r>
              <w:rPr>
                <w:b/>
                <w:bCs/>
              </w:rPr>
              <w:t xml:space="preserve"> </w:t>
            </w:r>
            <w:r w:rsidRPr="00806E1E">
              <w:t>,</w:t>
            </w:r>
            <w:proofErr w:type="gramEnd"/>
            <w:r w:rsidRPr="00806E1E">
              <w:t xml:space="preserve"> Stay Days</w:t>
            </w:r>
            <w:r>
              <w:t xml:space="preserve"> </w:t>
            </w:r>
            <w:r w:rsidRPr="00806E1E">
              <w:t>–</w:t>
            </w:r>
            <w:r>
              <w:t xml:space="preserve">   </w:t>
            </w:r>
            <w:r w:rsidRPr="00806E1E">
              <w:t xml:space="preserve">Billing = </w:t>
            </w:r>
            <w:r w:rsidRPr="00806E1E">
              <w:rPr>
                <w:b/>
                <w:bCs/>
              </w:rPr>
              <w:t>-0.006</w:t>
            </w:r>
            <w:r w:rsidRPr="00806E1E">
              <w:t>.</w:t>
            </w:r>
          </w:p>
        </w:tc>
        <w:tc>
          <w:tcPr>
            <w:tcW w:w="3311" w:type="dxa"/>
            <w:vAlign w:val="center"/>
            <w:hideMark/>
          </w:tcPr>
          <w:p w14:paraId="22AC8A57" w14:textId="77777777" w:rsidR="00806E1E" w:rsidRPr="00806E1E" w:rsidRDefault="00806E1E" w:rsidP="00806E1E">
            <w:r w:rsidRPr="00806E1E">
              <w:t>These variables have almost no linear relationship.</w:t>
            </w:r>
          </w:p>
        </w:tc>
      </w:tr>
      <w:tr w:rsidR="00806E1E" w:rsidRPr="00806E1E" w14:paraId="1FAA7924" w14:textId="77777777" w:rsidTr="00806E1E">
        <w:trPr>
          <w:tblCellSpacing w:w="15" w:type="dxa"/>
        </w:trPr>
        <w:tc>
          <w:tcPr>
            <w:tcW w:w="1940" w:type="dxa"/>
            <w:vAlign w:val="center"/>
            <w:hideMark/>
          </w:tcPr>
          <w:p w14:paraId="59899B01" w14:textId="77777777" w:rsidR="00806E1E" w:rsidRPr="00806E1E" w:rsidRDefault="00806E1E" w:rsidP="00806E1E">
            <w:r w:rsidRPr="00806E1E">
              <w:rPr>
                <w:b/>
                <w:bCs/>
              </w:rPr>
              <w:t>Insurance Providers</w:t>
            </w:r>
          </w:p>
        </w:tc>
        <w:tc>
          <w:tcPr>
            <w:tcW w:w="3655" w:type="dxa"/>
            <w:vAlign w:val="center"/>
            <w:hideMark/>
          </w:tcPr>
          <w:p w14:paraId="0F0C4EE8" w14:textId="77777777" w:rsidR="00806E1E" w:rsidRPr="00806E1E" w:rsidRDefault="00806E1E" w:rsidP="00806E1E">
            <w:r w:rsidRPr="00806E1E">
              <w:t>Cigna has the highest patient count (</w:t>
            </w:r>
            <w:r w:rsidRPr="00806E1E">
              <w:rPr>
                <w:b/>
                <w:bCs/>
              </w:rPr>
              <w:t>11,249</w:t>
            </w:r>
            <w:r w:rsidRPr="00806E1E">
              <w:t>), while Aetna has the lowest (</w:t>
            </w:r>
            <w:r w:rsidRPr="00806E1E">
              <w:rPr>
                <w:b/>
                <w:bCs/>
              </w:rPr>
              <w:t>10,913</w:t>
            </w:r>
            <w:r w:rsidRPr="00806E1E">
              <w:t>).</w:t>
            </w:r>
          </w:p>
        </w:tc>
        <w:tc>
          <w:tcPr>
            <w:tcW w:w="3311" w:type="dxa"/>
            <w:vAlign w:val="center"/>
            <w:hideMark/>
          </w:tcPr>
          <w:p w14:paraId="663BD014" w14:textId="77777777" w:rsidR="00806E1E" w:rsidRPr="00806E1E" w:rsidRDefault="00806E1E" w:rsidP="00806E1E">
            <w:r w:rsidRPr="00806E1E">
              <w:t>Patient distribution is relatively balanced across providers.</w:t>
            </w:r>
          </w:p>
        </w:tc>
      </w:tr>
    </w:tbl>
    <w:p w14:paraId="0C250B7C" w14:textId="77777777" w:rsidR="00806E1E" w:rsidRDefault="00806E1E" w:rsidP="00806E1E">
      <w:pPr>
        <w:rPr>
          <w:b/>
          <w:bCs/>
        </w:rPr>
      </w:pPr>
    </w:p>
    <w:p w14:paraId="69F626CD" w14:textId="3257065C" w:rsidR="00806E1E" w:rsidRPr="00806E1E" w:rsidRDefault="00806E1E" w:rsidP="00806E1E">
      <w:pPr>
        <w:rPr>
          <w:b/>
          <w:bCs/>
          <w:sz w:val="28"/>
          <w:szCs w:val="28"/>
        </w:rPr>
      </w:pPr>
      <w:r w:rsidRPr="00806E1E">
        <w:rPr>
          <w:b/>
          <w:bCs/>
          <w:sz w:val="28"/>
          <w:szCs w:val="28"/>
        </w:rPr>
        <w:t>MAJOR INSIGHTS</w:t>
      </w:r>
    </w:p>
    <w:p w14:paraId="233B86AD" w14:textId="77777777" w:rsidR="00806E1E" w:rsidRPr="00806E1E" w:rsidRDefault="00806E1E" w:rsidP="00806E1E">
      <w:pPr>
        <w:numPr>
          <w:ilvl w:val="0"/>
          <w:numId w:val="1"/>
        </w:numPr>
      </w:pPr>
      <w:r w:rsidRPr="00806E1E">
        <w:t xml:space="preserve">The dataset has a </w:t>
      </w:r>
      <w:r w:rsidRPr="00806E1E">
        <w:rPr>
          <w:b/>
          <w:bCs/>
        </w:rPr>
        <w:t>balanced distribution of medical conditions</w:t>
      </w:r>
      <w:r w:rsidRPr="00806E1E">
        <w:t>.</w:t>
      </w:r>
    </w:p>
    <w:p w14:paraId="3DAA6C85" w14:textId="77777777" w:rsidR="00806E1E" w:rsidRPr="00806E1E" w:rsidRDefault="00806E1E" w:rsidP="00806E1E">
      <w:pPr>
        <w:numPr>
          <w:ilvl w:val="0"/>
          <w:numId w:val="1"/>
        </w:numPr>
      </w:pPr>
      <w:r w:rsidRPr="00806E1E">
        <w:t>Patient admissions are distributed fairly evenly across the three admission types.</w:t>
      </w:r>
    </w:p>
    <w:p w14:paraId="4E1203B5" w14:textId="77777777" w:rsidR="00806E1E" w:rsidRPr="00806E1E" w:rsidRDefault="00806E1E" w:rsidP="00806E1E">
      <w:pPr>
        <w:numPr>
          <w:ilvl w:val="0"/>
          <w:numId w:val="1"/>
        </w:numPr>
      </w:pPr>
      <w:r w:rsidRPr="00806E1E">
        <w:t>Billing amounts vary across medical conditions and insurance providers.</w:t>
      </w:r>
    </w:p>
    <w:p w14:paraId="242504FB" w14:textId="77777777" w:rsidR="00806E1E" w:rsidRPr="00806E1E" w:rsidRDefault="00806E1E" w:rsidP="00806E1E">
      <w:pPr>
        <w:numPr>
          <w:ilvl w:val="0"/>
          <w:numId w:val="1"/>
        </w:numPr>
      </w:pPr>
      <w:r w:rsidRPr="00806E1E">
        <w:t xml:space="preserve">Monthly admissions show only small differences, with </w:t>
      </w:r>
      <w:r w:rsidRPr="00806E1E">
        <w:rPr>
          <w:b/>
          <w:bCs/>
        </w:rPr>
        <w:t>August having the highest count</w:t>
      </w:r>
      <w:r w:rsidRPr="00806E1E">
        <w:t>.</w:t>
      </w:r>
    </w:p>
    <w:p w14:paraId="3B3CDCF0" w14:textId="77777777" w:rsidR="00806E1E" w:rsidRPr="00806E1E" w:rsidRDefault="00806E1E" w:rsidP="00806E1E">
      <w:pPr>
        <w:numPr>
          <w:ilvl w:val="0"/>
          <w:numId w:val="1"/>
        </w:numPr>
      </w:pPr>
      <w:r w:rsidRPr="00806E1E">
        <w:t xml:space="preserve">Age, stay duration and billing amount show </w:t>
      </w:r>
      <w:r w:rsidRPr="00806E1E">
        <w:rPr>
          <w:b/>
          <w:bCs/>
        </w:rPr>
        <w:t>very weak correlations</w:t>
      </w:r>
      <w:r w:rsidRPr="00806E1E">
        <w:t xml:space="preserve"> in this dataset.</w:t>
      </w:r>
    </w:p>
    <w:p w14:paraId="7DBEB175" w14:textId="77777777" w:rsidR="00806E1E" w:rsidRDefault="00806E1E" w:rsidP="00806E1E">
      <w:pPr>
        <w:rPr>
          <w:b/>
          <w:bCs/>
        </w:rPr>
      </w:pPr>
    </w:p>
    <w:p w14:paraId="28F4AF2B" w14:textId="0EF51C97" w:rsidR="00806E1E" w:rsidRPr="00806E1E" w:rsidRDefault="00806E1E" w:rsidP="00806E1E">
      <w:pPr>
        <w:rPr>
          <w:b/>
          <w:bCs/>
          <w:sz w:val="28"/>
          <w:szCs w:val="28"/>
        </w:rPr>
      </w:pPr>
      <w:r w:rsidRPr="00806E1E">
        <w:rPr>
          <w:b/>
          <w:bCs/>
          <w:sz w:val="28"/>
          <w:szCs w:val="28"/>
        </w:rPr>
        <w:t>CONCLUSION</w:t>
      </w:r>
    </w:p>
    <w:p w14:paraId="4DF0BF24" w14:textId="77777777" w:rsidR="00806E1E" w:rsidRPr="00806E1E" w:rsidRDefault="00806E1E" w:rsidP="00806E1E">
      <w:r w:rsidRPr="00806E1E">
        <w:t>The EDA provides a clear overview of patient characteristics, medical conditions, billing, admissions, medications and insurance. The analysis shows that the dataset is fairly balanced across major categories, while billing and patient patterns can be further studied to understand healthcare costs and patient management.</w:t>
      </w:r>
    </w:p>
    <w:p w14:paraId="34686547" w14:textId="77777777" w:rsidR="00A11664" w:rsidRDefault="00A11664"/>
    <w:sectPr w:rsidR="00A11664" w:rsidSect="004A753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1D7"/>
    <w:multiLevelType w:val="multilevel"/>
    <w:tmpl w:val="C0A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60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1E"/>
    <w:rsid w:val="000B2960"/>
    <w:rsid w:val="004A7536"/>
    <w:rsid w:val="00806E1E"/>
    <w:rsid w:val="00A11664"/>
    <w:rsid w:val="00CB3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6A20"/>
  <w15:chartTrackingRefBased/>
  <w15:docId w15:val="{A12F7530-BDEE-4E36-B1DB-E58F2845D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E1E"/>
    <w:rPr>
      <w:rFonts w:eastAsiaTheme="majorEastAsia" w:cstheme="majorBidi"/>
      <w:color w:val="272727" w:themeColor="text1" w:themeTint="D8"/>
    </w:rPr>
  </w:style>
  <w:style w:type="paragraph" w:styleId="Title">
    <w:name w:val="Title"/>
    <w:basedOn w:val="Normal"/>
    <w:next w:val="Normal"/>
    <w:link w:val="TitleChar"/>
    <w:uiPriority w:val="10"/>
    <w:qFormat/>
    <w:rsid w:val="00806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E1E"/>
    <w:pPr>
      <w:spacing w:before="160"/>
      <w:jc w:val="center"/>
    </w:pPr>
    <w:rPr>
      <w:i/>
      <w:iCs/>
      <w:color w:val="404040" w:themeColor="text1" w:themeTint="BF"/>
    </w:rPr>
  </w:style>
  <w:style w:type="character" w:customStyle="1" w:styleId="QuoteChar">
    <w:name w:val="Quote Char"/>
    <w:basedOn w:val="DefaultParagraphFont"/>
    <w:link w:val="Quote"/>
    <w:uiPriority w:val="29"/>
    <w:rsid w:val="00806E1E"/>
    <w:rPr>
      <w:i/>
      <w:iCs/>
      <w:color w:val="404040" w:themeColor="text1" w:themeTint="BF"/>
    </w:rPr>
  </w:style>
  <w:style w:type="paragraph" w:styleId="ListParagraph">
    <w:name w:val="List Paragraph"/>
    <w:basedOn w:val="Normal"/>
    <w:uiPriority w:val="34"/>
    <w:qFormat/>
    <w:rsid w:val="00806E1E"/>
    <w:pPr>
      <w:ind w:left="720"/>
      <w:contextualSpacing/>
    </w:pPr>
  </w:style>
  <w:style w:type="character" w:styleId="IntenseEmphasis">
    <w:name w:val="Intense Emphasis"/>
    <w:basedOn w:val="DefaultParagraphFont"/>
    <w:uiPriority w:val="21"/>
    <w:qFormat/>
    <w:rsid w:val="00806E1E"/>
    <w:rPr>
      <w:i/>
      <w:iCs/>
      <w:color w:val="0F4761" w:themeColor="accent1" w:themeShade="BF"/>
    </w:rPr>
  </w:style>
  <w:style w:type="paragraph" w:styleId="IntenseQuote">
    <w:name w:val="Intense Quote"/>
    <w:basedOn w:val="Normal"/>
    <w:next w:val="Normal"/>
    <w:link w:val="IntenseQuoteChar"/>
    <w:uiPriority w:val="30"/>
    <w:qFormat/>
    <w:rsid w:val="00806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E1E"/>
    <w:rPr>
      <w:i/>
      <w:iCs/>
      <w:color w:val="0F4761" w:themeColor="accent1" w:themeShade="BF"/>
    </w:rPr>
  </w:style>
  <w:style w:type="character" w:styleId="IntenseReference">
    <w:name w:val="Intense Reference"/>
    <w:basedOn w:val="DefaultParagraphFont"/>
    <w:uiPriority w:val="32"/>
    <w:qFormat/>
    <w:rsid w:val="00806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Sree</dc:creator>
  <cp:keywords/>
  <dc:description/>
  <cp:lastModifiedBy>Pooja Sree</cp:lastModifiedBy>
  <cp:revision>1</cp:revision>
  <dcterms:created xsi:type="dcterms:W3CDTF">2026-10-06T17:00:00Z</dcterms:created>
  <dcterms:modified xsi:type="dcterms:W3CDTF">2026-10-06T17:11:00Z</dcterms:modified>
</cp:coreProperties>
</file>