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1A031C" w14:textId="24993984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6179F" w14:textId="2BE1EE60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O FLUXO DE VERIFICAÇÃO NO CÓDIGO DA PLATAFORMA (DIRETRIZ CTO)</w:t>
      </w:r>
    </w:p>
    <w:p w14:paraId="52F50F6B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Quando a Administradora concluir a transferência interna, o fluxo do app roda em 3 passos eletrônicos:</w:t>
      </w:r>
    </w:p>
    <w:p w14:paraId="1E5D61DA" w14:textId="77777777" w:rsidR="0047157C" w:rsidRPr="0047157C" w:rsidRDefault="0047157C" w:rsidP="00471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Gatilho de Aviso (Timer de 24h):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sistema notifica o Comprador via Super App e WhatsApp informando que a cota foi transferida e inicia um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regressivo de 24 horas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7FA3D6" w14:textId="77777777" w:rsidR="0047157C" w:rsidRPr="0047157C" w:rsidRDefault="0047157C" w:rsidP="00471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Rito de Validação Obrigatória: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app instrui o cliente a acessar o site oficial da administradora do consórcio, clicar em "Área do Consorciado" e efetuar o primeiro login. Ao conseguir logar, ele visualiza as cotas em seu nome, comprovando a eficácia do negócio.</w:t>
      </w:r>
    </w:p>
    <w:p w14:paraId="5EBD390F" w14:textId="77777777" w:rsidR="0047157C" w:rsidRPr="0047157C" w:rsidRDefault="0047157C" w:rsidP="00471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Botão de Liberação Pré-Vencimento:</w:t>
      </w:r>
    </w:p>
    <w:p w14:paraId="1C42D915" w14:textId="77777777" w:rsidR="0047157C" w:rsidRPr="0047157C" w:rsidRDefault="0047157C" w:rsidP="004715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Cenário A: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cliente faz a checagem, loga com sucesso, acessa o app da LETTER, aceita os termos e clica em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[Confirmar Titularidade e Liberar Saldos]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antes das 24 horas. O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roda imediatamente.</w:t>
      </w:r>
    </w:p>
    <w:p w14:paraId="4B8EABEE" w14:textId="77777777" w:rsidR="0047157C" w:rsidRPr="0047157C" w:rsidRDefault="0047157C" w:rsidP="004715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Cenário B (Silêncio do Cliente):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cliente receber a notificação e não se manifestar (não abrir contestação formal) dentro das 24 horas, o sistema aplica o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aceite tácito por decurso de prazo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presume a transferência concluída com sucesso, derruba o Lock da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executa os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automaticamente, sem direito a reclamações posteriores.</w:t>
      </w:r>
    </w:p>
    <w:p w14:paraId="3B66B73B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C92614" wp14:editId="78C67EDD">
                <wp:extent cx="5400040" cy="4445"/>
                <wp:effectExtent l="0" t="31750" r="0" b="36830"/>
                <wp:docPr id="1462859150" name="Retângulo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7146A" id="Retângulos 1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E90303E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7157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CONTRATO DE AQUISIÇÃO, INTERCÂMBIO E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CUSTÓRIA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ELETRÔNICA DE COTAS DE CONSÓRCIO CONTEMPLADAS — VERSÃO V12.5 (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MARKEPLACE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VAREJO)</w:t>
      </w:r>
    </w:p>
    <w:p w14:paraId="2C97A440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CONTRATANTES:</w:t>
      </w:r>
    </w:p>
    <w:p w14:paraId="5084EA1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INTERMEDIÁRIA E GESTORA TÉCNICA DA CARTEIRA: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inscrita no CNPJ/ME sob o nº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[CNPJ_da_Holding]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em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detentora dos domínios oficiais </w:t>
      </w:r>
      <w:r w:rsidRPr="004715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letter.app.br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4715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dashboard.letter.app.br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atuando estritamente como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licenciante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infraestrutura de software e barramento tecnológico do ecossistema, doravante denominada simplesmente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PLATAFORMA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[INDEX_5];</w:t>
      </w:r>
    </w:p>
    <w:p w14:paraId="16164396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CREDORA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CUSTODIANTE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PROPRIETÁRIA INSTITUCIONAL: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ATIVOS IMOBILIÁRIOS SPE LTDA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pessoa jurídica de direito privado, inscrita no CNPJ/ME sob o nº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[CNPJ_da_SPE_Nova]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em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controlada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societariamente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pela holding principal, atuando como veículo fiduciário de custódia e operadora das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subcontas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virtuais via API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doravante denominada simplesmente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ADQUIRENTE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[INDEX_5];</w:t>
      </w:r>
    </w:p>
    <w:p w14:paraId="6F2B9E4B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COMPRADOR(A) ADERENTE: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 completo do Cliente Comprador]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inscrito(a) no CPF/CNPJ sob o nº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login, biometria facial e IP validados de forma eletrônica no banco de dados do sistema, doravante denominado simplesmente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COMPRADOR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[INDEX_5].</w:t>
      </w:r>
    </w:p>
    <w:p w14:paraId="7764840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Firmam o presente instrumento de aquisição tecnológica e intermediação sob as cláusulas e condições seguintes [INDEX_5]:</w:t>
      </w:r>
    </w:p>
    <w:p w14:paraId="662ADAA2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FDEDED" wp14:editId="359D90DD">
                <wp:extent cx="5400040" cy="4445"/>
                <wp:effectExtent l="0" t="31750" r="0" b="36830"/>
                <wp:docPr id="333109342" name="Retângulo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42C1" id="Retângulos 10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512790F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CLÁUSULA PRIMEIRA – DO OBJETO,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PRECIFICAÇÃO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RESERVA TEMPORÁRIA SISTÊMICA</w:t>
      </w:r>
    </w:p>
    <w:p w14:paraId="00BADFC3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1.1. O objeto deste contrato é a aquisição do ágio de cota de consórcio contemplada de titularidade de terceiros (vendedores), disponível no estoque circular da plataforma, com as seguintes especificações individuais preenchidas de forma automática via API [INDEX_5]:</w:t>
      </w:r>
    </w:p>
    <w:p w14:paraId="1C26EEDE" w14:textId="77777777" w:rsidR="0047157C" w:rsidRPr="0047157C" w:rsidRDefault="0047157C" w:rsidP="00471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Administradora Emissora: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[Nome_da_Administradora]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Grupo: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[X]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Cota: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[Y]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[INDEX_5]</w:t>
      </w:r>
    </w:p>
    <w:p w14:paraId="1CA688E1" w14:textId="77777777" w:rsidR="0047157C" w:rsidRPr="0047157C" w:rsidRDefault="0047157C" w:rsidP="00471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 do Ágio do Ativo: R$ </w:t>
      </w:r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</w:t>
      </w:r>
      <w:proofErr w:type="spellStart"/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Valor_Agio</w:t>
      </w:r>
      <w:proofErr w:type="spellEnd"/>
      <w:r w:rsidRPr="0047157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]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[INDEX_5]</w:t>
      </w:r>
    </w:p>
    <w:p w14:paraId="3BDDD0A1" w14:textId="77777777" w:rsidR="0047157C" w:rsidRPr="0047157C" w:rsidRDefault="0047157C" w:rsidP="004715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Provisão de Taxa de Cessão de Direitos: 2% (dois por cento) calculados sobre o valor do crédito bruto [INDEX_5].</w:t>
      </w:r>
    </w:p>
    <w:p w14:paraId="47998B1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Reserva Temporária de 1 Dia por Trava de Software: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cota individualizada no item 1.1 ficará temporariamente reservada ao COMPRADOR, sendo o ativo retirado da vitrine pública de vendas pelo prazo estrito e improrrogável de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(um) dia corrido (24 horas brutas)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[INDEX_5]. Caso o COMPRADOR não efetue a compensação integral do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 boleto em até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 (vinte e quatro) horas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reserva será cancelada automaticamente pelo sistema, o código de barras será baixado e o ativo retornará imediatamente à vitrine para livre comercialização, sem direito a reclamações ou prorrogações [INDEX_5].</w:t>
      </w:r>
    </w:p>
    <w:p w14:paraId="687AB8D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CB3A2F" wp14:editId="27841D5A">
                <wp:extent cx="5400040" cy="4445"/>
                <wp:effectExtent l="0" t="31750" r="0" b="36830"/>
                <wp:docPr id="1794062558" name="Retângulo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16F2A" id="Retângulos 9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712F49D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SEGUNDA – DA TAXA DE CESSÃO, PAGAMENTO CENTRALIZADO VIA ESCROW E DEVOLUÇÃO DO EXCEDENTE RESIDUAL</w:t>
      </w:r>
    </w:p>
    <w:p w14:paraId="3D3F0E51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2.1. A taxa de cessão de direitos cobrada pela respectiva Administradora corre por conta exclusiva do COMPRADOR e incide sobre o Crédito Líquido real remanescente (deduzidos eventuais lances embutidos) [INDEX_5]. A ADQUIRENTE reterá preventivamente no checkout os 2% calculados sobre o Crédito Bruto para fins de margem de segurança contábil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2.2. 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Bloqueio Antifraude e Liquidação Direta: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fins de mitigação de fraudes, o COMPRADOR não pagará a guia diretamente perante a administradora [INDEX_5]. O parceiro ou o vendedor anexará o boleto oficial da taxa no sistema e a ADQUIRENTE liquidará o documento utilizando o saldo retido na Conta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controle do CNPJ da SPE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2.3. 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Direito ao Saldo Residual: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Efetuado o pagamento do boleto real da taxa e, por conseguinte, restando qualquer saldo excedente da provisão originária de 2% (o "troco"), esse montante residual será estornado e devolvido como crédito livre na 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carteira virtual (Wallet) do COMPRADOR em </w:t>
      </w:r>
      <w:r w:rsidRPr="004715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dashboard.letter.app.br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saque imediato via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[INDEX_5].</w:t>
      </w:r>
    </w:p>
    <w:p w14:paraId="371506C1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66DE57" wp14:editId="0F6C5E84">
                <wp:extent cx="5400040" cy="4445"/>
                <wp:effectExtent l="0" t="31750" r="0" b="36830"/>
                <wp:docPr id="521354596" name="Retângulo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EEAB7" id="Retângulos 8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CB0DEF9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TERCEIRA – DA COBERTURA DO SALDO DEVEDOR, REAJUSTES E LAUDOS DE AVALIAÇÃO</w:t>
      </w:r>
    </w:p>
    <w:p w14:paraId="6866CD86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 O COMPRADOR declara total ciência de que, conforme regulamento da administradora e diretrizes do Banco Central (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Bacen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o valor de avaliação de mercado do bem que será adquirido precisará cobrir e superar integralmente o saldo devedor das cotas envolvidas na operação para que a administradora autorize a garantia de alienação fiduciária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3.2. 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Reajuste Periódico de Parcelas: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COMPRADOR declara ciência de que a carta contemplada não possui parcelas fixas, sofrendo reajustes periódicos obrigatórios conforme as regras de cada administradora unificada (índices INCC, IPCA ou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Fipe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durante o processo de transferência, o que acarretará mudança e atualização proporcional no valor de suas parcelas e do saldo devedor total [INDEX_5].</w:t>
      </w:r>
    </w:p>
    <w:p w14:paraId="4AE76A11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729630" wp14:editId="05F89E09">
                <wp:extent cx="5400040" cy="4445"/>
                <wp:effectExtent l="0" t="31750" r="0" b="36830"/>
                <wp:docPr id="1408512943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E0C63" id="Retângulos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ADCE698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CLÁUSULA QUARTA – DAS PARCELAS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VINCENDAS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DA ASSUNÇÃO DE OBRIGAÇÕES</w:t>
      </w:r>
    </w:p>
    <w:p w14:paraId="77871594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4.1. À rigor da conclusão da transferência de titularidade perante a Administradora, o COMPRADOR assume a responsabilidade integral, exclusiva e irrevogável pelo pagamento de 100% das parcelas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vincendas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até a quitação final do grupo, eximindo o vendedor, a ADQUIRENTE e a PLATAFORMA de qualquer solidariedade posterior cível ou financeira [INDEX_5].</w:t>
      </w:r>
    </w:p>
    <w:p w14:paraId="1453D018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D376A5" wp14:editId="247B5456">
                <wp:extent cx="5400040" cy="4445"/>
                <wp:effectExtent l="0" t="31750" r="0" b="36830"/>
                <wp:docPr id="719989256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9B0E1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E62EFD3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QUINTA – EXCLUSÃO DE RESPONSABILIDADE SOBRE O FATURAMENTO E EXTINÇÃO DA OBRIGAÇÃO OPERACIONAL</w:t>
      </w:r>
    </w:p>
    <w:p w14:paraId="649759F3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ISENÇÃO DE RESPONSABILIDADE SOBRE O FATURAMENTO DO BEM: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COMPRADOR declara expressa, total e irrevogável ciência de que a LETTER, a ADQUIRENTE e o vendedor da cota não possuem qualquer responsabilidade jurídica, técnica ou administrativa sobre a aprovação do faturamento do bem (liberação do dinheiro para compra do carro/imóvel) junto à respectiva Administradora de Consórcios [INDEX_5]. O faturamento e a análise de crédito subsequente cabem e competem EXCLUSIVAMENTE à Administradora Emissora do título, baseando-se no crivo discricionário de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capacidade de pagamento e garantias apresentadas pelo cliente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5.2. 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DO MARCO DE EXTINÇÃO DA OBRIGAÇÃO OPERACIONAL PELO RITO DE VERIFICAÇÃO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MANDATÓRIA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24 HORAS (TRAVA DE SEGURANÇA E CONFORMIDADE LGPD):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partes pactuam que, por motivos de sigilo bancário e estrito cumprimento das diretrizes da Lei Geral de Proteção de Dados (LGPD),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dever de checagem, auditoria e comprovação da efetiva transferência da titularidade da cota recai única, exclusiva e integralmente sobre o COMPRADOR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eximindo-se a PLATAFORMA de realizar consultas diretas aos sistemas das administradoras mães.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5.3. Comunicada a finalização do processo de cessão pelo sistema,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 COMPRADOR 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disporá de um prazo decadencial absoluto e preclusivo de 24 (vinte e quatro) horas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efetuar a verificação da cota. Para fins de facilitação e contraprova, o COMPRADOR deverá acessar o portal eletrônico ou Super App oficial da respectiva Administradora Emissora, ingressar no campo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"Área do Consorciado"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realizar o seu primeiro login individual utilizando suas credenciais pessoais de CPF/CNPJ.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5.4. 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GATILHO DE ACEITE TÁCITO E LIBERAÇÃO DO POOL: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Verificado o sucesso no login e constatado que a(s) carta(s) encontra(m)-se registradas em seu nome, o COMPRADOR deverá retornar à PLATAFORMA LETTER e clicar no botão de liberação, emitindo o seu de acordo final nos termos do Bloco 2 deste instrumento.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Pactua-se expressamente que o silêncio, a inércia ou a ausência de contestação formal por escrito aberta pelo COMPRADOR dentro da janela regulamentar de 24 (vinte e quatro) horas importará em ACEITE TÁCITO AUTOMÁTICO, presumindo-se a transferência perfeitamente concluída,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irreprochável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 acabada, ficando o cofre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Escrow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sistemicamente autorizado a derrubar as travas lógicas e executar de forma síncrona o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definitivo de repasse dos saldos ao vendedor originário e taxas da holding, sem direito a estornos ou reclamações retroativas.</w:t>
      </w:r>
    </w:p>
    <w:p w14:paraId="1D62B97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5F2A28" wp14:editId="1FE0FBE0">
                <wp:extent cx="5400040" cy="4445"/>
                <wp:effectExtent l="0" t="31750" r="0" b="36830"/>
                <wp:docPr id="422718449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46221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F72ADB3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SEXTA – DA INDENIZAÇÃO POR ARREPENDIMENTO E MULTA PENAL BASEADA NO VALOR DO ÁGIO EFETIVO</w:t>
      </w:r>
    </w:p>
    <w:p w14:paraId="1D7E9C33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6.1. O COMPRADOR possui o prazo estrito de até 7 (sete) dias corridos (Artigo 49 do CDC) para exercer o direito de arrependimento com devolução integral dos valores de ágio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6.2. Passada a janela legal dos 7 dias, caso o COMPRADOR solicite o cancelamento por mera desistência durante o processo, ou caso o processo de faturamento seja cancelado por culpa exclusiva dele (por recusa, omissão, reprovação de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restrições cadastrais supervenientes ou falta de envio de documentações completas ou complementares exigidas pela administradora), restará configurado o cancelamento motivado por culpa do cliente [INDEX_5].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6.3. Diante da quebra contratual do item 6.2, incidirá uma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Multa Penal Compensatória fixada no patamar estrito de 10% (dez por cento) calculada de forma exclusiva sobre o Valor do Ágio do Ativo efetivamente pago pelo COMPRADOR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especificado na Cláusula 1.1, sendo o montante integralmente retido na fonte pela ADQUIRENTE de dentro dos valores pagos na conta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título de ressarcimento de danos operacionais 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break-fee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engenharia, com comissão zero para a rede de parceiros comerciais [INDEX_5].</w:t>
      </w:r>
    </w:p>
    <w:p w14:paraId="1D3B00DC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B94D2" wp14:editId="43F90AF7">
                <wp:extent cx="5400040" cy="4445"/>
                <wp:effectExtent l="0" t="31750" r="0" b="36830"/>
                <wp:docPr id="884128148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2526F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B9CB177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CLÁUSULA SÉTIMA – DA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IRRECONHECIBILIDADE</w:t>
      </w:r>
      <w:proofErr w:type="spellEnd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RECOMPRA E PAPEL DE INTERMEDIAÇÃO </w:t>
      </w:r>
      <w:proofErr w:type="spellStart"/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MARKETPLACE</w:t>
      </w:r>
      <w:proofErr w:type="spellEnd"/>
    </w:p>
    <w:p w14:paraId="45510F40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7.1. O COMPRADOR declara total ciência de que a PLATAFORMA atua estritamente como um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tecnologia e intermediação independente de negócios [INDEX_5]. Fica expressamente estabelecido que em hipótese alguma a PLATAFORMA, a ADQUIRENTE ou o vendedor originário realizarão a recompra de cotas contempladas de clientes que, por qualquer motivo socioeconômico ou reprovação de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bancário, não consigam obter o faturamento do bem junto à administradora, visto que a PLATAFORMA realiza mera intermediação da operação [INDEX_5].</w:t>
      </w:r>
    </w:p>
    <w:p w14:paraId="51C2EF2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42674EE" wp14:editId="1260A814">
                <wp:extent cx="5400040" cy="4445"/>
                <wp:effectExtent l="0" t="31750" r="0" b="36830"/>
                <wp:docPr id="1026192217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6D3CD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E5E84E3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OITAVA – DO FORO DE ELEIÇÃO REGULAMENTAR</w:t>
      </w:r>
    </w:p>
    <w:p w14:paraId="4B1CD5C0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8.1. Para dirimir quaisquer litígios decorrentes da execução deste instrumento, as Partes elegem, de forma irrevogável e irretratável, o Foro da Comarca da sede da PLATAFORMA LETTER/ADQUIRENTE, renunciando expressamente a qualquer outro, por mais privilegiado que seja ou venha a ser [INDEX_5].</w:t>
      </w:r>
    </w:p>
    <w:p w14:paraId="2C41060F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Dado o aceite por manifesto eletrônico de clique e registro de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banco de dados [INDEX_5].</w:t>
      </w:r>
    </w:p>
    <w:p w14:paraId="55924916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1CC409" wp14:editId="67994CA8">
                <wp:extent cx="5400040" cy="4445"/>
                <wp:effectExtent l="0" t="31750" r="0" b="36830"/>
                <wp:docPr id="1723758512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AC2FB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80AB073" w14:textId="77777777" w:rsidR="0047157C" w:rsidRPr="0047157C" w:rsidRDefault="0047157C" w:rsidP="00471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7157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BLOCO 2: TEXTO DE ACEITE INTEGRAL (PARA AS TELAS DO CHECKOUT / SITE)</w:t>
      </w:r>
    </w:p>
    <w:p w14:paraId="7D201559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texto deve ser implementado no fluxo de faturamento e na tela do cronômetro de 24 horas antes do clique de liberação de saldos:</w:t>
      </w:r>
    </w:p>
    <w:p w14:paraId="52DFF4E9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DECLARAÇÃO DE ANUÊNCIA E EXTINÇÃO DE OBRIGAÇÕES JURÍDICAS DE BALCÃO</w:t>
      </w:r>
    </w:p>
    <w:p w14:paraId="74C378F7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"Ao marcar de forma ativa esta caixa de diálogo e assinar digitalmente minhas credenciais,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DECLARO TOTAL CIÊNCIA, INTEGRAL ANUÊNCIA E ACEITE IRREVOGÁVEL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aos termos de desoneração jurídica e rito de verificação de cotas:</w:t>
      </w:r>
    </w:p>
    <w:p w14:paraId="0A049245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47157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Reconheço e aceito que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é de minha inteira e exclusiva responsabilidade realizar a checagem da efetiva transferência da cota para o meu nome por meio do acesso direto à 'Área do Consorciado' no site oficial da Administradora Emissora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declarando ciência de que a PLATAFORMA LETTER e a ADQUIRENTE não realizam consultas diretas a dados de sigilo bancário em cumprimento às normas da LGPD.</w:t>
      </w:r>
    </w:p>
    <w:p w14:paraId="6C6C222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47157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Confirmo total entendimento de que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disponho do prazo improrrogável de 24 (vinte e quatro) horas para efetuar o login no portal da administradora mãe e auditar o ativo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Declaro ciência e plena concordância de que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minha inércia ou o silêncio após o decurso das 24 horas operará o gatilho de ACEITE TÁCITO SISTÊMICO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presumindo-se a cessão 100% concluída e autorizando o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efetuar os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splits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contábeis de pagamento definitivo ao vendedor e taxas da plataforma, extinguindo-se de forma total e irrestrita qualquer obrigação ou solidariedade da LETTER por problemas operacionais posteriores.</w:t>
      </w:r>
    </w:p>
    <w:p w14:paraId="0B6812A2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47157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Declaro pleno acordo de que a aprovação do faturamento do bem (liberação dos recursos para compra de veículos ou imóveis) cabe exclusivamente à Administradora do Consórcio, sendo baseada no meu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capacidade de pagamento [INDEX_5]. A PLATAFORMA atua como mero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intermediação de tecnologia e não se responsabiliza por reprovações de crédito ou recusas de garantias pela administradora [INDEX_5].</w:t>
      </w:r>
    </w:p>
    <w:p w14:paraId="329F951D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Pr="0047157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Aceito que, caso ocorra desistência voluntária pós-7 dias ou o processo seja cancelado por omissão ou recusa cadastral minha junto à administradora, sofrerei a retenção imediata da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Multa Contratual Penal de 10% calculada estritamente sobre o valor do ágio efetivamente pago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descontada direto do saldo retido no cofre </w:t>
      </w:r>
      <w:proofErr w:type="spellStart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comissão zero para a rede de parceiros comerciais [INDEX_5].</w:t>
      </w:r>
    </w:p>
    <w:p w14:paraId="2F283F38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47157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Declaro ciência de que a reserva inicial da cota no ato da compra possui </w:t>
      </w:r>
      <w:r w:rsidRPr="004715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prazo de vigência de 1 (um) dia útil (24 horas)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sendo desfeita automaticamente pelo sistema </w:t>
      </w:r>
      <w:r w:rsidRPr="004715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 a liberação do ativo de volta ao estoque circular em caso de ausência de pagamento compensado dentro do período [INDEX_5]."</w:t>
      </w:r>
    </w:p>
    <w:p w14:paraId="360E1E56" w14:textId="77777777" w:rsidR="0047157C" w:rsidRPr="0047157C" w:rsidRDefault="0047157C" w:rsidP="004715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57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1EBC7E" wp14:editId="59322A74">
                <wp:extent cx="5400040" cy="4445"/>
                <wp:effectExtent l="0" t="31750" r="0" b="36830"/>
                <wp:docPr id="575500442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F709E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52F595E" w14:textId="77777777" w:rsidR="0047157C" w:rsidRDefault="0047157C"/>
    <w:sectPr w:rsidR="00471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8971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509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14500">
    <w:abstractNumId w:val="0"/>
  </w:num>
  <w:num w:numId="2" w16cid:durableId="192179344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7C"/>
    <w:rsid w:val="00000525"/>
    <w:rsid w:val="00231D9A"/>
    <w:rsid w:val="0047157C"/>
    <w:rsid w:val="00536579"/>
    <w:rsid w:val="00AE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27BF6"/>
  <w15:chartTrackingRefBased/>
  <w15:docId w15:val="{E85B1F74-E65A-D64C-A977-D7F551F1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1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1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1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1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15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15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1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15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1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1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15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15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15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1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15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157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47157C"/>
  </w:style>
  <w:style w:type="character" w:styleId="nfase">
    <w:name w:val="Emphasis"/>
    <w:basedOn w:val="Fontepargpadro"/>
    <w:uiPriority w:val="20"/>
    <w:qFormat/>
    <w:rsid w:val="0047157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7157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2134</Words>
  <Characters>11524</Characters>
  <Application>Microsoft Office Word</Application>
  <DocSecurity>0</DocSecurity>
  <Lines>96</Lines>
  <Paragraphs>27</Paragraphs>
  <ScaleCrop>false</ScaleCrop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2026-08-05T23:54:00Z</dcterms:created>
  <dcterms:modified xsi:type="dcterms:W3CDTF">2026-08-05T23:54:00Z</dcterms:modified>
</cp:coreProperties>
</file>