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A3BF75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documentação que você tem em mãos é um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guia conceitual e de diretrizes operacionais completo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contendo as cláusulas master que blindam a sua holding. No entanto, para fins de um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Go-Live em produção com segurança jurídica absoluta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estava faltando a estruturação textual do corpo integral do edital.</w:t>
      </w:r>
    </w:p>
    <w:p w14:paraId="5AF4BE99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que a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SPE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não sofra nenhuma brecha de contestação judicial ou nulidade por falta de formalidade, preparei o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Edital de Leilão Extrajudicial Completo e Unificado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padronizado para ser gerado e publicado de forma 100% automatizada pela </w:t>
      </w:r>
      <w:r w:rsidRPr="00992F0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Nina </w:t>
      </w:r>
      <w:proofErr w:type="spellStart"/>
      <w:r w:rsidRPr="00992F0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Asset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A40DE47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CEA70F" wp14:editId="3CEBADA9">
                <wp:extent cx="5400040" cy="4445"/>
                <wp:effectExtent l="0" t="31750" r="0" b="36830"/>
                <wp:docPr id="1714648264" name="Retângulo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C143C" id="Retângulos 8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59C3CCF" w14:textId="77777777" w:rsidR="00992F07" w:rsidRPr="00992F07" w:rsidRDefault="00992F07" w:rsidP="00992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92F07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🪐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EDITAL MASTER DE LEILÃO EXTRAJUDICIAL DE BENS IMÓVEIS — SÉRIE RWA </w:t>
      </w:r>
      <w:proofErr w:type="spellStart"/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DISTRESS</w:t>
      </w:r>
      <w:proofErr w:type="spellEnd"/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2026</w:t>
      </w:r>
    </w:p>
    <w:p w14:paraId="75D5A424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PROPRIETÁRIA/COMITENTE: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LETTER SPE HOLDING CENTRAL S/A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PLATAFORMA DE ALIENAÇÃO: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PLATAFORMA LETTER (Área </w:t>
      </w:r>
      <w:proofErr w:type="spellStart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Logada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Portal Oficial) [1]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REGIME JURÍDICO: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Artigos 505 e 506 do Código Civil Brasileiro (Pacto de </w:t>
      </w:r>
      <w:proofErr w:type="spellStart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[1]</w:t>
      </w:r>
    </w:p>
    <w:p w14:paraId="2006FC34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72039D" wp14:editId="09016200">
                <wp:extent cx="5400040" cy="4445"/>
                <wp:effectExtent l="0" t="31750" r="0" b="36830"/>
                <wp:docPr id="443249551" name="Retângulo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C39D7" id="Retângulos 7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7062BC9" w14:textId="77777777" w:rsidR="00992F07" w:rsidRPr="00992F07" w:rsidRDefault="00992F07" w:rsidP="00992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1. </w:t>
      </w:r>
      <w:proofErr w:type="spellStart"/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DACONFLITAÇÃO</w:t>
      </w:r>
      <w:proofErr w:type="spellEnd"/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E PREÂMBULO</w:t>
      </w:r>
    </w:p>
    <w:p w14:paraId="52CA9024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SPE HOLDING CENTRAL S/A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pessoa jurídica de direito privado, estruturada sob a forma de Sociedade de Propósito Específico, inscrita no CNPJ sob o nº </w:t>
      </w:r>
      <w:r w:rsidRPr="00992F07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 da SPE Central]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institucional na </w:t>
      </w:r>
      <w:r w:rsidRPr="00992F07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 da SPE Central]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torna público, para conhecimento de terceiros, investidores de varejo e fundos institucionais de atacado, o presente Edital para a venda pública e alienação forçada do bem imóvel abaixo caracterizado, decorrente da caducidade irrevogável e decurso de prazo do direito de </w:t>
      </w:r>
      <w:proofErr w:type="spellStart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por inadimplemento fiduciário crônico superior a 60 (sessenta) dias corridos.</w:t>
      </w:r>
    </w:p>
    <w:p w14:paraId="400891EA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1943D0" wp14:editId="054B43AE">
                <wp:extent cx="5400040" cy="4445"/>
                <wp:effectExtent l="0" t="31750" r="0" b="36830"/>
                <wp:docPr id="905040280" name="Retângulo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D64FC" id="Retângulos 6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3D299DF" w14:textId="77777777" w:rsidR="00992F07" w:rsidRPr="00992F07" w:rsidRDefault="00992F07" w:rsidP="00992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2. DO BEM IMÓVEL E DAS FOTOS ORIGINAIS DE LASTRO</w:t>
      </w:r>
    </w:p>
    <w:p w14:paraId="6165CE03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2.1. Descrição do Ativo: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92F07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[Inserir descrição completa conforme consta na Matrícula Eletrônica do Registro de Imóveis, ex: Casa/Apartamento/Galpão Comercial situado na Rua X, nº Y, Matrícula nº Z do CRI de Cidade/UF]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2.2. Da Auditoria de Imagens (AWS S3):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fins de transparência radical do ativo real (RWA), o anúncio digital deste lote exibe de forma integrada todas as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fotografias periciais originais capturadas pela engenharia de campo da PLATAFORMA LETTER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banco de dados em nuvem (AWS S3) no momento em que a operação de Flash Credit foi originada, atestando a solidez e o estado de conservação do colateral físico.</w:t>
      </w:r>
    </w:p>
    <w:p w14:paraId="199D264E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7017C5" wp14:editId="6E4CA4D3">
                <wp:extent cx="5400040" cy="4445"/>
                <wp:effectExtent l="0" t="31750" r="0" b="36830"/>
                <wp:docPr id="1032913796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92D6E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3CD33050" w14:textId="77777777" w:rsidR="00992F07" w:rsidRPr="00992F07" w:rsidRDefault="00992F07" w:rsidP="00992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lastRenderedPageBreak/>
        <w:t>3. DOS VALORES, LANCES E DO DESCONTO PROGRESSIVO TEMPORAL</w:t>
      </w:r>
    </w:p>
    <w:p w14:paraId="0CF14CD3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3.1. Preço de Abertura: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imóvel entra em oferta na primeira janela temporal com o deságio agressivo fixado em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80% (oitenta por cento) do valor do laudo de avaliação preditiva de mercado (AVM)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gerado pelo sistema, perfazendo o valor de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[Inserir Valor de 80% do AVM]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(por extenso).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3.2. Do Algoritmo de Redução Gradativa: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Caso o lote não receba lances na primeira janela do cronômetro da plataforma, o algoritmo controlado em código pela </w:t>
      </w:r>
      <w:r w:rsidRPr="00992F0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Nina Engine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aplicará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reduções de preço automáticas, lineares e progressivas de acordo com o prazo do edital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forçando a arrematação veloz para a liquidação imediata do capital principal da base investidora </w:t>
      </w:r>
      <w:proofErr w:type="spellStart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pool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1CF360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5C1EB4" wp14:editId="22129005">
                <wp:extent cx="5400040" cy="4445"/>
                <wp:effectExtent l="0" t="31750" r="0" b="36830"/>
                <wp:docPr id="1084987742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1354D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1B1709C" w14:textId="77777777" w:rsidR="00992F07" w:rsidRPr="00992F07" w:rsidRDefault="00992F07" w:rsidP="00992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4. DA CLÁUSULA </w:t>
      </w:r>
      <w:proofErr w:type="spellStart"/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MÁSTRICA</w:t>
      </w:r>
      <w:proofErr w:type="spellEnd"/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DE OCUPAÇÃO E RISCO (BLINDAGEM CONTRA LITÍGIOS)</w:t>
      </w:r>
    </w:p>
    <w:p w14:paraId="5F39D621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4.1. Status Ocupacional: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imóvel objeto deste certame é comercializado em caráter definitivo no estado físico em que se encontra e com o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 RIGOROSO DE OCUPADO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pelo ex-proprietário/terceiros.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4.2. Da Desocupação por Conta do Arrematante: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Fica expressamente pactuado e aceito pelo comprador que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toda e qualquer providência judicial ou extrajudicial necessária para a desocupação do bem, despejo de moradores, imissão forçada na posse e retirada de pertences, bem como todas as custas processuais, taxas de oficiais de justiça e honorários advocatícios, serão de responsabilidade única, exclusiva e integral do ARREMATANTE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4.3. Isenção da Holding: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LETTER SPE HOLDING CENTRAL S/A exime-se de qualquer coparticipação, responsabilidade, custo ou solidariedade pelo sucesso ou celeridade da referida desocupação, não cabendo qualquer direito a reclamações, abatimentos de preço ou cancelamento da compra por motivo de ocupação do bem.</w:t>
      </w:r>
    </w:p>
    <w:p w14:paraId="48D89870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2BE53C" wp14:editId="58060B55">
                <wp:extent cx="5400040" cy="4445"/>
                <wp:effectExtent l="0" t="31750" r="0" b="36830"/>
                <wp:docPr id="1950498529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81C201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385CE278" w14:textId="77777777" w:rsidR="00992F07" w:rsidRPr="00992F07" w:rsidRDefault="00992F07" w:rsidP="00992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5. DA VENDA CASADA IMPULSIONADORA (DOUBLE PAYOUT)</w:t>
      </w:r>
    </w:p>
    <w:p w14:paraId="5E68F101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5.1. Vinculação de Cartas do Estoque: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Como estratégia de aceleração de liquidez de balcão, este anúncio publica de forma casada e atrelada a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venda de cartas de consórcio imobiliário do estoque próprio da LETTER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cujos créditos nominais cobrem o valor exato do bem.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5.2. Regra Comercial da Mesa: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corretor ou </w:t>
      </w:r>
      <w:proofErr w:type="spellStart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Corban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parceiro que fechar a arrematação deste imóvel utilizando e vendendo as cartas de consórcio casadas ao anúncio fará jus ao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Double </w:t>
      </w:r>
      <w:proofErr w:type="spellStart"/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Payout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comissão automática de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2% sobre o leilão imobiliário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e, simultaneamente,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4% sobre o valor total das cartas de consórcio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faturadas na mesma mesa.</w:t>
      </w:r>
    </w:p>
    <w:p w14:paraId="7AF2A447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EDA23A" wp14:editId="09758FEC">
                <wp:extent cx="5400040" cy="4445"/>
                <wp:effectExtent l="0" t="31750" r="0" b="36830"/>
                <wp:docPr id="450000048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AF807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9952DBB" w14:textId="77777777" w:rsidR="00992F07" w:rsidRPr="00992F07" w:rsidRDefault="00992F07" w:rsidP="00992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6. DO PAGAMENTO, DA ATA E DO REGISTRO NO RGI</w:t>
      </w:r>
    </w:p>
    <w:p w14:paraId="7B083506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6.1. Da Quitação: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pagamento do lance vencedor deverá ser realizado de forma integral e à vista, por meio de transferência </w:t>
      </w:r>
      <w:proofErr w:type="spellStart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para a conta </w:t>
      </w:r>
      <w:proofErr w:type="spellStart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unificada da LETTER SPE Central, no prazo máximo de 24 (vinte e quatro) horas após o encerramento do leilão.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6.2. Da Emissão do Título: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Confirmada a compensação bancária, o sistema emitirá em milissegundos a </w:t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Ata de Arrematação com o Selo LETTER (</w:t>
      </w:r>
      <w:proofErr w:type="spellStart"/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Valid-Stamp</w:t>
      </w:r>
      <w:proofErr w:type="spellEnd"/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RS256)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Este documento possui força de Escritura Pública por lei, servindo como título hábil e idôneo para que o ARREMATANTE recolha o ITBI local e promova o registro definitivo da propriedade em seu nome diretamente no Cartório de Registro de Imóveis (RGI).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92F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6.3. Do Suporte Jurídico: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LETTER disponibilizará na área </w:t>
      </w:r>
      <w:proofErr w:type="spellStart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logada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ARREMATANTE o Dossiê Eletrônico contendo o histórico de </w:t>
      </w:r>
      <w:proofErr w:type="spellStart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logs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 </w:t>
      </w:r>
      <w:r w:rsidRPr="00992F0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Nina </w:t>
      </w:r>
      <w:proofErr w:type="spellStart"/>
      <w:r w:rsidRPr="00992F0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Asset</w:t>
      </w:r>
      <w:proofErr w:type="spellEnd"/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a Notificação com Fé Pública do e-Notariado para servir de substrato probatório na ação acelerada de imissão de posse do comprador.</w:t>
      </w:r>
    </w:p>
    <w:p w14:paraId="04E71C12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2F07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[Publicado Eletronicamente via Nina Engine — Conforme Matriz de Governança 2026]</w:t>
      </w:r>
      <w:r w:rsidRPr="00992F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[1]</w:t>
      </w:r>
    </w:p>
    <w:p w14:paraId="312C9FCE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F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1F0628" wp14:editId="073C19EE">
                <wp:extent cx="5400040" cy="4445"/>
                <wp:effectExtent l="0" t="31750" r="0" b="36830"/>
                <wp:docPr id="1510256543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D6739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A91EBDC" w14:textId="71F51264" w:rsidR="00992F07" w:rsidRPr="00992F07" w:rsidRDefault="00992F07" w:rsidP="00A80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B12297E" w14:textId="77777777" w:rsidR="00992F07" w:rsidRPr="00992F07" w:rsidRDefault="00992F07" w:rsidP="00992F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BBFA3B" w14:textId="77777777" w:rsidR="00992F07" w:rsidRDefault="00992F07"/>
    <w:sectPr w:rsidR="00992F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07"/>
    <w:rsid w:val="00101406"/>
    <w:rsid w:val="00992F07"/>
    <w:rsid w:val="00A8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1B2F90"/>
  <w15:chartTrackingRefBased/>
  <w15:docId w15:val="{8283D1E8-0FE8-654D-AC3A-38CEE19D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2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2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2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2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2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2F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2F0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2F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2F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2F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2F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2F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2F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2F0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2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2F0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2F07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992F07"/>
  </w:style>
  <w:style w:type="character" w:styleId="nfase">
    <w:name w:val="Emphasis"/>
    <w:basedOn w:val="Fontepargpadro"/>
    <w:uiPriority w:val="20"/>
    <w:qFormat/>
    <w:rsid w:val="00992F07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92F07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2026-08-05T18:33:00Z</dcterms:created>
  <dcterms:modified xsi:type="dcterms:W3CDTF">2026-08-05T18:33:00Z</dcterms:modified>
</cp:coreProperties>
</file>