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8B674" w14:textId="051A11C2" w:rsidR="00250B7D" w:rsidRPr="00250B7D" w:rsidRDefault="00250B7D" w:rsidP="00250B7D">
      <w:pPr>
        <w:spacing w:after="0" w:line="240" w:lineRule="auto"/>
        <w:rPr>
          <w:rFonts w:ascii="Times New Roman" w:eastAsia="Times New Roman" w:hAnsi="Times New Roman" w:cs="Times New Roman"/>
          <w:kern w:val="0"/>
          <w14:ligatures w14:val="none"/>
        </w:rPr>
      </w:pPr>
    </w:p>
    <w:p w14:paraId="22DC77E1"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INSTRUMENTO PARTICULAR DE CONDIÇÕES GERAIS DE ADESÃO A POOL DE LIQUIDEZ INDIRETA, FRAÇÃO DIGITAL TOKENIZADA E OUTRAS AVENÇAS</w:t>
      </w:r>
    </w:p>
    <w:p w14:paraId="7EEFB040"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Código do Documento:</w:t>
      </w:r>
      <w:r w:rsidRPr="00250B7D">
        <w:rPr>
          <w:rFonts w:ascii="Times New Roman" w:eastAsia="Times New Roman" w:hAnsi="Times New Roman" w:cs="Times New Roman"/>
          <w:color w:val="000000"/>
          <w:kern w:val="0"/>
          <w14:ligatures w14:val="none"/>
        </w:rPr>
        <w:t> </w:t>
      </w:r>
      <w:r w:rsidRPr="00250B7D">
        <w:rPr>
          <w:rFonts w:ascii="Courier New" w:hAnsi="Courier New" w:cs="Courier New"/>
          <w:color w:val="000000"/>
          <w:kern w:val="0"/>
          <w:sz w:val="20"/>
          <w:szCs w:val="20"/>
          <w:bdr w:val="single" w:sz="6" w:space="2" w:color="F4F6F7" w:frame="1"/>
          <w:shd w:val="clear" w:color="auto" w:fill="F4F6F7"/>
          <w14:ligatures w14:val="none"/>
        </w:rPr>
        <w:t>LETTER_POOL_INVESTOR_AGREEMENT_2026_V1.6</w:t>
      </w:r>
      <w:r w:rsidRPr="00250B7D">
        <w:rPr>
          <w:rFonts w:ascii="Times New Roman" w:eastAsia="Times New Roman" w:hAnsi="Times New Roman" w:cs="Times New Roman"/>
          <w:color w:val="000000"/>
          <w:kern w:val="0"/>
          <w14:ligatures w14:val="none"/>
        </w:rPr>
        <w:br/>
      </w:r>
      <w:r w:rsidRPr="00250B7D">
        <w:rPr>
          <w:rFonts w:ascii="Times New Roman" w:eastAsia="Times New Roman" w:hAnsi="Times New Roman" w:cs="Times New Roman"/>
          <w:b/>
          <w:bCs/>
          <w:color w:val="000000"/>
          <w:kern w:val="0"/>
          <w14:ligatures w14:val="none"/>
        </w:rPr>
        <w:t>Lastro Legal:</w:t>
      </w:r>
      <w:r w:rsidRPr="00250B7D">
        <w:rPr>
          <w:rFonts w:ascii="Times New Roman" w:eastAsia="Times New Roman" w:hAnsi="Times New Roman" w:cs="Times New Roman"/>
          <w:color w:val="000000"/>
          <w:kern w:val="0"/>
          <w14:ligatures w14:val="none"/>
        </w:rPr>
        <w:t> Artigos 421, 421-A, 286, 505 a 508 e 991 do Código Civil Brasileiro; Lei nº 13.874/2019 (Declaração de Direitos de Liberdade Econômica); e Parecer de Orientação CVM nº 40/2022.</w:t>
      </w:r>
      <w:r w:rsidRPr="00250B7D">
        <w:rPr>
          <w:rFonts w:ascii="Times New Roman" w:eastAsia="Times New Roman" w:hAnsi="Times New Roman" w:cs="Times New Roman"/>
          <w:color w:val="000000"/>
          <w:kern w:val="0"/>
          <w14:ligatures w14:val="none"/>
        </w:rPr>
        <w:br/>
      </w:r>
      <w:r w:rsidRPr="00250B7D">
        <w:rPr>
          <w:rFonts w:ascii="Times New Roman" w:eastAsia="Times New Roman" w:hAnsi="Times New Roman" w:cs="Times New Roman"/>
          <w:b/>
          <w:bCs/>
          <w:color w:val="000000"/>
          <w:kern w:val="0"/>
          <w14:ligatures w14:val="none"/>
        </w:rPr>
        <w:t>Finalidade:</w:t>
      </w:r>
      <w:r w:rsidRPr="00250B7D">
        <w:rPr>
          <w:rFonts w:ascii="Times New Roman" w:eastAsia="Times New Roman" w:hAnsi="Times New Roman" w:cs="Times New Roman"/>
          <w:color w:val="000000"/>
          <w:kern w:val="0"/>
          <w14:ligatures w14:val="none"/>
        </w:rPr>
        <w:t xml:space="preserve"> Assinatura Eletrônica Avançada / Validação por Clique Ativo e Token Biométrico Facial </w:t>
      </w:r>
      <w:proofErr w:type="spellStart"/>
      <w:r w:rsidRPr="00250B7D">
        <w:rPr>
          <w:rFonts w:ascii="Times New Roman" w:eastAsia="Times New Roman" w:hAnsi="Times New Roman" w:cs="Times New Roman"/>
          <w:color w:val="000000"/>
          <w:kern w:val="0"/>
          <w14:ligatures w14:val="none"/>
        </w:rPr>
        <w:t>Liveness</w:t>
      </w:r>
      <w:proofErr w:type="spellEnd"/>
      <w:r w:rsidRPr="00250B7D">
        <w:rPr>
          <w:rFonts w:ascii="Times New Roman" w:eastAsia="Times New Roman" w:hAnsi="Times New Roman" w:cs="Times New Roman"/>
          <w:color w:val="000000"/>
          <w:kern w:val="0"/>
          <w14:ligatures w14:val="none"/>
        </w:rPr>
        <w:t xml:space="preserve"> SDK.</w:t>
      </w:r>
    </w:p>
    <w:p w14:paraId="4C498C52"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PARTES CONTRATANTES:</w:t>
      </w:r>
    </w:p>
    <w:p w14:paraId="3C991668" w14:textId="77777777" w:rsidR="00250B7D" w:rsidRPr="00250B7D" w:rsidRDefault="00250B7D" w:rsidP="00250B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INTERMEDIADORA OPERACIONAL E GESTORA:</w:t>
      </w:r>
      <w:r w:rsidRPr="00250B7D">
        <w:rPr>
          <w:rFonts w:ascii="Times New Roman" w:eastAsia="Times New Roman" w:hAnsi="Times New Roman" w:cs="Times New Roman"/>
          <w:color w:val="000000"/>
          <w:kern w:val="0"/>
          <w14:ligatures w14:val="none"/>
        </w:rPr>
        <w:t> </w:t>
      </w:r>
      <w:r w:rsidRPr="00250B7D">
        <w:rPr>
          <w:rFonts w:ascii="Times New Roman" w:eastAsia="Times New Roman" w:hAnsi="Times New Roman" w:cs="Times New Roman"/>
          <w:b/>
          <w:bCs/>
          <w:color w:val="000000"/>
          <w:kern w:val="0"/>
          <w14:ligatures w14:val="none"/>
        </w:rPr>
        <w:t>LETTER HOLDING &amp; LETTER FRANQUEADORA LTDA.</w:t>
      </w:r>
      <w:r w:rsidRPr="00250B7D">
        <w:rPr>
          <w:rFonts w:ascii="Times New Roman" w:eastAsia="Times New Roman" w:hAnsi="Times New Roman" w:cs="Times New Roman"/>
          <w:color w:val="000000"/>
          <w:kern w:val="0"/>
          <w14:ligatures w14:val="none"/>
        </w:rPr>
        <w:t>, pessoa jurídica de direito privado, inscrita no CNPJ/ME sob o nº </w:t>
      </w:r>
      <w:r w:rsidRPr="00250B7D">
        <w:rPr>
          <w:rFonts w:ascii="Courier New" w:hAnsi="Courier New" w:cs="Courier New"/>
          <w:color w:val="000000"/>
          <w:kern w:val="0"/>
          <w:sz w:val="20"/>
          <w:szCs w:val="20"/>
          <w:bdr w:val="single" w:sz="6" w:space="2" w:color="F4F6F7" w:frame="1"/>
          <w:shd w:val="clear" w:color="auto" w:fill="F4F6F7"/>
          <w14:ligatures w14:val="none"/>
        </w:rPr>
        <w:t>[CNPJ_da_Holding]</w:t>
      </w:r>
      <w:r w:rsidRPr="00250B7D">
        <w:rPr>
          <w:rFonts w:ascii="Times New Roman" w:eastAsia="Times New Roman" w:hAnsi="Times New Roman" w:cs="Times New Roman"/>
          <w:color w:val="000000"/>
          <w:kern w:val="0"/>
          <w14:ligatures w14:val="none"/>
        </w:rPr>
        <w:t>, com sede estabelecida na </w:t>
      </w:r>
      <w:r w:rsidRPr="00250B7D">
        <w:rPr>
          <w:rFonts w:ascii="Courier New" w:hAnsi="Courier New" w:cs="Courier New"/>
          <w:color w:val="000000"/>
          <w:kern w:val="0"/>
          <w:sz w:val="20"/>
          <w:szCs w:val="20"/>
          <w:bdr w:val="single" w:sz="6" w:space="2" w:color="F4F6F7" w:frame="1"/>
          <w:shd w:val="clear" w:color="auto" w:fill="F4F6F7"/>
          <w14:ligatures w14:val="none"/>
        </w:rPr>
        <w:t>[Endereço_Completo]</w:t>
      </w:r>
      <w:r w:rsidRPr="00250B7D">
        <w:rPr>
          <w:rFonts w:ascii="Times New Roman" w:eastAsia="Times New Roman" w:hAnsi="Times New Roman" w:cs="Times New Roman"/>
          <w:color w:val="000000"/>
          <w:kern w:val="0"/>
          <w14:ligatures w14:val="none"/>
        </w:rPr>
        <w:t>, doravante denominada simplesmente </w:t>
      </w:r>
      <w:r w:rsidRPr="00250B7D">
        <w:rPr>
          <w:rFonts w:ascii="Times New Roman" w:eastAsia="Times New Roman" w:hAnsi="Times New Roman" w:cs="Times New Roman"/>
          <w:b/>
          <w:bCs/>
          <w:color w:val="000000"/>
          <w:kern w:val="0"/>
          <w14:ligatures w14:val="none"/>
        </w:rPr>
        <w:t>LETTER</w:t>
      </w:r>
      <w:r w:rsidRPr="00250B7D">
        <w:rPr>
          <w:rFonts w:ascii="Times New Roman" w:eastAsia="Times New Roman" w:hAnsi="Times New Roman" w:cs="Times New Roman"/>
          <w:color w:val="000000"/>
          <w:kern w:val="0"/>
          <w14:ligatures w14:val="none"/>
        </w:rPr>
        <w:t> ou </w:t>
      </w:r>
      <w:r w:rsidRPr="00250B7D">
        <w:rPr>
          <w:rFonts w:ascii="Times New Roman" w:eastAsia="Times New Roman" w:hAnsi="Times New Roman" w:cs="Times New Roman"/>
          <w:b/>
          <w:bCs/>
          <w:color w:val="000000"/>
          <w:kern w:val="0"/>
          <w14:ligatures w14:val="none"/>
        </w:rPr>
        <w:t>PLATAFORMA</w:t>
      </w:r>
      <w:r w:rsidRPr="00250B7D">
        <w:rPr>
          <w:rFonts w:ascii="Times New Roman" w:eastAsia="Times New Roman" w:hAnsi="Times New Roman" w:cs="Times New Roman"/>
          <w:color w:val="000000"/>
          <w:kern w:val="0"/>
          <w14:ligatures w14:val="none"/>
        </w:rPr>
        <w:t>;</w:t>
      </w:r>
    </w:p>
    <w:p w14:paraId="57FD6DD8" w14:textId="77777777" w:rsidR="00250B7D" w:rsidRPr="00250B7D" w:rsidRDefault="00250B7D" w:rsidP="00250B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ADERENTE INVESTIDOR POOL:</w:t>
      </w:r>
      <w:r w:rsidRPr="00250B7D">
        <w:rPr>
          <w:rFonts w:ascii="Times New Roman" w:eastAsia="Times New Roman" w:hAnsi="Times New Roman" w:cs="Times New Roman"/>
          <w:color w:val="000000"/>
          <w:kern w:val="0"/>
          <w14:ligatures w14:val="none"/>
        </w:rPr>
        <w:t> </w:t>
      </w:r>
      <w:r w:rsidRPr="00250B7D">
        <w:rPr>
          <w:rFonts w:ascii="Courier New" w:hAnsi="Courier New" w:cs="Courier New"/>
          <w:color w:val="000000"/>
          <w:kern w:val="0"/>
          <w:sz w:val="20"/>
          <w:szCs w:val="20"/>
          <w:bdr w:val="single" w:sz="6" w:space="2" w:color="F4F6F7" w:frame="1"/>
          <w:shd w:val="clear" w:color="auto" w:fill="F4F6F7"/>
          <w14:ligatures w14:val="none"/>
        </w:rPr>
        <w:t>[Nome do Investidor / Razão Social]</w:t>
      </w:r>
      <w:r w:rsidRPr="00250B7D">
        <w:rPr>
          <w:rFonts w:ascii="Times New Roman" w:eastAsia="Times New Roman" w:hAnsi="Times New Roman" w:cs="Times New Roman"/>
          <w:color w:val="000000"/>
          <w:kern w:val="0"/>
          <w14:ligatures w14:val="none"/>
        </w:rPr>
        <w:t>, inscrito(a) no CPF/CNPJ sob o nº </w:t>
      </w:r>
      <w:r w:rsidRPr="00250B7D">
        <w:rPr>
          <w:rFonts w:ascii="Courier New" w:hAnsi="Courier New" w:cs="Courier New"/>
          <w:color w:val="000000"/>
          <w:kern w:val="0"/>
          <w:sz w:val="20"/>
          <w:szCs w:val="20"/>
          <w:bdr w:val="single" w:sz="6" w:space="2" w:color="F4F6F7" w:frame="1"/>
          <w:shd w:val="clear" w:color="auto" w:fill="F4F6F7"/>
          <w14:ligatures w14:val="none"/>
        </w:rPr>
        <w:t>[Número]</w:t>
      </w:r>
      <w:r w:rsidRPr="00250B7D">
        <w:rPr>
          <w:rFonts w:ascii="Times New Roman" w:eastAsia="Times New Roman" w:hAnsi="Times New Roman" w:cs="Times New Roman"/>
          <w:color w:val="000000"/>
          <w:kern w:val="0"/>
          <w14:ligatures w14:val="none"/>
        </w:rPr>
        <w:t>, com conta digital ativa e Escritório Virtual validado no Super App LETTER, doravante denominado simplesmente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w:t>
      </w:r>
    </w:p>
    <w:p w14:paraId="306BDE0C"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DECLARAÇÃO DE APORTE E EMISSÃO DE ASSETS:</w:t>
      </w:r>
    </w:p>
    <w:p w14:paraId="35323F63"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color w:val="000000"/>
          <w:kern w:val="0"/>
          <w14:ligatures w14:val="none"/>
        </w:rPr>
        <w:t>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ao manifestar seu consentimento de forma eletrônica mediante clique ativo e autenticação </w:t>
      </w:r>
      <w:proofErr w:type="spellStart"/>
      <w:r w:rsidRPr="00250B7D">
        <w:rPr>
          <w:rFonts w:ascii="Times New Roman" w:eastAsia="Times New Roman" w:hAnsi="Times New Roman" w:cs="Times New Roman"/>
          <w:i/>
          <w:iCs/>
          <w:color w:val="000000"/>
          <w:kern w:val="0"/>
          <w14:ligatures w14:val="none"/>
        </w:rPr>
        <w:t>liveness</w:t>
      </w:r>
      <w:r w:rsidRPr="00250B7D">
        <w:rPr>
          <w:rFonts w:ascii="Times New Roman" w:eastAsia="Times New Roman" w:hAnsi="Times New Roman" w:cs="Times New Roman"/>
          <w:color w:val="000000"/>
          <w:kern w:val="0"/>
          <w14:ligatures w14:val="none"/>
        </w:rPr>
        <w:t>facial</w:t>
      </w:r>
      <w:proofErr w:type="spellEnd"/>
      <w:r w:rsidRPr="00250B7D">
        <w:rPr>
          <w:rFonts w:ascii="Times New Roman" w:eastAsia="Times New Roman" w:hAnsi="Times New Roman" w:cs="Times New Roman"/>
          <w:color w:val="000000"/>
          <w:kern w:val="0"/>
          <w14:ligatures w14:val="none"/>
        </w:rPr>
        <w:t>, declara e adere integralmente às condições gerais deste termo regulamentar de alocação de ativos pulverizados, consolidando a seguinte transação financeira:</w:t>
      </w:r>
    </w:p>
    <w:p w14:paraId="63B68850" w14:textId="77777777" w:rsidR="00250B7D" w:rsidRPr="00250B7D" w:rsidRDefault="00250B7D" w:rsidP="00250B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Valor Total Alocado:</w:t>
      </w:r>
      <w:r w:rsidRPr="00250B7D">
        <w:rPr>
          <w:rFonts w:ascii="Times New Roman" w:eastAsia="Times New Roman" w:hAnsi="Times New Roman" w:cs="Times New Roman"/>
          <w:color w:val="000000"/>
          <w:kern w:val="0"/>
          <w14:ligatures w14:val="none"/>
        </w:rPr>
        <w:t> R$ </w:t>
      </w:r>
      <w:r w:rsidRPr="00250B7D">
        <w:rPr>
          <w:rFonts w:ascii="Courier New" w:hAnsi="Courier New" w:cs="Courier New"/>
          <w:color w:val="000000"/>
          <w:kern w:val="0"/>
          <w:sz w:val="20"/>
          <w:szCs w:val="20"/>
          <w:bdr w:val="single" w:sz="6" w:space="2" w:color="F4F6F7" w:frame="1"/>
          <w:shd w:val="clear" w:color="auto" w:fill="F4F6F7"/>
          <w14:ligatures w14:val="none"/>
        </w:rPr>
        <w:t>[Valor</w:t>
      </w:r>
      <w:proofErr w:type="gramStart"/>
      <w:r w:rsidRPr="00250B7D">
        <w:rPr>
          <w:rFonts w:ascii="Courier New" w:hAnsi="Courier New" w:cs="Courier New"/>
          <w:color w:val="000000"/>
          <w:kern w:val="0"/>
          <w:sz w:val="20"/>
          <w:szCs w:val="20"/>
          <w:bdr w:val="single" w:sz="6" w:space="2" w:color="F4F6F7" w:frame="1"/>
          <w:shd w:val="clear" w:color="auto" w:fill="F4F6F7"/>
          <w14:ligatures w14:val="none"/>
        </w:rPr>
        <w:t>_Total</w:t>
      </w:r>
      <w:proofErr w:type="gramEnd"/>
      <w:r w:rsidRPr="00250B7D">
        <w:rPr>
          <w:rFonts w:ascii="Courier New" w:hAnsi="Courier New" w:cs="Courier New"/>
          <w:color w:val="000000"/>
          <w:kern w:val="0"/>
          <w:sz w:val="20"/>
          <w:szCs w:val="20"/>
          <w:bdr w:val="single" w:sz="6" w:space="2" w:color="F4F6F7" w:frame="1"/>
          <w:shd w:val="clear" w:color="auto" w:fill="F4F6F7"/>
          <w14:ligatures w14:val="none"/>
        </w:rPr>
        <w:t>_Alocado_BRL]</w:t>
      </w:r>
    </w:p>
    <w:p w14:paraId="6C984C9C" w14:textId="77777777" w:rsidR="00250B7D" w:rsidRPr="00250B7D" w:rsidRDefault="00250B7D" w:rsidP="00250B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Quantidade de Frações Emitidas:</w:t>
      </w:r>
      <w:r w:rsidRPr="00250B7D">
        <w:rPr>
          <w:rFonts w:ascii="Times New Roman" w:eastAsia="Times New Roman" w:hAnsi="Times New Roman" w:cs="Times New Roman"/>
          <w:color w:val="000000"/>
          <w:kern w:val="0"/>
          <w14:ligatures w14:val="none"/>
        </w:rPr>
        <w:t> </w:t>
      </w:r>
      <w:r w:rsidRPr="00250B7D">
        <w:rPr>
          <w:rFonts w:ascii="Courier New" w:hAnsi="Courier New" w:cs="Courier New"/>
          <w:color w:val="000000"/>
          <w:kern w:val="0"/>
          <w:sz w:val="20"/>
          <w:szCs w:val="20"/>
          <w:bdr w:val="single" w:sz="6" w:space="2" w:color="F4F6F7" w:frame="1"/>
          <w:shd w:val="clear" w:color="auto" w:fill="F4F6F7"/>
          <w14:ligatures w14:val="none"/>
        </w:rPr>
        <w:t>[Quantidade_Tokens</w:t>
      </w:r>
      <w:proofErr w:type="gramStart"/>
      <w:r w:rsidRPr="00250B7D">
        <w:rPr>
          <w:rFonts w:ascii="Courier New" w:hAnsi="Courier New" w:cs="Courier New"/>
          <w:color w:val="000000"/>
          <w:kern w:val="0"/>
          <w:sz w:val="20"/>
          <w:szCs w:val="20"/>
          <w:bdr w:val="single" w:sz="6" w:space="2" w:color="F4F6F7" w:frame="1"/>
          <w:shd w:val="clear" w:color="auto" w:fill="F4F6F7"/>
          <w14:ligatures w14:val="none"/>
        </w:rPr>
        <w:t>_Emitidos</w:t>
      </w:r>
      <w:proofErr w:type="gramEnd"/>
      <w:r w:rsidRPr="00250B7D">
        <w:rPr>
          <w:rFonts w:ascii="Courier New" w:hAnsi="Courier New" w:cs="Courier New"/>
          <w:color w:val="000000"/>
          <w:kern w:val="0"/>
          <w:sz w:val="20"/>
          <w:szCs w:val="20"/>
          <w:bdr w:val="single" w:sz="6" w:space="2" w:color="F4F6F7" w:frame="1"/>
          <w:shd w:val="clear" w:color="auto" w:fill="F4F6F7"/>
          <w14:ligatures w14:val="none"/>
        </w:rPr>
        <w:t>]</w:t>
      </w:r>
      <w:r w:rsidRPr="00250B7D">
        <w:rPr>
          <w:rFonts w:ascii="Times New Roman" w:eastAsia="Times New Roman" w:hAnsi="Times New Roman" w:cs="Times New Roman"/>
          <w:color w:val="000000"/>
          <w:kern w:val="0"/>
          <w14:ligatures w14:val="none"/>
        </w:rPr>
        <w:t> Tokens Digitais</w:t>
      </w:r>
    </w:p>
    <w:p w14:paraId="29BFFDED" w14:textId="77777777" w:rsidR="00250B7D" w:rsidRPr="00250B7D" w:rsidRDefault="00250B7D" w:rsidP="00250B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Custo Unitário do Token de Lastro:</w:t>
      </w:r>
      <w:r w:rsidRPr="00250B7D">
        <w:rPr>
          <w:rFonts w:ascii="Times New Roman" w:eastAsia="Times New Roman" w:hAnsi="Times New Roman" w:cs="Times New Roman"/>
          <w:color w:val="000000"/>
          <w:kern w:val="0"/>
          <w14:ligatures w14:val="none"/>
        </w:rPr>
        <w:t> R$ 100,00 (cem reais) por unidade padrão ERC-1155.</w:t>
      </w:r>
    </w:p>
    <w:p w14:paraId="457D2D50" w14:textId="5427F8CC" w:rsidR="00250B7D" w:rsidRPr="00250B7D" w:rsidRDefault="00250B7D" w:rsidP="00250B7D">
      <w:pPr>
        <w:spacing w:after="0" w:line="240" w:lineRule="auto"/>
        <w:rPr>
          <w:rFonts w:ascii="Times New Roman" w:eastAsia="Times New Roman" w:hAnsi="Times New Roman" w:cs="Times New Roman"/>
          <w:kern w:val="0"/>
          <w14:ligatures w14:val="none"/>
        </w:rPr>
      </w:pPr>
    </w:p>
    <w:p w14:paraId="6E402316"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CLÁUSULA PRIMEIRA – DO OBJETO E ABRANGÊNCIA DO FRACIONAMENTO DIGITAL</w:t>
      </w:r>
    </w:p>
    <w:p w14:paraId="2D8EF8B5"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1.1.</w:t>
      </w:r>
      <w:r w:rsidRPr="00250B7D">
        <w:rPr>
          <w:rFonts w:ascii="Times New Roman" w:eastAsia="Times New Roman" w:hAnsi="Times New Roman" w:cs="Times New Roman"/>
          <w:color w:val="000000"/>
          <w:kern w:val="0"/>
          <w14:ligatures w14:val="none"/>
        </w:rPr>
        <w:t xml:space="preserve"> O objeto do presente contrato é o estabelecimento das condições gerais de governança, riscos, rentabilidade e </w:t>
      </w:r>
      <w:proofErr w:type="spellStart"/>
      <w:r w:rsidRPr="00250B7D">
        <w:rPr>
          <w:rFonts w:ascii="Times New Roman" w:eastAsia="Times New Roman" w:hAnsi="Times New Roman" w:cs="Times New Roman"/>
          <w:color w:val="000000"/>
          <w:kern w:val="0"/>
          <w14:ligatures w14:val="none"/>
        </w:rPr>
        <w:t>compliance</w:t>
      </w:r>
      <w:proofErr w:type="spellEnd"/>
      <w:r w:rsidRPr="00250B7D">
        <w:rPr>
          <w:rFonts w:ascii="Times New Roman" w:eastAsia="Times New Roman" w:hAnsi="Times New Roman" w:cs="Times New Roman"/>
          <w:color w:val="000000"/>
          <w:kern w:val="0"/>
          <w14:ligatures w14:val="none"/>
        </w:rPr>
        <w:t xml:space="preserve"> que regem a alocação voluntária de recursos financeiros pelo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xml:space="preserve"> dentro do ecossistema e dos Pools de </w:t>
      </w:r>
      <w:r w:rsidRPr="00250B7D">
        <w:rPr>
          <w:rFonts w:ascii="Times New Roman" w:eastAsia="Times New Roman" w:hAnsi="Times New Roman" w:cs="Times New Roman"/>
          <w:color w:val="000000"/>
          <w:kern w:val="0"/>
          <w14:ligatures w14:val="none"/>
        </w:rPr>
        <w:lastRenderedPageBreak/>
        <w:t>Liquidez pulverizados geridos e custodiados indiretamente por Sociedades de Propósito Específico (SPE) e estruturas colaterais vinculadas à </w:t>
      </w:r>
      <w:r w:rsidRPr="00250B7D">
        <w:rPr>
          <w:rFonts w:ascii="Times New Roman" w:eastAsia="Times New Roman" w:hAnsi="Times New Roman" w:cs="Times New Roman"/>
          <w:b/>
          <w:bCs/>
          <w:color w:val="000000"/>
          <w:kern w:val="0"/>
          <w14:ligatures w14:val="none"/>
        </w:rPr>
        <w:t>LETTER</w:t>
      </w:r>
      <w:r w:rsidRPr="00250B7D">
        <w:rPr>
          <w:rFonts w:ascii="Times New Roman" w:eastAsia="Times New Roman" w:hAnsi="Times New Roman" w:cs="Times New Roman"/>
          <w:color w:val="000000"/>
          <w:kern w:val="0"/>
          <w14:ligatures w14:val="none"/>
        </w:rPr>
        <w:t>.</w:t>
      </w:r>
    </w:p>
    <w:p w14:paraId="60E7F904"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1.2. DO FRACIONAMENTO EM BLOCOS (ERC-1155):</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declara total ciência de que a alocação de seu capital é operacionalizada de maneira fracionada por meio de tecnologia de registro distribuído (Blockchain) interna. No milissegundo exato do aporte, o sistema </w:t>
      </w:r>
      <w:r w:rsidRPr="00250B7D">
        <w:rPr>
          <w:rFonts w:ascii="Times New Roman" w:eastAsia="Times New Roman" w:hAnsi="Times New Roman" w:cs="Times New Roman"/>
          <w:i/>
          <w:iCs/>
          <w:color w:val="000000"/>
          <w:kern w:val="0"/>
          <w14:ligatures w14:val="none"/>
        </w:rPr>
        <w:t>core</w:t>
      </w:r>
      <w:r w:rsidRPr="00250B7D">
        <w:rPr>
          <w:rFonts w:ascii="Times New Roman" w:eastAsia="Times New Roman" w:hAnsi="Times New Roman" w:cs="Times New Roman"/>
          <w:color w:val="000000"/>
          <w:kern w:val="0"/>
          <w14:ligatures w14:val="none"/>
        </w:rPr>
        <w:t> emite frações criptográficas de R$ 100,00 (cem reais) cada, sob o padrão técnico ERC-1155, servindo a posse digital deste token na Wallet do usuário como o único título auditável de propriedade de sua fração de lastro.</w:t>
      </w:r>
    </w:p>
    <w:p w14:paraId="3E48F04F"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1.3. REGIME EMPRESARIAL E MERCANTIL B2B:</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reconhece que os Pools financiam estritamente operações de alavancagem cambial e </w:t>
      </w:r>
      <w:proofErr w:type="spellStart"/>
      <w:r w:rsidRPr="00250B7D">
        <w:rPr>
          <w:rFonts w:ascii="Times New Roman" w:eastAsia="Times New Roman" w:hAnsi="Times New Roman" w:cs="Times New Roman"/>
          <w:i/>
          <w:iCs/>
          <w:color w:val="000000"/>
          <w:kern w:val="0"/>
          <w14:ligatures w14:val="none"/>
        </w:rPr>
        <w:t>distress</w:t>
      </w:r>
      <w:proofErr w:type="spellEnd"/>
      <w:r w:rsidRPr="00250B7D">
        <w:rPr>
          <w:rFonts w:ascii="Times New Roman" w:eastAsia="Times New Roman" w:hAnsi="Times New Roman" w:cs="Times New Roman"/>
          <w:color w:val="000000"/>
          <w:kern w:val="0"/>
          <w14:ligatures w14:val="none"/>
        </w:rPr>
        <w:t> patrimonial imobiliário voltados a Pessoas Jurídicas e estruturas corporativas. Em razão da natureza mercantil simétrica das operações finalísticas lastreadas, </w:t>
      </w:r>
      <w:r w:rsidRPr="00250B7D">
        <w:rPr>
          <w:rFonts w:ascii="Times New Roman" w:eastAsia="Times New Roman" w:hAnsi="Times New Roman" w:cs="Times New Roman"/>
          <w:b/>
          <w:bCs/>
          <w:color w:val="000000"/>
          <w:kern w:val="0"/>
          <w14:ligatures w14:val="none"/>
        </w:rPr>
        <w:t>fica sumariamente afastada a aplicação do Código de Defesa do Consumidor (CDC)</w:t>
      </w:r>
      <w:r w:rsidRPr="00250B7D">
        <w:rPr>
          <w:rFonts w:ascii="Times New Roman" w:eastAsia="Times New Roman" w:hAnsi="Times New Roman" w:cs="Times New Roman"/>
          <w:color w:val="000000"/>
          <w:kern w:val="0"/>
          <w14:ligatures w14:val="none"/>
        </w:rPr>
        <w:t> sobre este termo ou sobre os cupons repassados.</w:t>
      </w:r>
    </w:p>
    <w:p w14:paraId="0F37E915" w14:textId="1C80823A" w:rsidR="00250B7D" w:rsidRPr="00250B7D" w:rsidRDefault="00250B7D" w:rsidP="00250B7D">
      <w:pPr>
        <w:spacing w:after="0" w:line="240" w:lineRule="auto"/>
        <w:rPr>
          <w:rFonts w:ascii="Times New Roman" w:eastAsia="Times New Roman" w:hAnsi="Times New Roman" w:cs="Times New Roman"/>
          <w:kern w:val="0"/>
          <w14:ligatures w14:val="none"/>
        </w:rPr>
      </w:pPr>
    </w:p>
    <w:p w14:paraId="6EF5910F"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CLÁUSULA SEGUNDA – DAS REGRAS DE RENTABILIDADE DINÂMICA E PAGAMENTO GARANTIDO</w:t>
      </w:r>
    </w:p>
    <w:p w14:paraId="5DCAE2C2"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2.1.</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xml:space="preserve"> aloca seu saldo livre nas esteiras tecnológicas da plataforma, cujas lógicas de remuneração são aplicadas pelo gateway </w:t>
      </w:r>
      <w:proofErr w:type="spellStart"/>
      <w:r w:rsidRPr="00250B7D">
        <w:rPr>
          <w:rFonts w:ascii="Times New Roman" w:eastAsia="Times New Roman" w:hAnsi="Times New Roman" w:cs="Times New Roman"/>
          <w:color w:val="000000"/>
          <w:kern w:val="0"/>
          <w14:ligatures w14:val="none"/>
        </w:rPr>
        <w:t>BaaS</w:t>
      </w:r>
      <w:proofErr w:type="spellEnd"/>
      <w:r w:rsidRPr="00250B7D">
        <w:rPr>
          <w:rFonts w:ascii="Times New Roman" w:eastAsia="Times New Roman" w:hAnsi="Times New Roman" w:cs="Times New Roman"/>
          <w:color w:val="000000"/>
          <w:kern w:val="0"/>
          <w14:ligatures w14:val="none"/>
        </w:rPr>
        <w:t xml:space="preserve"> de maneira autônoma com base nos parâmetros inseridos e editados manualmente pela diretoria no Painel Master Administrativo, obedecendo às seguintes regras estruturais de rendimento garantido:</w:t>
      </w:r>
    </w:p>
    <w:p w14:paraId="4B6A257C" w14:textId="77777777" w:rsidR="00250B7D" w:rsidRPr="00250B7D" w:rsidRDefault="00250B7D" w:rsidP="00250B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A) ESTEIRA FLASH CREDIT (Pacto de Retrovenda Imobiliária):</w:t>
      </w:r>
      <w:r w:rsidRPr="00250B7D">
        <w:rPr>
          <w:rFonts w:ascii="Times New Roman" w:eastAsia="Times New Roman" w:hAnsi="Times New Roman" w:cs="Times New Roman"/>
          <w:color w:val="000000"/>
          <w:kern w:val="0"/>
          <w14:ligatures w14:val="none"/>
        </w:rPr>
        <w:t xml:space="preserve"> O capital </w:t>
      </w:r>
      <w:proofErr w:type="spellStart"/>
      <w:r w:rsidRPr="00250B7D">
        <w:rPr>
          <w:rFonts w:ascii="Times New Roman" w:eastAsia="Times New Roman" w:hAnsi="Times New Roman" w:cs="Times New Roman"/>
          <w:color w:val="000000"/>
          <w:kern w:val="0"/>
          <w14:ligatures w14:val="none"/>
        </w:rPr>
        <w:t>tokenizado</w:t>
      </w:r>
      <w:proofErr w:type="spellEnd"/>
      <w:r w:rsidRPr="00250B7D">
        <w:rPr>
          <w:rFonts w:ascii="Times New Roman" w:eastAsia="Times New Roman" w:hAnsi="Times New Roman" w:cs="Times New Roman"/>
          <w:color w:val="000000"/>
          <w:kern w:val="0"/>
          <w14:ligatures w14:val="none"/>
        </w:rPr>
        <w:t xml:space="preserve"> rende a taxa de fruição mensal vigente no sistema no momento exato do aporte, correspondente a </w:t>
      </w:r>
      <w:r w:rsidRPr="00250B7D">
        <w:rPr>
          <w:rFonts w:ascii="Courier New" w:hAnsi="Courier New" w:cs="Courier New"/>
          <w:b/>
          <w:bCs/>
          <w:color w:val="000000"/>
          <w:kern w:val="0"/>
          <w:sz w:val="20"/>
          <w:szCs w:val="20"/>
          <w:bdr w:val="single" w:sz="6" w:space="2" w:color="F4F6F7" w:frame="1"/>
          <w:shd w:val="clear" w:color="auto" w:fill="F4F6F7"/>
          <w14:ligatures w14:val="none"/>
        </w:rPr>
        <w:t>[Taxa_Varejo_</w:t>
      </w:r>
      <w:proofErr w:type="gramStart"/>
      <w:r w:rsidRPr="00250B7D">
        <w:rPr>
          <w:rFonts w:ascii="Courier New" w:hAnsi="Courier New" w:cs="Courier New"/>
          <w:b/>
          <w:bCs/>
          <w:color w:val="000000"/>
          <w:kern w:val="0"/>
          <w:sz w:val="20"/>
          <w:szCs w:val="20"/>
          <w:bdr w:val="single" w:sz="6" w:space="2" w:color="F4F6F7" w:frame="1"/>
          <w:shd w:val="clear" w:color="auto" w:fill="F4F6F7"/>
          <w14:ligatures w14:val="none"/>
        </w:rPr>
        <w:t>Menor]</w:t>
      </w:r>
      <w:r w:rsidRPr="00250B7D">
        <w:rPr>
          <w:rFonts w:ascii="Times New Roman" w:eastAsia="Times New Roman" w:hAnsi="Times New Roman" w:cs="Times New Roman"/>
          <w:b/>
          <w:bCs/>
          <w:color w:val="000000"/>
          <w:kern w:val="0"/>
          <w14:ligatures w14:val="none"/>
        </w:rPr>
        <w:t>%</w:t>
      </w:r>
      <w:proofErr w:type="gramEnd"/>
      <w:r w:rsidRPr="00250B7D">
        <w:rPr>
          <w:rFonts w:ascii="Times New Roman" w:eastAsia="Times New Roman" w:hAnsi="Times New Roman" w:cs="Times New Roman"/>
          <w:b/>
          <w:bCs/>
          <w:color w:val="000000"/>
          <w:kern w:val="0"/>
          <w14:ligatures w14:val="none"/>
        </w:rPr>
        <w:t xml:space="preserve"> ao mês</w:t>
      </w:r>
      <w:r w:rsidRPr="00250B7D">
        <w:rPr>
          <w:rFonts w:ascii="Times New Roman" w:eastAsia="Times New Roman" w:hAnsi="Times New Roman" w:cs="Times New Roman"/>
          <w:color w:val="000000"/>
          <w:kern w:val="0"/>
          <w14:ligatures w14:val="none"/>
        </w:rPr>
        <w:t> para investimentos globais inferiores a R$ 100.000,00 (cem mil reais), ou </w:t>
      </w:r>
      <w:r w:rsidRPr="00250B7D">
        <w:rPr>
          <w:rFonts w:ascii="Courier New" w:hAnsi="Courier New" w:cs="Courier New"/>
          <w:b/>
          <w:bCs/>
          <w:color w:val="000000"/>
          <w:kern w:val="0"/>
          <w:sz w:val="20"/>
          <w:szCs w:val="20"/>
          <w:bdr w:val="single" w:sz="6" w:space="2" w:color="F4F6F7" w:frame="1"/>
          <w:shd w:val="clear" w:color="auto" w:fill="F4F6F7"/>
          <w14:ligatures w14:val="none"/>
        </w:rPr>
        <w:t>[Taxa_Varejo_Maior]</w:t>
      </w:r>
      <w:r w:rsidRPr="00250B7D">
        <w:rPr>
          <w:rFonts w:ascii="Times New Roman" w:eastAsia="Times New Roman" w:hAnsi="Times New Roman" w:cs="Times New Roman"/>
          <w:b/>
          <w:bCs/>
          <w:color w:val="000000"/>
          <w:kern w:val="0"/>
          <w14:ligatures w14:val="none"/>
        </w:rPr>
        <w:t>% ao mês</w:t>
      </w:r>
      <w:r w:rsidRPr="00250B7D">
        <w:rPr>
          <w:rFonts w:ascii="Times New Roman" w:eastAsia="Times New Roman" w:hAnsi="Times New Roman" w:cs="Times New Roman"/>
          <w:color w:val="000000"/>
          <w:kern w:val="0"/>
          <w14:ligatures w14:val="none"/>
        </w:rPr>
        <w:t> para investimentos globais iguais ou superiores a R$ 100.000,00 (cem mil reais), calculada e amortizada pelo sistema da Tabela Price. O prazo nominal da operação é de 36 meses lineares ou 60 meses contendo </w:t>
      </w:r>
      <w:r w:rsidRPr="00250B7D">
        <w:rPr>
          <w:rFonts w:ascii="Times New Roman" w:eastAsia="Times New Roman" w:hAnsi="Times New Roman" w:cs="Times New Roman"/>
          <w:i/>
          <w:iCs/>
          <w:color w:val="000000"/>
          <w:kern w:val="0"/>
          <w14:ligatures w14:val="none"/>
        </w:rPr>
        <w:t>Parcela Balão (</w:t>
      </w:r>
      <w:proofErr w:type="spellStart"/>
      <w:r w:rsidRPr="00250B7D">
        <w:rPr>
          <w:rFonts w:ascii="Times New Roman" w:eastAsia="Times New Roman" w:hAnsi="Times New Roman" w:cs="Times New Roman"/>
          <w:i/>
          <w:iCs/>
          <w:color w:val="000000"/>
          <w:kern w:val="0"/>
          <w14:ligatures w14:val="none"/>
        </w:rPr>
        <w:t>Balloon</w:t>
      </w:r>
      <w:proofErr w:type="spellEnd"/>
      <w:r w:rsidRPr="00250B7D">
        <w:rPr>
          <w:rFonts w:ascii="Times New Roman" w:eastAsia="Times New Roman" w:hAnsi="Times New Roman" w:cs="Times New Roman"/>
          <w:i/>
          <w:iCs/>
          <w:color w:val="000000"/>
          <w:kern w:val="0"/>
          <w14:ligatures w14:val="none"/>
        </w:rPr>
        <w:t xml:space="preserve"> </w:t>
      </w:r>
      <w:proofErr w:type="spellStart"/>
      <w:r w:rsidRPr="00250B7D">
        <w:rPr>
          <w:rFonts w:ascii="Times New Roman" w:eastAsia="Times New Roman" w:hAnsi="Times New Roman" w:cs="Times New Roman"/>
          <w:i/>
          <w:iCs/>
          <w:color w:val="000000"/>
          <w:kern w:val="0"/>
          <w14:ligatures w14:val="none"/>
        </w:rPr>
        <w:t>Payment</w:t>
      </w:r>
      <w:proofErr w:type="spellEnd"/>
      <w:r w:rsidRPr="00250B7D">
        <w:rPr>
          <w:rFonts w:ascii="Times New Roman" w:eastAsia="Times New Roman" w:hAnsi="Times New Roman" w:cs="Times New Roman"/>
          <w:i/>
          <w:iCs/>
          <w:color w:val="000000"/>
          <w:kern w:val="0"/>
          <w14:ligatures w14:val="none"/>
        </w:rPr>
        <w:t>)</w:t>
      </w:r>
      <w:r w:rsidRPr="00250B7D">
        <w:rPr>
          <w:rFonts w:ascii="Times New Roman" w:eastAsia="Times New Roman" w:hAnsi="Times New Roman" w:cs="Times New Roman"/>
          <w:color w:val="000000"/>
          <w:kern w:val="0"/>
          <w14:ligatures w14:val="none"/>
        </w:rPr>
        <w:t> compulsória e obrigatória na parcela de número 36 para quitação global e resgate do bem.</w:t>
      </w:r>
    </w:p>
    <w:p w14:paraId="422CED4C" w14:textId="77777777" w:rsidR="00250B7D" w:rsidRPr="00250B7D" w:rsidRDefault="00250B7D" w:rsidP="00250B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B) DA OBRIGAÇÃO DE PAGAMENTO INCONDICIONAL DA LETTER:</w:t>
      </w:r>
      <w:r w:rsidRPr="00250B7D">
        <w:rPr>
          <w:rFonts w:ascii="Times New Roman" w:eastAsia="Times New Roman" w:hAnsi="Times New Roman" w:cs="Times New Roman"/>
          <w:color w:val="000000"/>
          <w:kern w:val="0"/>
          <w14:ligatures w14:val="none"/>
        </w:rPr>
        <w:t> O repasse dos cupons mensais da Esteira Flash Credit descritos no item "A" é de responsabilidade direta e incondicional da </w:t>
      </w:r>
      <w:r w:rsidRPr="00250B7D">
        <w:rPr>
          <w:rFonts w:ascii="Times New Roman" w:eastAsia="Times New Roman" w:hAnsi="Times New Roman" w:cs="Times New Roman"/>
          <w:b/>
          <w:bCs/>
          <w:color w:val="000000"/>
          <w:kern w:val="0"/>
          <w14:ligatures w14:val="none"/>
        </w:rPr>
        <w:t>LETTER SPE</w:t>
      </w:r>
      <w:r w:rsidRPr="00250B7D">
        <w:rPr>
          <w:rFonts w:ascii="Times New Roman" w:eastAsia="Times New Roman" w:hAnsi="Times New Roman" w:cs="Times New Roman"/>
          <w:color w:val="000000"/>
          <w:kern w:val="0"/>
          <w14:ligatures w14:val="none"/>
        </w:rPr>
        <w:t>, sendo efetuado rigorosamente na data de vencimento digital direto na Wallet do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independentemente de eventuais atrasos, flutuações de prazo ou inadimplência temporária do cliente PJ locatário na outra ponta. A </w:t>
      </w:r>
      <w:r w:rsidRPr="00250B7D">
        <w:rPr>
          <w:rFonts w:ascii="Times New Roman" w:eastAsia="Times New Roman" w:hAnsi="Times New Roman" w:cs="Times New Roman"/>
          <w:b/>
          <w:bCs/>
          <w:color w:val="000000"/>
          <w:kern w:val="0"/>
          <w14:ligatures w14:val="none"/>
        </w:rPr>
        <w:t>LETTER</w:t>
      </w:r>
      <w:r w:rsidRPr="00250B7D">
        <w:rPr>
          <w:rFonts w:ascii="Times New Roman" w:eastAsia="Times New Roman" w:hAnsi="Times New Roman" w:cs="Times New Roman"/>
          <w:color w:val="000000"/>
          <w:kern w:val="0"/>
          <w14:ligatures w14:val="none"/>
        </w:rPr>
        <w:t> assume a obrigação de honrar a pontualidade dos rendimentos utilizando o seu Fundo de Reserva de Liquidez e Proteção de Perdas (</w:t>
      </w:r>
      <w:proofErr w:type="spellStart"/>
      <w:r w:rsidRPr="00250B7D">
        <w:rPr>
          <w:rFonts w:ascii="Times New Roman" w:eastAsia="Times New Roman" w:hAnsi="Times New Roman" w:cs="Times New Roman"/>
          <w:i/>
          <w:iCs/>
          <w:color w:val="000000"/>
          <w:kern w:val="0"/>
          <w14:ligatures w14:val="none"/>
        </w:rPr>
        <w:t>Loss</w:t>
      </w:r>
      <w:proofErr w:type="spellEnd"/>
      <w:r w:rsidRPr="00250B7D">
        <w:rPr>
          <w:rFonts w:ascii="Times New Roman" w:eastAsia="Times New Roman" w:hAnsi="Times New Roman" w:cs="Times New Roman"/>
          <w:i/>
          <w:iCs/>
          <w:color w:val="000000"/>
          <w:kern w:val="0"/>
          <w14:ligatures w14:val="none"/>
        </w:rPr>
        <w:t xml:space="preserve"> </w:t>
      </w:r>
      <w:proofErr w:type="spellStart"/>
      <w:r w:rsidRPr="00250B7D">
        <w:rPr>
          <w:rFonts w:ascii="Times New Roman" w:eastAsia="Times New Roman" w:hAnsi="Times New Roman" w:cs="Times New Roman"/>
          <w:i/>
          <w:iCs/>
          <w:color w:val="000000"/>
          <w:kern w:val="0"/>
          <w14:ligatures w14:val="none"/>
        </w:rPr>
        <w:t>Protection</w:t>
      </w:r>
      <w:proofErr w:type="spellEnd"/>
      <w:r w:rsidRPr="00250B7D">
        <w:rPr>
          <w:rFonts w:ascii="Times New Roman" w:eastAsia="Times New Roman" w:hAnsi="Times New Roman" w:cs="Times New Roman"/>
          <w:color w:val="000000"/>
          <w:kern w:val="0"/>
          <w14:ligatures w14:val="none"/>
        </w:rPr>
        <w:t>) da SPE.</w:t>
      </w:r>
    </w:p>
    <w:p w14:paraId="509861FD" w14:textId="77777777" w:rsidR="00250B7D" w:rsidRPr="00250B7D" w:rsidRDefault="00250B7D" w:rsidP="00250B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C) ESTEIRA SDC (Consórcio Estruturado para Giro):</w:t>
      </w:r>
      <w:r w:rsidRPr="00250B7D">
        <w:rPr>
          <w:rFonts w:ascii="Times New Roman" w:eastAsia="Times New Roman" w:hAnsi="Times New Roman" w:cs="Times New Roman"/>
          <w:color w:val="000000"/>
          <w:kern w:val="0"/>
          <w14:ligatures w14:val="none"/>
        </w:rPr>
        <w:t xml:space="preserve"> O capital </w:t>
      </w:r>
      <w:proofErr w:type="spellStart"/>
      <w:r w:rsidRPr="00250B7D">
        <w:rPr>
          <w:rFonts w:ascii="Times New Roman" w:eastAsia="Times New Roman" w:hAnsi="Times New Roman" w:cs="Times New Roman"/>
          <w:color w:val="000000"/>
          <w:kern w:val="0"/>
          <w14:ligatures w14:val="none"/>
        </w:rPr>
        <w:t>tokenizado</w:t>
      </w:r>
      <w:proofErr w:type="spellEnd"/>
      <w:r w:rsidRPr="00250B7D">
        <w:rPr>
          <w:rFonts w:ascii="Times New Roman" w:eastAsia="Times New Roman" w:hAnsi="Times New Roman" w:cs="Times New Roman"/>
          <w:color w:val="000000"/>
          <w:kern w:val="0"/>
          <w14:ligatures w14:val="none"/>
        </w:rPr>
        <w:t xml:space="preserve"> rende uma taxa fixa de 2,5% ao mês, calculada a Juros Simples acumulados </w:t>
      </w:r>
      <w:r w:rsidRPr="00250B7D">
        <w:rPr>
          <w:rFonts w:ascii="Times New Roman" w:eastAsia="Times New Roman" w:hAnsi="Times New Roman" w:cs="Times New Roman"/>
          <w:i/>
          <w:iCs/>
          <w:color w:val="000000"/>
          <w:kern w:val="0"/>
          <w14:ligatures w14:val="none"/>
        </w:rPr>
        <w:t>pro-rata</w:t>
      </w:r>
      <w:r w:rsidRPr="00250B7D">
        <w:rPr>
          <w:rFonts w:ascii="Times New Roman" w:eastAsia="Times New Roman" w:hAnsi="Times New Roman" w:cs="Times New Roman"/>
          <w:color w:val="000000"/>
          <w:kern w:val="0"/>
          <w14:ligatures w14:val="none"/>
        </w:rPr>
        <w:t> pelo período do faturamento. A liquidação é feita exclusivamente no regime de </w:t>
      </w:r>
      <w:r w:rsidRPr="00250B7D">
        <w:rPr>
          <w:rFonts w:ascii="Times New Roman" w:eastAsia="Times New Roman" w:hAnsi="Times New Roman" w:cs="Times New Roman"/>
          <w:b/>
          <w:bCs/>
          <w:color w:val="000000"/>
          <w:kern w:val="0"/>
          <w14:ligatures w14:val="none"/>
        </w:rPr>
        <w:t xml:space="preserve">Maturidade </w:t>
      </w:r>
      <w:proofErr w:type="spellStart"/>
      <w:r w:rsidRPr="00250B7D">
        <w:rPr>
          <w:rFonts w:ascii="Times New Roman" w:eastAsia="Times New Roman" w:hAnsi="Times New Roman" w:cs="Times New Roman"/>
          <w:b/>
          <w:bCs/>
          <w:color w:val="000000"/>
          <w:kern w:val="0"/>
          <w14:ligatures w14:val="none"/>
        </w:rPr>
        <w:t>Bullet</w:t>
      </w:r>
      <w:proofErr w:type="spellEnd"/>
      <w:r w:rsidRPr="00250B7D">
        <w:rPr>
          <w:rFonts w:ascii="Times New Roman" w:eastAsia="Times New Roman" w:hAnsi="Times New Roman" w:cs="Times New Roman"/>
          <w:b/>
          <w:bCs/>
          <w:color w:val="000000"/>
          <w:kern w:val="0"/>
          <w14:ligatures w14:val="none"/>
        </w:rPr>
        <w:t xml:space="preserve"> Final</w:t>
      </w:r>
      <w:r w:rsidRPr="00250B7D">
        <w:rPr>
          <w:rFonts w:ascii="Times New Roman" w:eastAsia="Times New Roman" w:hAnsi="Times New Roman" w:cs="Times New Roman"/>
          <w:color w:val="000000"/>
          <w:kern w:val="0"/>
          <w14:ligatures w14:val="none"/>
        </w:rPr>
        <w:t>, restando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xml:space="preserve"> ciente de que não há repasses ou dividendos mensais correntes nesta série. 100% do principal </w:t>
      </w:r>
      <w:r w:rsidRPr="00250B7D">
        <w:rPr>
          <w:rFonts w:ascii="Times New Roman" w:eastAsia="Times New Roman" w:hAnsi="Times New Roman" w:cs="Times New Roman"/>
          <w:color w:val="000000"/>
          <w:kern w:val="0"/>
          <w14:ligatures w14:val="none"/>
        </w:rPr>
        <w:lastRenderedPageBreak/>
        <w:t>acrescido dos juros simples consolidados serão liberados na Wallet no milissegundo exato em que a Administradora liquidar o faturamento das cotas estruturadas na conta Escrow da SPE.</w:t>
      </w:r>
    </w:p>
    <w:p w14:paraId="00F3F78A" w14:textId="0910B5ED" w:rsidR="00250B7D" w:rsidRPr="00250B7D" w:rsidRDefault="00250B7D" w:rsidP="00250B7D">
      <w:pPr>
        <w:spacing w:after="0" w:line="240" w:lineRule="auto"/>
        <w:rPr>
          <w:rFonts w:ascii="Times New Roman" w:eastAsia="Times New Roman" w:hAnsi="Times New Roman" w:cs="Times New Roman"/>
          <w:kern w:val="0"/>
          <w14:ligatures w14:val="none"/>
        </w:rPr>
      </w:pPr>
    </w:p>
    <w:p w14:paraId="2A6C0755"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CLÁUSULA TERCEIRA – DA SEGURANÇA PATRIMONIAL, INTEGRAÇÃO DE IQ E REGRAS DO CAMPO DE LEILÃO</w:t>
      </w:r>
    </w:p>
    <w:p w14:paraId="0D620314"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3.1. GARANTIA REAL DO COLATERAL IMOBILIÁRIO:</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declara ciência de que o risco da operação é mitigado pelo lastro de propriedade imobiliária, visto que a SPE adquire a propriedade resolúvel do imóvel em cartório de registro (RGI) sob um LTV máximo e conservador de até 40% do laudo digital AVM.</w:t>
      </w:r>
    </w:p>
    <w:p w14:paraId="041CC1EA"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3.2. DA INTEGRAÇÃO DE INTERVENIENTE QUITANTE (IQ) E ENGENHARIA DE APORTE:</w:t>
      </w:r>
      <w:r w:rsidRPr="00250B7D">
        <w:rPr>
          <w:rFonts w:ascii="Times New Roman" w:eastAsia="Times New Roman" w:hAnsi="Times New Roman" w:cs="Times New Roman"/>
          <w:color w:val="000000"/>
          <w:kern w:val="0"/>
          <w14:ligatures w14:val="none"/>
        </w:rPr>
        <w:t> O colateral imobiliário passa por saneamento automático pela </w:t>
      </w:r>
      <w:r w:rsidRPr="00250B7D">
        <w:rPr>
          <w:rFonts w:ascii="Times New Roman" w:eastAsia="Times New Roman" w:hAnsi="Times New Roman" w:cs="Times New Roman"/>
          <w:b/>
          <w:bCs/>
          <w:color w:val="000000"/>
          <w:kern w:val="0"/>
          <w14:ligatures w14:val="none"/>
        </w:rPr>
        <w:t>Nina Engine</w:t>
      </w:r>
      <w:r w:rsidRPr="00250B7D">
        <w:rPr>
          <w:rFonts w:ascii="Times New Roman" w:eastAsia="Times New Roman" w:hAnsi="Times New Roman" w:cs="Times New Roman"/>
          <w:color w:val="000000"/>
          <w:kern w:val="0"/>
          <w14:ligatures w14:val="none"/>
        </w:rPr>
        <w:t xml:space="preserve">. Havendo gravames ou passivos na matrícula do imóvel na outra ponta, o gateway </w:t>
      </w:r>
      <w:proofErr w:type="spellStart"/>
      <w:r w:rsidRPr="00250B7D">
        <w:rPr>
          <w:rFonts w:ascii="Times New Roman" w:eastAsia="Times New Roman" w:hAnsi="Times New Roman" w:cs="Times New Roman"/>
          <w:color w:val="000000"/>
          <w:kern w:val="0"/>
          <w14:ligatures w14:val="none"/>
        </w:rPr>
        <w:t>BaaS</w:t>
      </w:r>
      <w:proofErr w:type="spellEnd"/>
      <w:r w:rsidRPr="00250B7D">
        <w:rPr>
          <w:rFonts w:ascii="Times New Roman" w:eastAsia="Times New Roman" w:hAnsi="Times New Roman" w:cs="Times New Roman"/>
          <w:color w:val="000000"/>
          <w:kern w:val="0"/>
          <w14:ligatures w14:val="none"/>
        </w:rPr>
        <w:t xml:space="preserve"> retém o valor do boleto oficial enviado e liquida o credor originário direto na fonte via conta Escrow antes da abertura do Pool, garantindo a higiene do lastro físico. Para construções não averbadas, o aporte é fracionado em Fase 1 (40% do lote) e Fase 2 (saldo travado por prazo decadencial de 90 dias até a averbação da obra).</w:t>
      </w:r>
    </w:p>
    <w:p w14:paraId="5E47ED35"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3.3. EXECUÇÃO EXTRAJUDICIAL RÁPIDA (ART. 506 DO CC):</w:t>
      </w:r>
      <w:r w:rsidRPr="00250B7D">
        <w:rPr>
          <w:rFonts w:ascii="Times New Roman" w:eastAsia="Times New Roman" w:hAnsi="Times New Roman" w:cs="Times New Roman"/>
          <w:color w:val="000000"/>
          <w:kern w:val="0"/>
          <w14:ligatures w14:val="none"/>
        </w:rPr>
        <w:t> Incorrendo o devedor do Flash Credit em inadimplência superior a 60 dias ou descumprimento do </w:t>
      </w:r>
      <w:proofErr w:type="spellStart"/>
      <w:r w:rsidRPr="00250B7D">
        <w:rPr>
          <w:rFonts w:ascii="Times New Roman" w:eastAsia="Times New Roman" w:hAnsi="Times New Roman" w:cs="Times New Roman"/>
          <w:i/>
          <w:iCs/>
          <w:color w:val="000000"/>
          <w:kern w:val="0"/>
          <w14:ligatures w14:val="none"/>
        </w:rPr>
        <w:t>Balloon</w:t>
      </w:r>
      <w:proofErr w:type="spellEnd"/>
      <w:r w:rsidRPr="00250B7D">
        <w:rPr>
          <w:rFonts w:ascii="Times New Roman" w:eastAsia="Times New Roman" w:hAnsi="Times New Roman" w:cs="Times New Roman"/>
          <w:color w:val="000000"/>
          <w:kern w:val="0"/>
          <w14:ligatures w14:val="none"/>
        </w:rPr>
        <w:t> do 36º mês, opera-se a caducidade extrajudicial automática e o imóvel vai a leilão pelo preço cheio de 100% AVM.</w:t>
      </w:r>
    </w:p>
    <w:p w14:paraId="0863FF7C"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3.4. BLINDAGEM DE PRINCIPAL E ROTEAMENTO DA SOBRA PROTETIVA:</w:t>
      </w:r>
      <w:r w:rsidRPr="00250B7D">
        <w:rPr>
          <w:rFonts w:ascii="Times New Roman" w:eastAsia="Times New Roman" w:hAnsi="Times New Roman" w:cs="Times New Roman"/>
          <w:color w:val="000000"/>
          <w:kern w:val="0"/>
          <w14:ligatures w14:val="none"/>
        </w:rPr>
        <w:t> No fechamento da arrematação forçada, os custos, passivos fiscais e despesas de </w:t>
      </w:r>
      <w:proofErr w:type="spellStart"/>
      <w:r w:rsidRPr="00250B7D">
        <w:rPr>
          <w:rFonts w:ascii="Times New Roman" w:eastAsia="Times New Roman" w:hAnsi="Times New Roman" w:cs="Times New Roman"/>
          <w:i/>
          <w:iCs/>
          <w:color w:val="000000"/>
          <w:kern w:val="0"/>
          <w14:ligatures w14:val="none"/>
        </w:rPr>
        <w:t>distress</w:t>
      </w:r>
      <w:proofErr w:type="spellEnd"/>
      <w:r w:rsidRPr="00250B7D">
        <w:rPr>
          <w:rFonts w:ascii="Times New Roman" w:eastAsia="Times New Roman" w:hAnsi="Times New Roman" w:cs="Times New Roman"/>
          <w:color w:val="000000"/>
          <w:kern w:val="0"/>
          <w14:ligatures w14:val="none"/>
        </w:rPr>
        <w:t xml:space="preserve"> são deduzidos, e o gateway </w:t>
      </w:r>
      <w:proofErr w:type="spellStart"/>
      <w:r w:rsidRPr="00250B7D">
        <w:rPr>
          <w:rFonts w:ascii="Times New Roman" w:eastAsia="Times New Roman" w:hAnsi="Times New Roman" w:cs="Times New Roman"/>
          <w:color w:val="000000"/>
          <w:kern w:val="0"/>
          <w14:ligatures w14:val="none"/>
        </w:rPr>
        <w:t>BaaS</w:t>
      </w:r>
      <w:proofErr w:type="spellEnd"/>
      <w:r w:rsidRPr="00250B7D">
        <w:rPr>
          <w:rFonts w:ascii="Times New Roman" w:eastAsia="Times New Roman" w:hAnsi="Times New Roman" w:cs="Times New Roman"/>
          <w:color w:val="000000"/>
          <w:kern w:val="0"/>
          <w14:ligatures w14:val="none"/>
        </w:rPr>
        <w:t xml:space="preserve"> direciona o caixa prioritariamente para quitar 100% do Capital Principal investido pelo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(R$ 100,00 por token ERC-1155) acrescido das taxas Price contratuais e juros de mora acumulados pelo atraso.</w:t>
      </w:r>
    </w:p>
    <w:p w14:paraId="7F4CDF28"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3.5. DA DEVOLUÇÃO INTEGRAL E COMPULSÓRIA DO EXCEDENTE AO CLIENTE:</w:t>
      </w:r>
      <w:r w:rsidRPr="00250B7D">
        <w:rPr>
          <w:rFonts w:ascii="Times New Roman" w:eastAsia="Times New Roman" w:hAnsi="Times New Roman" w:cs="Times New Roman"/>
          <w:color w:val="000000"/>
          <w:kern w:val="0"/>
          <w14:ligatures w14:val="none"/>
        </w:rPr>
        <w:t> Efetuada a quitação protetiva do principal e taxas devidas ao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xml:space="preserve"> descrita no item 3.4, toda e qualquer sobra financeira, troco imobiliário ou saldo residual decorrente do preço da arrematação reverterá de forma integral, compulsória e exclusiva em favor do devedor/proprietário originário do imóvel, sendo creditada via </w:t>
      </w:r>
      <w:proofErr w:type="spellStart"/>
      <w:r w:rsidRPr="00250B7D">
        <w:rPr>
          <w:rFonts w:ascii="Times New Roman" w:eastAsia="Times New Roman" w:hAnsi="Times New Roman" w:cs="Times New Roman"/>
          <w:color w:val="000000"/>
          <w:kern w:val="0"/>
          <w14:ligatures w14:val="none"/>
        </w:rPr>
        <w:t>Pix</w:t>
      </w:r>
      <w:proofErr w:type="spellEnd"/>
      <w:r w:rsidRPr="00250B7D">
        <w:rPr>
          <w:rFonts w:ascii="Times New Roman" w:eastAsia="Times New Roman" w:hAnsi="Times New Roman" w:cs="Times New Roman"/>
          <w:color w:val="000000"/>
          <w:kern w:val="0"/>
          <w14:ligatures w14:val="none"/>
        </w:rPr>
        <w:t xml:space="preserve"> em até 5 dias úteis.</w:t>
      </w:r>
    </w:p>
    <w:p w14:paraId="4319FAB1"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3.6.</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anui de forma irrevogável que possui </w:t>
      </w:r>
      <w:r w:rsidRPr="00250B7D">
        <w:rPr>
          <w:rFonts w:ascii="Times New Roman" w:eastAsia="Times New Roman" w:hAnsi="Times New Roman" w:cs="Times New Roman"/>
          <w:b/>
          <w:bCs/>
          <w:color w:val="000000"/>
          <w:kern w:val="0"/>
          <w14:ligatures w14:val="none"/>
        </w:rPr>
        <w:t>DIREITO ZERO sobre qualquer lucro excedente ou ágio de leilão</w:t>
      </w:r>
      <w:r w:rsidRPr="00250B7D">
        <w:rPr>
          <w:rFonts w:ascii="Times New Roman" w:eastAsia="Times New Roman" w:hAnsi="Times New Roman" w:cs="Times New Roman"/>
          <w:color w:val="000000"/>
          <w:kern w:val="0"/>
          <w14:ligatures w14:val="none"/>
        </w:rPr>
        <w:t xml:space="preserve">, cuja devolução ao devedor constitui mecanismo mandatório de blindagem jurídica e </w:t>
      </w:r>
      <w:proofErr w:type="spellStart"/>
      <w:r w:rsidRPr="00250B7D">
        <w:rPr>
          <w:rFonts w:ascii="Times New Roman" w:eastAsia="Times New Roman" w:hAnsi="Times New Roman" w:cs="Times New Roman"/>
          <w:color w:val="000000"/>
          <w:kern w:val="0"/>
          <w14:ligatures w14:val="none"/>
        </w:rPr>
        <w:t>compliance</w:t>
      </w:r>
      <w:proofErr w:type="spellEnd"/>
      <w:r w:rsidRPr="00250B7D">
        <w:rPr>
          <w:rFonts w:ascii="Times New Roman" w:eastAsia="Times New Roman" w:hAnsi="Times New Roman" w:cs="Times New Roman"/>
          <w:color w:val="000000"/>
          <w:kern w:val="0"/>
          <w14:ligatures w14:val="none"/>
        </w:rPr>
        <w:t xml:space="preserve"> da </w:t>
      </w:r>
      <w:r w:rsidRPr="00250B7D">
        <w:rPr>
          <w:rFonts w:ascii="Times New Roman" w:eastAsia="Times New Roman" w:hAnsi="Times New Roman" w:cs="Times New Roman"/>
          <w:b/>
          <w:bCs/>
          <w:color w:val="000000"/>
          <w:kern w:val="0"/>
          <w14:ligatures w14:val="none"/>
        </w:rPr>
        <w:t>PLATAFORMA LETTER</w:t>
      </w:r>
      <w:r w:rsidRPr="00250B7D">
        <w:rPr>
          <w:rFonts w:ascii="Times New Roman" w:eastAsia="Times New Roman" w:hAnsi="Times New Roman" w:cs="Times New Roman"/>
          <w:color w:val="000000"/>
          <w:kern w:val="0"/>
          <w14:ligatures w14:val="none"/>
        </w:rPr>
        <w:t> para aniquilar alegações judiciais de pacto comissório ou enriquecimento sem causa.</w:t>
      </w:r>
    </w:p>
    <w:p w14:paraId="56B32733" w14:textId="61200A2E" w:rsidR="00250B7D" w:rsidRPr="00250B7D" w:rsidRDefault="00250B7D" w:rsidP="00250B7D">
      <w:pPr>
        <w:spacing w:after="0" w:line="240" w:lineRule="auto"/>
        <w:rPr>
          <w:rFonts w:ascii="Times New Roman" w:eastAsia="Times New Roman" w:hAnsi="Times New Roman" w:cs="Times New Roman"/>
          <w:kern w:val="0"/>
          <w14:ligatures w14:val="none"/>
        </w:rPr>
      </w:pPr>
    </w:p>
    <w:p w14:paraId="41C37399" w14:textId="77777777" w:rsidR="00860323" w:rsidRDefault="00860323"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31F3B3A2" w14:textId="253372AF"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lastRenderedPageBreak/>
        <w:t>CLÁUSULA QUARTA – DO MONOPÓLIO DE REGRAS E DO PROGRAMA DE INDICAÇÕES (MMN)</w:t>
      </w:r>
    </w:p>
    <w:p w14:paraId="6D3F1B1A"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4.1. ADMIN MASTER TRANCADO:</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reconhece e aceita de forma irrevogável que o monopólio de parametrização de spreads, taxas operacionais lógicas de 0,9% ao mês pertencentes à SPE e o percentual de comissões dinâmicas da rede de vendas pertence exclusivamente à </w:t>
      </w:r>
      <w:r w:rsidRPr="00250B7D">
        <w:rPr>
          <w:rFonts w:ascii="Times New Roman" w:eastAsia="Times New Roman" w:hAnsi="Times New Roman" w:cs="Times New Roman"/>
          <w:b/>
          <w:bCs/>
          <w:color w:val="000000"/>
          <w:kern w:val="0"/>
          <w14:ligatures w14:val="none"/>
        </w:rPr>
        <w:t>LETTER</w:t>
      </w:r>
      <w:r w:rsidRPr="00250B7D">
        <w:rPr>
          <w:rFonts w:ascii="Times New Roman" w:eastAsia="Times New Roman" w:hAnsi="Times New Roman" w:cs="Times New Roman"/>
          <w:color w:val="000000"/>
          <w:kern w:val="0"/>
          <w14:ligatures w14:val="none"/>
        </w:rPr>
        <w:t> em seu painel master administrativo de produção, sendo terminantemente proibida qualquer tentativa de alteração ou manipulação de regras de comissões por terceiros.</w:t>
      </w:r>
    </w:p>
    <w:p w14:paraId="28FF98B3"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4.2. COMISSIONAMENTO DE SUA REDE DE INDICAÇÕES:</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receberá um Link de Divulgação Exclusivo no momento exato da validação de seu Escritório Virtual. Caso convide novos investidores de varejo para preencher os pools de liquidez da plataforma, fará jus à bonificação de 1% linear sobre todo o capital aportado por sua base de convidados direta e indireta, dividida de forma automática em sua Wallet digital com base na </w:t>
      </w:r>
      <w:r w:rsidRPr="00250B7D">
        <w:rPr>
          <w:rFonts w:ascii="Times New Roman" w:eastAsia="Times New Roman" w:hAnsi="Times New Roman" w:cs="Times New Roman"/>
          <w:b/>
          <w:bCs/>
          <w:color w:val="000000"/>
          <w:kern w:val="0"/>
          <w14:ligatures w14:val="none"/>
        </w:rPr>
        <w:t>Grade MMN Universal de 5 camadas</w:t>
      </w:r>
      <w:r w:rsidRPr="00250B7D">
        <w:rPr>
          <w:rFonts w:ascii="Times New Roman" w:eastAsia="Times New Roman" w:hAnsi="Times New Roman" w:cs="Times New Roman"/>
          <w:color w:val="000000"/>
          <w:kern w:val="0"/>
          <w14:ligatures w14:val="none"/>
        </w:rPr>
        <w:t>.</w:t>
      </w:r>
    </w:p>
    <w:p w14:paraId="7091E636"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4.3. Gatilho de Liberação Contábil da Rede:</w:t>
      </w:r>
      <w:r w:rsidRPr="00250B7D">
        <w:rPr>
          <w:rFonts w:ascii="Times New Roman" w:eastAsia="Times New Roman" w:hAnsi="Times New Roman" w:cs="Times New Roman"/>
          <w:color w:val="000000"/>
          <w:kern w:val="0"/>
          <w14:ligatures w14:val="none"/>
        </w:rPr>
        <w:t> O repasse e o split dos bônus de indicações previstos no item 4.2 obedecerão rigorosamente aos gatilhos de conformidade de transferência cartorária do bem garantia (averbação da retrovenda no RGI), não sofrendo liberações prévias em ambiente de custódia temporária.</w:t>
      </w:r>
    </w:p>
    <w:p w14:paraId="2839A7FF" w14:textId="02368E20" w:rsidR="00250B7D" w:rsidRPr="00250B7D" w:rsidRDefault="00250B7D" w:rsidP="00250B7D">
      <w:pPr>
        <w:spacing w:after="0" w:line="240" w:lineRule="auto"/>
        <w:rPr>
          <w:rFonts w:ascii="Times New Roman" w:eastAsia="Times New Roman" w:hAnsi="Times New Roman" w:cs="Times New Roman"/>
          <w:kern w:val="0"/>
          <w14:ligatures w14:val="none"/>
        </w:rPr>
      </w:pPr>
    </w:p>
    <w:p w14:paraId="46EE9736"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CLÁUSULA QUINTA – DO RESGATE COMPULSÓRIO OPERACIONAL E ROTATIVIDADE DA AWS</w:t>
      </w:r>
    </w:p>
    <w:p w14:paraId="4A2BC796"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5.1. CLÁUSULA COMPULSÓRIA ANTECIPADA:</w:t>
      </w:r>
      <w:r w:rsidRPr="00250B7D">
        <w:rPr>
          <w:rFonts w:ascii="Times New Roman" w:eastAsia="Times New Roman" w:hAnsi="Times New Roman" w:cs="Times New Roman"/>
          <w:color w:val="000000"/>
          <w:kern w:val="0"/>
          <w14:ligatures w14:val="none"/>
        </w:rPr>
        <w:t> A </w:t>
      </w:r>
      <w:r w:rsidRPr="00250B7D">
        <w:rPr>
          <w:rFonts w:ascii="Times New Roman" w:eastAsia="Times New Roman" w:hAnsi="Times New Roman" w:cs="Times New Roman"/>
          <w:b/>
          <w:bCs/>
          <w:color w:val="000000"/>
          <w:kern w:val="0"/>
          <w14:ligatures w14:val="none"/>
        </w:rPr>
        <w:t>LETTER</w:t>
      </w:r>
      <w:r w:rsidRPr="00250B7D">
        <w:rPr>
          <w:rFonts w:ascii="Times New Roman" w:eastAsia="Times New Roman" w:hAnsi="Times New Roman" w:cs="Times New Roman"/>
          <w:color w:val="000000"/>
          <w:kern w:val="0"/>
          <w14:ligatures w14:val="none"/>
        </w:rPr>
        <w:t> e a SPE Central guardam o direito soberano de realizar o </w:t>
      </w:r>
      <w:r w:rsidRPr="00250B7D">
        <w:rPr>
          <w:rFonts w:ascii="Times New Roman" w:eastAsia="Times New Roman" w:hAnsi="Times New Roman" w:cs="Times New Roman"/>
          <w:i/>
          <w:iCs/>
          <w:color w:val="000000"/>
          <w:kern w:val="0"/>
          <w14:ligatures w14:val="none"/>
        </w:rPr>
        <w:t>Resgate Compulsório e a Quitação Antecipada Total</w:t>
      </w:r>
      <w:r w:rsidRPr="00250B7D">
        <w:rPr>
          <w:rFonts w:ascii="Times New Roman" w:eastAsia="Times New Roman" w:hAnsi="Times New Roman" w:cs="Times New Roman"/>
          <w:color w:val="000000"/>
          <w:kern w:val="0"/>
          <w14:ligatures w14:val="none"/>
        </w:rPr>
        <w:t> de 100% dos tokens ERC-1155 de titularidade do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a qualquer tempo antes do prazo nominal estabelecido.</w:t>
      </w:r>
    </w:p>
    <w:p w14:paraId="0C949E96"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5.2.</w:t>
      </w:r>
      <w:r w:rsidRPr="00250B7D">
        <w:rPr>
          <w:rFonts w:ascii="Times New Roman" w:eastAsia="Times New Roman" w:hAnsi="Times New Roman" w:cs="Times New Roman"/>
          <w:color w:val="000000"/>
          <w:kern w:val="0"/>
          <w14:ligatures w14:val="none"/>
        </w:rPr>
        <w:t> Ocorrendo o gatilho sistêmico em virtude da purga ou recompra antecipada do devedor final na outra ponta, o </w:t>
      </w:r>
      <w:proofErr w:type="spellStart"/>
      <w:r w:rsidRPr="00250B7D">
        <w:rPr>
          <w:rFonts w:ascii="Times New Roman" w:eastAsia="Times New Roman" w:hAnsi="Times New Roman" w:cs="Times New Roman"/>
          <w:i/>
          <w:iCs/>
          <w:color w:val="000000"/>
          <w:kern w:val="0"/>
          <w14:ligatures w14:val="none"/>
        </w:rPr>
        <w:t>back-end</w:t>
      </w:r>
      <w:proofErr w:type="spellEnd"/>
      <w:r w:rsidRPr="00250B7D">
        <w:rPr>
          <w:rFonts w:ascii="Times New Roman" w:eastAsia="Times New Roman" w:hAnsi="Times New Roman" w:cs="Times New Roman"/>
          <w:color w:val="000000"/>
          <w:kern w:val="0"/>
          <w14:ligatures w14:val="none"/>
        </w:rPr>
        <w:t xml:space="preserve"> devolve 100% do principal aportado (R$ 100,00 por fração digital) acrescido dos juros </w:t>
      </w:r>
      <w:proofErr w:type="spellStart"/>
      <w:r w:rsidRPr="00250B7D">
        <w:rPr>
          <w:rFonts w:ascii="Times New Roman" w:eastAsia="Times New Roman" w:hAnsi="Times New Roman" w:cs="Times New Roman"/>
          <w:color w:val="000000"/>
          <w:kern w:val="0"/>
          <w14:ligatures w14:val="none"/>
        </w:rPr>
        <w:t>Price</w:t>
      </w:r>
      <w:proofErr w:type="spellEnd"/>
      <w:r w:rsidRPr="00250B7D">
        <w:rPr>
          <w:rFonts w:ascii="Times New Roman" w:eastAsia="Times New Roman" w:hAnsi="Times New Roman" w:cs="Times New Roman"/>
          <w:color w:val="000000"/>
          <w:kern w:val="0"/>
          <w14:ligatures w14:val="none"/>
        </w:rPr>
        <w:t xml:space="preserve"> ou </w:t>
      </w:r>
      <w:proofErr w:type="spellStart"/>
      <w:r w:rsidRPr="00250B7D">
        <w:rPr>
          <w:rFonts w:ascii="Times New Roman" w:eastAsia="Times New Roman" w:hAnsi="Times New Roman" w:cs="Times New Roman"/>
          <w:color w:val="000000"/>
          <w:kern w:val="0"/>
          <w14:ligatures w14:val="none"/>
        </w:rPr>
        <w:t>Bullet</w:t>
      </w:r>
      <w:proofErr w:type="spellEnd"/>
      <w:r w:rsidRPr="00250B7D">
        <w:rPr>
          <w:rFonts w:ascii="Times New Roman" w:eastAsia="Times New Roman" w:hAnsi="Times New Roman" w:cs="Times New Roman"/>
          <w:color w:val="000000"/>
          <w:kern w:val="0"/>
          <w14:ligatures w14:val="none"/>
        </w:rPr>
        <w:t xml:space="preserve"> calculados </w:t>
      </w:r>
      <w:proofErr w:type="spellStart"/>
      <w:r w:rsidRPr="00250B7D">
        <w:rPr>
          <w:rFonts w:ascii="Times New Roman" w:eastAsia="Times New Roman" w:hAnsi="Times New Roman" w:cs="Times New Roman"/>
          <w:i/>
          <w:iCs/>
          <w:color w:val="000000"/>
          <w:kern w:val="0"/>
          <w14:ligatures w14:val="none"/>
        </w:rPr>
        <w:t>pro-rata</w:t>
      </w:r>
      <w:proofErr w:type="spellEnd"/>
      <w:r w:rsidRPr="00250B7D">
        <w:rPr>
          <w:rFonts w:ascii="Times New Roman" w:eastAsia="Times New Roman" w:hAnsi="Times New Roman" w:cs="Times New Roman"/>
          <w:i/>
          <w:iCs/>
          <w:color w:val="000000"/>
          <w:kern w:val="0"/>
          <w14:ligatures w14:val="none"/>
        </w:rPr>
        <w:t xml:space="preserve"> die</w:t>
      </w:r>
      <w:r w:rsidRPr="00250B7D">
        <w:rPr>
          <w:rFonts w:ascii="Times New Roman" w:eastAsia="Times New Roman" w:hAnsi="Times New Roman" w:cs="Times New Roman"/>
          <w:color w:val="000000"/>
          <w:kern w:val="0"/>
          <w14:ligatures w14:val="none"/>
        </w:rPr>
        <w:t> e acumulados até o dia exato da liquidação, cessando de maneira imediata qualquer obrigação de repasse de dividendos ou cupons futuros.</w:t>
      </w:r>
    </w:p>
    <w:p w14:paraId="3C9492D8"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5.3. SEGURANÇA CIBERNÉTICA AWS:</w:t>
      </w:r>
      <w:r w:rsidRPr="00250B7D">
        <w:rPr>
          <w:rFonts w:ascii="Times New Roman" w:eastAsia="Times New Roman" w:hAnsi="Times New Roman" w:cs="Times New Roman"/>
          <w:color w:val="000000"/>
          <w:kern w:val="0"/>
          <w14:ligatures w14:val="none"/>
        </w:rPr>
        <w:t> Toda a infraestrutura contábil, registro lógicos de blocos, orquestração de subcontas virtuais e movimentação de saldos roda sob ambiente elástico criptografado de alta performance, com </w:t>
      </w:r>
      <w:r w:rsidRPr="00250B7D">
        <w:rPr>
          <w:rFonts w:ascii="Times New Roman" w:eastAsia="Times New Roman" w:hAnsi="Times New Roman" w:cs="Times New Roman"/>
          <w:b/>
          <w:bCs/>
          <w:color w:val="000000"/>
          <w:kern w:val="0"/>
          <w14:ligatures w14:val="none"/>
        </w:rPr>
        <w:t xml:space="preserve">rotação de chaves simétricas RSA via AWS </w:t>
      </w:r>
      <w:proofErr w:type="spellStart"/>
      <w:r w:rsidRPr="00250B7D">
        <w:rPr>
          <w:rFonts w:ascii="Times New Roman" w:eastAsia="Times New Roman" w:hAnsi="Times New Roman" w:cs="Times New Roman"/>
          <w:b/>
          <w:bCs/>
          <w:color w:val="000000"/>
          <w:kern w:val="0"/>
          <w14:ligatures w14:val="none"/>
        </w:rPr>
        <w:t>Secrets</w:t>
      </w:r>
      <w:proofErr w:type="spellEnd"/>
      <w:r w:rsidRPr="00250B7D">
        <w:rPr>
          <w:rFonts w:ascii="Times New Roman" w:eastAsia="Times New Roman" w:hAnsi="Times New Roman" w:cs="Times New Roman"/>
          <w:b/>
          <w:bCs/>
          <w:color w:val="000000"/>
          <w:kern w:val="0"/>
          <w14:ligatures w14:val="none"/>
        </w:rPr>
        <w:t xml:space="preserve"> Manager a cada 30 dias</w:t>
      </w:r>
      <w:r w:rsidRPr="00250B7D">
        <w:rPr>
          <w:rFonts w:ascii="Times New Roman" w:eastAsia="Times New Roman" w:hAnsi="Times New Roman" w:cs="Times New Roman"/>
          <w:color w:val="000000"/>
          <w:kern w:val="0"/>
          <w14:ligatures w14:val="none"/>
        </w:rPr>
        <w:t>, blindando a integridade das faturas Price e das identidades biométricas do Super App LETTER.</w:t>
      </w:r>
    </w:p>
    <w:p w14:paraId="2AD244B5" w14:textId="01F7176D" w:rsidR="00250B7D" w:rsidRPr="00250B7D" w:rsidRDefault="00250B7D" w:rsidP="00250B7D">
      <w:pPr>
        <w:spacing w:after="0" w:line="240" w:lineRule="auto"/>
        <w:rPr>
          <w:rFonts w:ascii="Times New Roman" w:eastAsia="Times New Roman" w:hAnsi="Times New Roman" w:cs="Times New Roman"/>
          <w:kern w:val="0"/>
          <w14:ligatures w14:val="none"/>
        </w:rPr>
      </w:pPr>
    </w:p>
    <w:p w14:paraId="5FA29E3B" w14:textId="77777777" w:rsidR="00250B7D" w:rsidRPr="00250B7D" w:rsidRDefault="00250B7D" w:rsidP="00250B7D">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250B7D">
        <w:rPr>
          <w:rFonts w:ascii="Times New Roman" w:eastAsia="Times New Roman" w:hAnsi="Times New Roman" w:cs="Times New Roman"/>
          <w:b/>
          <w:bCs/>
          <w:color w:val="000000"/>
          <w:kern w:val="0"/>
          <w:sz w:val="30"/>
          <w:szCs w:val="30"/>
          <w14:ligatures w14:val="none"/>
        </w:rPr>
        <w:t>CLÁUSULA SEXTA – DA CONCORDÂNCIA E ASSINATURA ELETRÔNICA AVANÇADA</w:t>
      </w:r>
    </w:p>
    <w:p w14:paraId="7C9D2C66"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6.1. ASSINATURA ELETRÔNICA POR CLIQUE ATIVO:</w:t>
      </w:r>
      <w:r w:rsidRPr="00250B7D">
        <w:rPr>
          <w:rFonts w:ascii="Times New Roman" w:eastAsia="Times New Roman" w:hAnsi="Times New Roman" w:cs="Times New Roman"/>
          <w:color w:val="000000"/>
          <w:kern w:val="0"/>
          <w14:ligatures w14:val="none"/>
        </w:rPr>
        <w:t> O </w:t>
      </w:r>
      <w:r w:rsidRPr="00250B7D">
        <w:rPr>
          <w:rFonts w:ascii="Times New Roman" w:eastAsia="Times New Roman" w:hAnsi="Times New Roman" w:cs="Times New Roman"/>
          <w:b/>
          <w:bCs/>
          <w:color w:val="000000"/>
          <w:kern w:val="0"/>
          <w14:ligatures w14:val="none"/>
        </w:rPr>
        <w:t>INVESTIDOR</w:t>
      </w:r>
      <w:r w:rsidRPr="00250B7D">
        <w:rPr>
          <w:rFonts w:ascii="Times New Roman" w:eastAsia="Times New Roman" w:hAnsi="Times New Roman" w:cs="Times New Roman"/>
          <w:color w:val="000000"/>
          <w:kern w:val="0"/>
          <w14:ligatures w14:val="none"/>
        </w:rPr>
        <w:t> elege e reconhece o clique no botão digital de aceite e o token biométrico de </w:t>
      </w:r>
      <w:proofErr w:type="spellStart"/>
      <w:r w:rsidRPr="00250B7D">
        <w:rPr>
          <w:rFonts w:ascii="Times New Roman" w:eastAsia="Times New Roman" w:hAnsi="Times New Roman" w:cs="Times New Roman"/>
          <w:i/>
          <w:iCs/>
          <w:color w:val="000000"/>
          <w:kern w:val="0"/>
          <w14:ligatures w14:val="none"/>
        </w:rPr>
        <w:t>liveness</w:t>
      </w:r>
      <w:proofErr w:type="spellEnd"/>
      <w:r w:rsidRPr="00250B7D">
        <w:rPr>
          <w:rFonts w:ascii="Times New Roman" w:eastAsia="Times New Roman" w:hAnsi="Times New Roman" w:cs="Times New Roman"/>
          <w:color w:val="000000"/>
          <w:kern w:val="0"/>
          <w14:ligatures w14:val="none"/>
        </w:rPr>
        <w:t xml:space="preserve"> SDK recolhidos pelo Super App no milissegundo da </w:t>
      </w:r>
      <w:r w:rsidRPr="00250B7D">
        <w:rPr>
          <w:rFonts w:ascii="Times New Roman" w:eastAsia="Times New Roman" w:hAnsi="Times New Roman" w:cs="Times New Roman"/>
          <w:color w:val="000000"/>
          <w:kern w:val="0"/>
          <w14:ligatures w14:val="none"/>
        </w:rPr>
        <w:lastRenderedPageBreak/>
        <w:t>transação como meios integralmente válidos, legais e inatacáveis para a celebração deste instrumento.</w:t>
      </w:r>
    </w:p>
    <w:p w14:paraId="34BD45A2" w14:textId="7F4A741B"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b/>
          <w:bCs/>
          <w:color w:val="000000"/>
          <w:kern w:val="0"/>
          <w14:ligatures w14:val="none"/>
        </w:rPr>
        <w:t>6.2.</w:t>
      </w:r>
      <w:r w:rsidRPr="00250B7D">
        <w:rPr>
          <w:rFonts w:ascii="Times New Roman" w:eastAsia="Times New Roman" w:hAnsi="Times New Roman" w:cs="Times New Roman"/>
          <w:color w:val="000000"/>
          <w:kern w:val="0"/>
          <w14:ligatures w14:val="none"/>
        </w:rPr>
        <w:t> O sistema </w:t>
      </w:r>
      <w:r w:rsidRPr="00250B7D">
        <w:rPr>
          <w:rFonts w:ascii="Times New Roman" w:eastAsia="Times New Roman" w:hAnsi="Times New Roman" w:cs="Times New Roman"/>
          <w:i/>
          <w:iCs/>
          <w:color w:val="000000"/>
          <w:kern w:val="0"/>
          <w14:ligatures w14:val="none"/>
        </w:rPr>
        <w:t>core</w:t>
      </w:r>
      <w:r w:rsidRPr="00250B7D">
        <w:rPr>
          <w:rFonts w:ascii="Times New Roman" w:eastAsia="Times New Roman" w:hAnsi="Times New Roman" w:cs="Times New Roman"/>
          <w:color w:val="000000"/>
          <w:kern w:val="0"/>
          <w14:ligatures w14:val="none"/>
        </w:rPr>
        <w:t> amarra programaticamente os logs de endereço IP de rede, </w:t>
      </w:r>
      <w:proofErr w:type="spellStart"/>
      <w:r w:rsidRPr="00250B7D">
        <w:rPr>
          <w:rFonts w:ascii="Times New Roman" w:eastAsia="Times New Roman" w:hAnsi="Times New Roman" w:cs="Times New Roman"/>
          <w:i/>
          <w:iCs/>
          <w:color w:val="000000"/>
          <w:kern w:val="0"/>
          <w14:ligatures w14:val="none"/>
        </w:rPr>
        <w:t>timestamp</w:t>
      </w:r>
      <w:proofErr w:type="spellEnd"/>
      <w:r w:rsidRPr="00250B7D">
        <w:rPr>
          <w:rFonts w:ascii="Times New Roman" w:eastAsia="Times New Roman" w:hAnsi="Times New Roman" w:cs="Times New Roman"/>
          <w:color w:val="000000"/>
          <w:kern w:val="0"/>
          <w14:ligatures w14:val="none"/>
        </w:rPr>
        <w:t> estável de servidor e as chaves públicas/privadas de logs de segurança, gerando o </w:t>
      </w:r>
      <w:r w:rsidRPr="00250B7D">
        <w:rPr>
          <w:rFonts w:ascii="Times New Roman" w:eastAsia="Times New Roman" w:hAnsi="Times New Roman" w:cs="Times New Roman"/>
          <w:b/>
          <w:bCs/>
          <w:color w:val="000000"/>
          <w:kern w:val="0"/>
          <w14:ligatures w14:val="none"/>
        </w:rPr>
        <w:t>Selo LETTER de autenticidade padrão RS256 (RSA)</w:t>
      </w:r>
      <w:r w:rsidRPr="00250B7D">
        <w:rPr>
          <w:rFonts w:ascii="Times New Roman" w:eastAsia="Times New Roman" w:hAnsi="Times New Roman" w:cs="Times New Roman"/>
          <w:color w:val="000000"/>
          <w:kern w:val="0"/>
          <w14:ligatures w14:val="none"/>
        </w:rPr>
        <w:t>, conferindo força imediata de título executivo extrajudicial a este termo regulamentar de adesão.</w:t>
      </w:r>
    </w:p>
    <w:p w14:paraId="5C252600"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Times New Roman" w:eastAsia="Times New Roman" w:hAnsi="Times New Roman" w:cs="Times New Roman"/>
          <w:color w:val="000000"/>
          <w:kern w:val="0"/>
          <w14:ligatures w14:val="none"/>
        </w:rPr>
        <w:t>O usuário declara que leu, compreendeu e aceita sem reservas todas as Condições Gerais de alocação de Pool e riscos dispostas acima.</w:t>
      </w:r>
    </w:p>
    <w:p w14:paraId="182FB926"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r w:rsidRPr="00250B7D">
        <w:rPr>
          <w:rFonts w:ascii="Courier New" w:hAnsi="Courier New" w:cs="Courier New"/>
          <w:color w:val="000000"/>
          <w:kern w:val="0"/>
          <w:sz w:val="20"/>
          <w:szCs w:val="20"/>
          <w:bdr w:val="single" w:sz="6" w:space="2" w:color="F4F6F7" w:frame="1"/>
          <w:shd w:val="clear" w:color="auto" w:fill="F4F6F7"/>
          <w14:ligatures w14:val="none"/>
        </w:rPr>
        <w:t>[Tag_Sistema</w:t>
      </w:r>
      <w:proofErr w:type="gramStart"/>
      <w:r w:rsidRPr="00250B7D">
        <w:rPr>
          <w:rFonts w:ascii="Courier New" w:hAnsi="Courier New" w:cs="Courier New"/>
          <w:color w:val="000000"/>
          <w:kern w:val="0"/>
          <w:sz w:val="20"/>
          <w:szCs w:val="20"/>
          <w:bdr w:val="single" w:sz="6" w:space="2" w:color="F4F6F7" w:frame="1"/>
          <w:shd w:val="clear" w:color="auto" w:fill="F4F6F7"/>
          <w14:ligatures w14:val="none"/>
        </w:rPr>
        <w:t>_Local</w:t>
      </w:r>
      <w:proofErr w:type="gramEnd"/>
      <w:r w:rsidRPr="00250B7D">
        <w:rPr>
          <w:rFonts w:ascii="Courier New" w:hAnsi="Courier New" w:cs="Courier New"/>
          <w:color w:val="000000"/>
          <w:kern w:val="0"/>
          <w:sz w:val="20"/>
          <w:szCs w:val="20"/>
          <w:bdr w:val="single" w:sz="6" w:space="2" w:color="F4F6F7" w:frame="1"/>
          <w:shd w:val="clear" w:color="auto" w:fill="F4F6F7"/>
          <w14:ligatures w14:val="none"/>
        </w:rPr>
        <w:t>_Dispositivo]</w:t>
      </w:r>
      <w:r w:rsidRPr="00250B7D">
        <w:rPr>
          <w:rFonts w:ascii="Times New Roman" w:eastAsia="Times New Roman" w:hAnsi="Times New Roman" w:cs="Times New Roman"/>
          <w:color w:val="000000"/>
          <w:kern w:val="0"/>
          <w14:ligatures w14:val="none"/>
        </w:rPr>
        <w:t>, </w:t>
      </w:r>
      <w:r w:rsidRPr="00250B7D">
        <w:rPr>
          <w:rFonts w:ascii="Courier New" w:hAnsi="Courier New" w:cs="Courier New"/>
          <w:color w:val="000000"/>
          <w:kern w:val="0"/>
          <w:sz w:val="20"/>
          <w:szCs w:val="20"/>
          <w:bdr w:val="single" w:sz="6" w:space="2" w:color="F4F6F7" w:frame="1"/>
          <w:shd w:val="clear" w:color="auto" w:fill="F4F6F7"/>
          <w14:ligatures w14:val="none"/>
        </w:rPr>
        <w:t>[Tag_Sistema_Data_Atual_Servidor]</w:t>
      </w:r>
      <w:r w:rsidRPr="00250B7D">
        <w:rPr>
          <w:rFonts w:ascii="Times New Roman" w:eastAsia="Times New Roman" w:hAnsi="Times New Roman" w:cs="Times New Roman"/>
          <w:color w:val="000000"/>
          <w:kern w:val="0"/>
          <w14:ligatures w14:val="none"/>
        </w:rPr>
        <w:t>.</w:t>
      </w:r>
    </w:p>
    <w:p w14:paraId="79DEB6E6" w14:textId="665539E5" w:rsidR="00250B7D" w:rsidRPr="00250B7D" w:rsidRDefault="00250B7D" w:rsidP="00250B7D">
      <w:pPr>
        <w:spacing w:after="0" w:line="240" w:lineRule="auto"/>
        <w:rPr>
          <w:rFonts w:ascii="Times New Roman" w:eastAsia="Times New Roman" w:hAnsi="Times New Roman" w:cs="Times New Roman"/>
          <w:kern w:val="0"/>
          <w14:ligatures w14:val="none"/>
        </w:rPr>
      </w:pPr>
    </w:p>
    <w:p w14:paraId="701B9C6C" w14:textId="77777777" w:rsidR="00250B7D" w:rsidRPr="00250B7D" w:rsidRDefault="00250B7D" w:rsidP="00250B7D">
      <w:pPr>
        <w:spacing w:after="0" w:line="240" w:lineRule="auto"/>
        <w:rPr>
          <w:rFonts w:ascii="Times New Roman" w:eastAsia="Times New Roman" w:hAnsi="Times New Roman" w:cs="Times New Roman"/>
          <w:color w:val="000000"/>
          <w:kern w:val="0"/>
          <w14:ligatures w14:val="none"/>
        </w:rPr>
      </w:pPr>
      <w:proofErr w:type="gramStart"/>
      <w:r w:rsidRPr="00250B7D">
        <w:rPr>
          <w:rFonts w:ascii="Courier New" w:hAnsi="Courier New" w:cs="Courier New"/>
          <w:color w:val="000000"/>
          <w:kern w:val="0"/>
          <w:sz w:val="20"/>
          <w:szCs w:val="20"/>
          <w:bdr w:val="single" w:sz="6" w:space="2" w:color="F4F6F7" w:frame="1"/>
          <w:shd w:val="clear" w:color="auto" w:fill="F4F6F7"/>
          <w14:ligatures w14:val="none"/>
        </w:rPr>
        <w:t>[ BOTÃO</w:t>
      </w:r>
      <w:proofErr w:type="gramEnd"/>
      <w:r w:rsidRPr="00250B7D">
        <w:rPr>
          <w:rFonts w:ascii="Courier New" w:hAnsi="Courier New" w:cs="Courier New"/>
          <w:color w:val="000000"/>
          <w:kern w:val="0"/>
          <w:sz w:val="20"/>
          <w:szCs w:val="20"/>
          <w:bdr w:val="single" w:sz="6" w:space="2" w:color="F4F6F7" w:frame="1"/>
          <w:shd w:val="clear" w:color="auto" w:fill="F4F6F7"/>
          <w14:ligatures w14:val="none"/>
        </w:rPr>
        <w:t xml:space="preserve"> DE INTERFACE DO SUPER APP: LI E ACEITO OS RISCOS E REGRAS - QUERO TOKENIZAR MEU SALDO ]</w:t>
      </w:r>
    </w:p>
    <w:p w14:paraId="6E4CD9A3" w14:textId="6E9AF5C2" w:rsidR="00250B7D" w:rsidRPr="00250B7D" w:rsidRDefault="00250B7D" w:rsidP="00250B7D">
      <w:pPr>
        <w:spacing w:after="0" w:line="240" w:lineRule="auto"/>
        <w:rPr>
          <w:rFonts w:ascii="Times New Roman" w:eastAsia="Times New Roman" w:hAnsi="Times New Roman" w:cs="Times New Roman"/>
          <w:kern w:val="0"/>
          <w14:ligatures w14:val="none"/>
        </w:rPr>
      </w:pPr>
    </w:p>
    <w:p w14:paraId="6212340F" w14:textId="77777777" w:rsidR="00250B7D" w:rsidRDefault="00250B7D"/>
    <w:sectPr w:rsidR="00250B7D">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6133C" w14:textId="77777777" w:rsidR="00020767" w:rsidRDefault="00020767" w:rsidP="00860323">
      <w:pPr>
        <w:spacing w:after="0" w:line="240" w:lineRule="auto"/>
      </w:pPr>
      <w:r>
        <w:separator/>
      </w:r>
    </w:p>
  </w:endnote>
  <w:endnote w:type="continuationSeparator" w:id="0">
    <w:p w14:paraId="6CABC02C" w14:textId="77777777" w:rsidR="00020767" w:rsidRDefault="00020767" w:rsidP="00860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3CC1A" w14:textId="77777777" w:rsidR="00020767" w:rsidRDefault="00020767" w:rsidP="00860323">
      <w:pPr>
        <w:spacing w:after="0" w:line="240" w:lineRule="auto"/>
      </w:pPr>
      <w:r>
        <w:separator/>
      </w:r>
    </w:p>
  </w:footnote>
  <w:footnote w:type="continuationSeparator" w:id="0">
    <w:p w14:paraId="7A165F9E" w14:textId="77777777" w:rsidR="00020767" w:rsidRDefault="00020767" w:rsidP="00860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2413" w14:textId="657721F1" w:rsidR="00860323" w:rsidRDefault="00860323" w:rsidP="00860323">
    <w:pPr>
      <w:pStyle w:val="Cabealho"/>
      <w:jc w:val="right"/>
    </w:pPr>
    <w:r>
      <w:rPr>
        <w:noProof/>
      </w:rPr>
      <w:drawing>
        <wp:inline distT="0" distB="0" distL="0" distR="0" wp14:anchorId="265DFF8E" wp14:editId="7F21BEBA">
          <wp:extent cx="1385384" cy="659947"/>
          <wp:effectExtent l="0" t="0" r="0" b="635"/>
          <wp:docPr id="5262361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36152" name="Imagem 526236152"/>
                  <pic:cNvPicPr/>
                </pic:nvPicPr>
                <pic:blipFill>
                  <a:blip r:embed="rId1">
                    <a:extLst>
                      <a:ext uri="{28A0092B-C50C-407E-A947-70E740481C1C}">
                        <a14:useLocalDpi xmlns:a14="http://schemas.microsoft.com/office/drawing/2010/main" val="0"/>
                      </a:ext>
                    </a:extLst>
                  </a:blip>
                  <a:stretch>
                    <a:fillRect/>
                  </a:stretch>
                </pic:blipFill>
                <pic:spPr>
                  <a:xfrm>
                    <a:off x="0" y="0"/>
                    <a:ext cx="1448908" cy="6902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4B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A26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D09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24C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D7A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110695">
    <w:abstractNumId w:val="3"/>
  </w:num>
  <w:num w:numId="2" w16cid:durableId="310913220">
    <w:abstractNumId w:val="4"/>
  </w:num>
  <w:num w:numId="3" w16cid:durableId="1051807640">
    <w:abstractNumId w:val="1"/>
  </w:num>
  <w:num w:numId="4" w16cid:durableId="418336759">
    <w:abstractNumId w:val="2"/>
  </w:num>
  <w:num w:numId="5" w16cid:durableId="159929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7D"/>
    <w:rsid w:val="00020767"/>
    <w:rsid w:val="00020DDE"/>
    <w:rsid w:val="00250B7D"/>
    <w:rsid w:val="00345D51"/>
    <w:rsid w:val="0038556B"/>
    <w:rsid w:val="008603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5B6BAA1"/>
  <w15:chartTrackingRefBased/>
  <w15:docId w15:val="{EA1B9E06-C8E4-194F-AD81-8E370BC9A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50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50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50B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50B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50B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50B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0B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0B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0B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50B7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50B7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50B7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50B7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50B7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50B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50B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50B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50B7D"/>
    <w:rPr>
      <w:rFonts w:eastAsiaTheme="majorEastAsia" w:cstheme="majorBidi"/>
      <w:color w:val="272727" w:themeColor="text1" w:themeTint="D8"/>
    </w:rPr>
  </w:style>
  <w:style w:type="paragraph" w:styleId="Ttulo">
    <w:name w:val="Title"/>
    <w:basedOn w:val="Normal"/>
    <w:next w:val="Normal"/>
    <w:link w:val="TtuloChar"/>
    <w:uiPriority w:val="10"/>
    <w:qFormat/>
    <w:rsid w:val="0025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50B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50B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50B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0B7D"/>
    <w:pPr>
      <w:spacing w:before="160"/>
      <w:jc w:val="center"/>
    </w:pPr>
    <w:rPr>
      <w:i/>
      <w:iCs/>
      <w:color w:val="404040" w:themeColor="text1" w:themeTint="BF"/>
    </w:rPr>
  </w:style>
  <w:style w:type="character" w:customStyle="1" w:styleId="CitaoChar">
    <w:name w:val="Citação Char"/>
    <w:basedOn w:val="Fontepargpadro"/>
    <w:link w:val="Citao"/>
    <w:uiPriority w:val="29"/>
    <w:rsid w:val="00250B7D"/>
    <w:rPr>
      <w:i/>
      <w:iCs/>
      <w:color w:val="404040" w:themeColor="text1" w:themeTint="BF"/>
    </w:rPr>
  </w:style>
  <w:style w:type="paragraph" w:styleId="PargrafodaLista">
    <w:name w:val="List Paragraph"/>
    <w:basedOn w:val="Normal"/>
    <w:uiPriority w:val="34"/>
    <w:qFormat/>
    <w:rsid w:val="00250B7D"/>
    <w:pPr>
      <w:ind w:left="720"/>
      <w:contextualSpacing/>
    </w:pPr>
  </w:style>
  <w:style w:type="character" w:styleId="nfaseIntensa">
    <w:name w:val="Intense Emphasis"/>
    <w:basedOn w:val="Fontepargpadro"/>
    <w:uiPriority w:val="21"/>
    <w:qFormat/>
    <w:rsid w:val="00250B7D"/>
    <w:rPr>
      <w:i/>
      <w:iCs/>
      <w:color w:val="2F5496" w:themeColor="accent1" w:themeShade="BF"/>
    </w:rPr>
  </w:style>
  <w:style w:type="paragraph" w:styleId="CitaoIntensa">
    <w:name w:val="Intense Quote"/>
    <w:basedOn w:val="Normal"/>
    <w:next w:val="Normal"/>
    <w:link w:val="CitaoIntensaChar"/>
    <w:uiPriority w:val="30"/>
    <w:qFormat/>
    <w:rsid w:val="00250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50B7D"/>
    <w:rPr>
      <w:i/>
      <w:iCs/>
      <w:color w:val="2F5496" w:themeColor="accent1" w:themeShade="BF"/>
    </w:rPr>
  </w:style>
  <w:style w:type="character" w:styleId="RefernciaIntensa">
    <w:name w:val="Intense Reference"/>
    <w:basedOn w:val="Fontepargpadro"/>
    <w:uiPriority w:val="32"/>
    <w:qFormat/>
    <w:rsid w:val="00250B7D"/>
    <w:rPr>
      <w:b/>
      <w:bCs/>
      <w:smallCaps/>
      <w:color w:val="2F5496" w:themeColor="accent1" w:themeShade="BF"/>
      <w:spacing w:val="5"/>
    </w:rPr>
  </w:style>
  <w:style w:type="character" w:customStyle="1" w:styleId="apple-converted-space">
    <w:name w:val="apple-converted-space"/>
    <w:basedOn w:val="Fontepargpadro"/>
    <w:rsid w:val="00250B7D"/>
  </w:style>
  <w:style w:type="character" w:styleId="CdigoHTML">
    <w:name w:val="HTML Code"/>
    <w:basedOn w:val="Fontepargpadro"/>
    <w:uiPriority w:val="99"/>
    <w:semiHidden/>
    <w:unhideWhenUsed/>
    <w:rsid w:val="00250B7D"/>
    <w:rPr>
      <w:rFonts w:ascii="Courier New" w:eastAsiaTheme="minorEastAsia" w:hAnsi="Courier New" w:cs="Courier New"/>
      <w:sz w:val="20"/>
      <w:szCs w:val="20"/>
    </w:rPr>
  </w:style>
  <w:style w:type="character" w:styleId="nfase">
    <w:name w:val="Emphasis"/>
    <w:basedOn w:val="Fontepargpadro"/>
    <w:uiPriority w:val="20"/>
    <w:qFormat/>
    <w:rsid w:val="00250B7D"/>
    <w:rPr>
      <w:i/>
      <w:iCs/>
    </w:rPr>
  </w:style>
  <w:style w:type="paragraph" w:styleId="Cabealho">
    <w:name w:val="header"/>
    <w:basedOn w:val="Normal"/>
    <w:link w:val="CabealhoChar"/>
    <w:uiPriority w:val="99"/>
    <w:unhideWhenUsed/>
    <w:rsid w:val="0086032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0323"/>
  </w:style>
  <w:style w:type="paragraph" w:styleId="Rodap">
    <w:name w:val="footer"/>
    <w:basedOn w:val="Normal"/>
    <w:link w:val="RodapChar"/>
    <w:uiPriority w:val="99"/>
    <w:unhideWhenUsed/>
    <w:rsid w:val="00860323"/>
    <w:pPr>
      <w:tabs>
        <w:tab w:val="center" w:pos="4252"/>
        <w:tab w:val="right" w:pos="8504"/>
      </w:tabs>
      <w:spacing w:after="0" w:line="240" w:lineRule="auto"/>
    </w:pPr>
  </w:style>
  <w:style w:type="character" w:customStyle="1" w:styleId="RodapChar">
    <w:name w:val="Rodapé Char"/>
    <w:basedOn w:val="Fontepargpadro"/>
    <w:link w:val="Rodap"/>
    <w:uiPriority w:val="99"/>
    <w:rsid w:val="00860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1688</Words>
  <Characters>9121</Characters>
  <Application>Microsoft Office Word</Application>
  <DocSecurity>0</DocSecurity>
  <Lines>76</Lines>
  <Paragraphs>21</Paragraphs>
  <ScaleCrop>false</ScaleCrop>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Stutz</dc:creator>
  <cp:keywords/>
  <dc:description/>
  <cp:lastModifiedBy>Microsoft Office User</cp:lastModifiedBy>
  <cp:revision>3</cp:revision>
  <dcterms:created xsi:type="dcterms:W3CDTF">2026-08-17T14:51:00Z</dcterms:created>
  <dcterms:modified xsi:type="dcterms:W3CDTF">2026-08-17T15:06:00Z</dcterms:modified>
</cp:coreProperties>
</file>