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1C31F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CARTA DE INTENÇÃO DE COMPRA E APORTE ESTRUTURADO — OPERAÇÕES DE ATACADO (LOI — LETTER OF INTENT)</w:t>
      </w:r>
    </w:p>
    <w:p w14:paraId="3B3761CA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Código de Referência da Operação: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</w:t>
      </w:r>
      <w:proofErr w:type="gram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ID_da_Pauta_Nina_Engine]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de Emissão: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 Data Atual]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Validade da Proposta: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05 (cinco) dias úteis a contar da data de emissão.</w:t>
      </w:r>
    </w:p>
    <w:p w14:paraId="56AF60F1" w14:textId="7F7F3F4B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6E03C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DAS PARTES E DO PROPÓSITO DO APORTE INSTITUCIONAL</w:t>
      </w:r>
    </w:p>
    <w:p w14:paraId="6B7519BD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INTERMEDIÁRIA, CUSTODIANTE E GESTORA DA CARTEIRA:</w:t>
      </w:r>
    </w:p>
    <w:p w14:paraId="06694D7E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FRANQUEADORA E DESENVOLVIMENTO DE SOFTWARE LTDA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inscrita no CNPJ/ME sob o nº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[CNPJ_da_Holding]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</w:t>
      </w:r>
      <w:proofErr w:type="gram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_Completo</w:t>
      </w:r>
      <w:proofErr w:type="gram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CE888F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INVESTIDOR INSTITUCIONAL (PROPRIETÁRIO INSTITUCIONAL OUTORGANTE):</w:t>
      </w:r>
    </w:p>
    <w:p w14:paraId="5E5988C0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do Fundo de Investimento em Direitos Creditórios - FIDC / SPE Estruturada do Fundo Parceiro]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devidamente representado por seu Comitê de Crédito e Alocação de Atacado.</w:t>
      </w:r>
    </w:p>
    <w:p w14:paraId="2BE00D6F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PROPÓSITO MERCANTIL:</w:t>
      </w:r>
    </w:p>
    <w:p w14:paraId="4D703370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meio deste instrumento regulamentar de balcão, o 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INVESTIDOR INSTITUCIONAL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manifesta seu 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aceite técnico irrevogável, vinculante e definitivo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o aporte de capital fiduciário atrelado à operação identificada pelo código mestre acima, autorizando a provisão e o bloqueio de caixa na subconta Escrow, sob a modalidade assinalada no item 2.1 deste instrumento.</w:t>
      </w:r>
    </w:p>
    <w:p w14:paraId="647240E7" w14:textId="4FAC18BB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0C95E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DOS PARÂMETROS GERAIS DA PAUTA HOMOLOGADA</w:t>
      </w:r>
    </w:p>
    <w:p w14:paraId="00A9E0C3" w14:textId="77777777" w:rsidR="00AD612A" w:rsidRPr="00AD612A" w:rsidRDefault="00AD612A" w:rsidP="00AD6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Tomador Final da Operação (PJ):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da Empresa PJ Tomadora]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 CNPJ nº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[Número_CNPJ]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204281" w14:textId="77777777" w:rsidR="00AD612A" w:rsidRPr="00AD612A" w:rsidRDefault="00AD612A" w:rsidP="00AD6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Proprietário Interveniente Garante (PF/PJ - Se Aplicável):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 Completo do Dono do Imóvel na Matrícula]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 CPF ou CNPJ nº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0A4020A" w14:textId="77777777" w:rsidR="00AD612A" w:rsidRPr="00AD612A" w:rsidRDefault="00AD612A" w:rsidP="00AD6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Intermediário Comercial / Canal de Rede: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[Nome do Parceiro / </w:t>
      </w:r>
      <w:proofErr w:type="spell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Corban</w:t>
      </w:r>
      <w:proofErr w:type="spell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EF214B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2.1. SELEÇÃO MODULAR DO PRODUTO ATIVADO (SINALIZAR APENAS UMA OPÇÃO):</w:t>
      </w:r>
    </w:p>
    <w:p w14:paraId="66DD32CE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AD612A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 ]</w:t>
      </w:r>
      <w:proofErr w:type="gramEnd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OPÇÃO 01 — FLASH CREDIT (RETROVENDA IMOBILIÁRIA ESTRUTURADA)</w:t>
      </w:r>
    </w:p>
    <w:p w14:paraId="4EF2ECB7" w14:textId="77777777" w:rsidR="00AD612A" w:rsidRPr="00AD612A" w:rsidRDefault="00AD612A" w:rsidP="00AD6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Imóvel Colateral (Lastro RWA):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Matrícula nº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registrada perante o RGI da Comarca de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[Cidade/UF]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700730" w14:textId="77777777" w:rsidR="00AD612A" w:rsidRPr="00AD612A" w:rsidRDefault="00AD612A" w:rsidP="00AD6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Valor de Avaliação Técnica de Mercado (AVM Definitivo):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[Valor_Laudo_AVM]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D0AD0E" w14:textId="77777777" w:rsidR="00AD612A" w:rsidRPr="00AD612A" w:rsidRDefault="00AD612A" w:rsidP="00AD6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LTV de Entrada Aplicado (Margem de Risco):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[Até</w:t>
      </w:r>
      <w:proofErr w:type="gram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40%]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calculados sobre o valor de avaliação real do ativo.</w:t>
      </w:r>
    </w:p>
    <w:p w14:paraId="4C8BCC26" w14:textId="77777777" w:rsidR="00AD612A" w:rsidRPr="00AD612A" w:rsidRDefault="00AD612A" w:rsidP="00AD6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Preço Bruto de Venda / </w:t>
      </w:r>
      <w:proofErr w:type="spellStart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Payout</w:t>
      </w:r>
      <w:proofErr w:type="spellEnd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Atacado Aprovado: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</w:t>
      </w:r>
      <w:proofErr w:type="spell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Valor</w:t>
      </w:r>
      <w:proofErr w:type="gram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_Bruto</w:t>
      </w:r>
      <w:proofErr w:type="gram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_Aporte_Fundo</w:t>
      </w:r>
      <w:proofErr w:type="spell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23B462" w14:textId="41D9420A" w:rsidR="00AD612A" w:rsidRPr="00AD612A" w:rsidRDefault="00AD612A" w:rsidP="00AD6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Taxa de Fruição Patrimonial Institucional: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53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2,5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% ao </w:t>
      </w:r>
      <w:r w:rsidR="0053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mês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53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dois e meio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 cento ao </w:t>
      </w:r>
      <w:r w:rsidR="0053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mês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incidentes de forma linear sobre o Valor Nominal Global da Operação, acrescidos da variação acumulada do IPCA/IBGE.</w:t>
      </w:r>
    </w:p>
    <w:p w14:paraId="36CBE0A1" w14:textId="77777777" w:rsidR="00AD612A" w:rsidRPr="00AD612A" w:rsidRDefault="00AD612A" w:rsidP="00AD6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Prazo Contratual para Direito de Resgate: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36 (trinta e seis) meses sucessivos.</w:t>
      </w:r>
    </w:p>
    <w:p w14:paraId="46754FD6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AD612A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 ]</w:t>
      </w:r>
      <w:proofErr w:type="gramEnd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OPÇÃO 02 — SDC (AQUISIÇÃO DE ÁGIO DE COTAS CONTEMPLADAS DE CONSÓRCIO)</w:t>
      </w:r>
    </w:p>
    <w:p w14:paraId="1D84AC4C" w14:textId="77777777" w:rsidR="00AD612A" w:rsidRPr="00AD612A" w:rsidRDefault="00AD612A" w:rsidP="00AD6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Administradora do Consórcio de Origem: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 da Administradora Mãe]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D29423" w14:textId="77777777" w:rsidR="00AD612A" w:rsidRPr="00AD612A" w:rsidRDefault="00AD612A" w:rsidP="00AD6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Identificação do Ativo Financeiro: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Grupo nº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 Cota nº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89C2DA" w14:textId="77777777" w:rsidR="00AD612A" w:rsidRPr="00AD612A" w:rsidRDefault="00AD612A" w:rsidP="00AD6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Valor Total de Desembolso / Aporte do Fundo: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 </w:t>
      </w: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[Valor</w:t>
      </w:r>
      <w:proofErr w:type="gramStart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_Injetado</w:t>
      </w:r>
      <w:proofErr w:type="gramEnd"/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_para_Compra_do_Agio]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205119F" w14:textId="77777777" w:rsidR="00AD612A" w:rsidRPr="00AD612A" w:rsidRDefault="00AD612A" w:rsidP="00AD6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Taxa de Estruturação e Retorno do Fundo (Atacado):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2,5% ao mês a juros simples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calculados proporcionalmente sobre o prazo total estimado de alocação do ativo subjacente.</w:t>
      </w:r>
    </w:p>
    <w:p w14:paraId="74FAE4B1" w14:textId="2C46BF93" w:rsidR="00AD612A" w:rsidRPr="007E72E1" w:rsidRDefault="00AD612A" w:rsidP="007E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Modelo de Liquidação: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Regime de Pagamento Único Consolidado (</w:t>
      </w:r>
      <w:proofErr w:type="spellStart"/>
      <w:r w:rsidRPr="00AD612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Bullet</w:t>
      </w:r>
      <w:proofErr w:type="spellEnd"/>
      <w:r w:rsidRPr="00AD612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AD612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Payment</w:t>
      </w:r>
      <w:proofErr w:type="spellEnd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executado integralmente no encerramento e close operacional da pauta, inexistindo divisões ou repasses intermediários à plataforma.</w:t>
      </w:r>
    </w:p>
    <w:p w14:paraId="58245AF4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3. CONDICIONANTES ESPECIAIS DE BALCÃO E GATILHOS FINOPS</w:t>
      </w:r>
    </w:p>
    <w:p w14:paraId="05C217D7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I — Do </w:t>
      </w:r>
      <w:proofErr w:type="spellStart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Payout</w:t>
      </w:r>
      <w:proofErr w:type="spellEnd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Bloqueado de Segurança (Gatilho de Close Operacional):</w:t>
      </w:r>
    </w:p>
    <w:p w14:paraId="02193461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montante bruto aprovado será transferido imediatamente pelo INVESTIDOR para a Conta Escrow Virtual Nominal do cliente gerenciada pela PLATAFORMA. Os recursos 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permanecerão com status eletrônico de </w:t>
      </w:r>
      <w:r w:rsidRPr="00AD612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Lock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(Congelado). No Flash Credit, a liberação ocorre após a averbação da retrovenda no RGI. No SDC, a liberação ocorre em D+0 após a validação da transferência da cota com o cronômetro de 60 minutos de velocidade comercial ativado.</w:t>
      </w:r>
    </w:p>
    <w:p w14:paraId="1BFB133B" w14:textId="723124AA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II — Da Execução de Interveniente </w:t>
      </w:r>
      <w:proofErr w:type="spellStart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Quitante</w:t>
      </w:r>
      <w:proofErr w:type="spellEnd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(Flash C</w:t>
      </w:r>
      <w:r w:rsidR="007E72E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apital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— Se Aplicável):</w:t>
      </w:r>
    </w:p>
    <w:p w14:paraId="0A1D7570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Havendo apontamento de saldo devedor anterior ou gravames na matrícula (financiamentos ativos, hipotecas ou penhoras), o INVESTIDOR autoriza o software da Escrow a reter na fonte o valor total apontado no boleto oficial de quitação anexado pelo cliente, liquidando o credor antigo diretamente na fonte e na mesma janela de liberação cartorária.</w:t>
      </w:r>
    </w:p>
    <w:p w14:paraId="272EFA3E" w14:textId="30EDDD6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III — Do Aporte em Duas Fases para Construções Não Averbadas (Flash </w:t>
      </w:r>
      <w:r w:rsidR="007E72E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Capital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— Se Aplicável):</w:t>
      </w:r>
    </w:p>
    <w:p w14:paraId="5042EAF9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Caso o colateral envolva construção física </w:t>
      </w:r>
      <w:proofErr w:type="gramStart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concluída</w:t>
      </w:r>
      <w:proofErr w:type="gramEnd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mas não averbada, o INVESTIDOR autoriza o fracionamento do </w:t>
      </w:r>
      <w:proofErr w:type="spellStart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payout</w:t>
      </w:r>
      <w:proofErr w:type="spellEnd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em:</w:t>
      </w:r>
    </w:p>
    <w:p w14:paraId="323D331E" w14:textId="77777777" w:rsidR="00AD612A" w:rsidRPr="00AD612A" w:rsidRDefault="00AD612A" w:rsidP="00AD61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1: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Liberação de 40% calculados estritamente sobre o valor do lote nu;</w:t>
      </w:r>
    </w:p>
    <w:p w14:paraId="70DEC583" w14:textId="77777777" w:rsidR="00AD612A" w:rsidRPr="00AD612A" w:rsidRDefault="00AD612A" w:rsidP="00AD61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2: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Retenção e bloqueio do saldo remanescente pelo prazo decadencial máximo de 90 dias, cujo destravamento sistêmico fica condicionado ao upload e validação por OCR da nova matrícula contendo a averbação definitiva da obra em nome do INVESTIDOR. O decurso do prazo sem regularização opera a perda do saldo da Fase 2 e o estorno dos recursos para amortização antecipada da pauta junto ao Fundo.</w:t>
      </w:r>
    </w:p>
    <w:p w14:paraId="2D4C1499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IV — Trava Antifraude de Mandato de Procuração (Módulo SDC):</w:t>
      </w:r>
    </w:p>
    <w:p w14:paraId="5ABEFB89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Em conformidade com os Artigos 684 e 685 do Código Civil, o tomador final vincula-se à outorga de procuração pública em causa própria e irrevogável perante tabelionato. Fica expressamente pactuado nesta LOI que qualquer ato, notificação ou tentativa de revogação desse mandato pelo cliente perante os cartórios estatais ativará </w:t>
      </w:r>
      <w:proofErr w:type="spellStart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programmaticamente</w:t>
      </w:r>
      <w:proofErr w:type="spellEnd"/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 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vencimento antecipado automático de 100% da pauta institucional, acrescido da aplicação de uma multa punitiva imediata de 20% calculada sobre o </w:t>
      </w:r>
      <w:proofErr w:type="spellStart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payout</w:t>
      </w:r>
      <w:proofErr w:type="spellEnd"/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líquido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autorizando-se a cessão reversa instantânea do lote de cartas para o cofre do FUNDO.</w:t>
      </w:r>
    </w:p>
    <w:p w14:paraId="6BC49B52" w14:textId="30538AFD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78FD9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4. DA BLINDAGEM DA LIQUIDAÇÃO E DEVOLUÇÃO DE SOBRAS (FLASH CREDIT)</w:t>
      </w:r>
    </w:p>
    <w:p w14:paraId="1BA669CD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 — Do Inadimplemento e Caducidade Extrajudicial:</w:t>
      </w:r>
    </w:p>
    <w:p w14:paraId="5A359B96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 atraso superior a 60 (sessenta) dias corridos em qualquer fatura mensal de fruição patrimonial provoca a extinção do pacto por caducidade extrajudicial expressa (Art. 506 do Código Civil), consolidando a propriedade plena em nome do INVESTIDOR, sem direito a retenções por benfeitorias.</w:t>
      </w:r>
    </w:p>
    <w:p w14:paraId="559EB995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II — Do Leilão Regressivo e Devolução de Sobras:</w:t>
      </w:r>
    </w:p>
    <w:p w14:paraId="45427F24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Consolidada a propriedade por calote, a PLATAFORMA destinará o ativo ao Campo de Leilão Eletrônico pelo preço de 100% do AVM, aplicando deságios programáticos automatizados até o piso limite de 60% do valor de mercado para assegurar a liquidez do lastro seco. O split de fechamento realizará de forma cega a quitação prioritária de 100% do capital principal e encargos devidos ao INVESTIDOR INSTITUCIONAL, liquidará as taxas de 10% da plataforma e 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devolve obrigatoriamente o saldo excedente (sobra do leilão) para a conta corrente do cliente devedor / proprietário original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aniquilando teses judiciais de agiotagem ou pacto comissório.</w:t>
      </w:r>
    </w:p>
    <w:p w14:paraId="23146524" w14:textId="1007EC32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8E07B" w14:textId="77777777" w:rsidR="00AD612A" w:rsidRPr="00AD612A" w:rsidRDefault="00AD612A" w:rsidP="00AD6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5. DA ANUÊNCIA E ASSINATURA ELETRÔNICA</w:t>
      </w:r>
    </w:p>
    <w:p w14:paraId="1848B6B0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partes declaram total conformidade com as regras operacionais, parâmetros de faturamento e matrizes de riscos descritas nesta Carta de Intenção híbrida, elegendo de forma soberana a Câmara de Arbitragem com exclusão do Judiciário estatal para dirimir qualquer controvérsia superveniente.</w:t>
      </w:r>
    </w:p>
    <w:p w14:paraId="389535E9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[Assinado Eletronicamente via Certificado Digital Avançado — ICP-Brasil]</w:t>
      </w:r>
    </w:p>
    <w:p w14:paraId="4F41F96B" w14:textId="1AFCFD4D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A6C8B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AD612A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do Fundo / FIDC Outorgante]</w:t>
      </w: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Comitê de Alocação de Atacado — INVESTIDOR INSTITUCIONAL</w:t>
      </w:r>
    </w:p>
    <w:p w14:paraId="77F2CED5" w14:textId="768E4338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5C661" w14:textId="77777777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61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AD61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Mesa de Operações e Estruturação de Ativos Reais (RWA)</w:t>
      </w:r>
    </w:p>
    <w:p w14:paraId="47C83A99" w14:textId="4AB5A9CA" w:rsidR="00AD612A" w:rsidRPr="00AD612A" w:rsidRDefault="00AD612A" w:rsidP="00AD61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14E1A" w14:textId="77777777" w:rsidR="00AD612A" w:rsidRDefault="00AD612A"/>
    <w:sectPr w:rsidR="00AD612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20568" w14:textId="77777777" w:rsidR="009E7A9F" w:rsidRDefault="009E7A9F" w:rsidP="007E72E1">
      <w:pPr>
        <w:spacing w:after="0" w:line="240" w:lineRule="auto"/>
      </w:pPr>
      <w:r>
        <w:separator/>
      </w:r>
    </w:p>
  </w:endnote>
  <w:endnote w:type="continuationSeparator" w:id="0">
    <w:p w14:paraId="72B55EC3" w14:textId="77777777" w:rsidR="009E7A9F" w:rsidRDefault="009E7A9F" w:rsidP="007E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96F76" w14:textId="77777777" w:rsidR="009E7A9F" w:rsidRDefault="009E7A9F" w:rsidP="007E72E1">
      <w:pPr>
        <w:spacing w:after="0" w:line="240" w:lineRule="auto"/>
      </w:pPr>
      <w:r>
        <w:separator/>
      </w:r>
    </w:p>
  </w:footnote>
  <w:footnote w:type="continuationSeparator" w:id="0">
    <w:p w14:paraId="3F1837F7" w14:textId="77777777" w:rsidR="009E7A9F" w:rsidRDefault="009E7A9F" w:rsidP="007E7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81CDE" w14:textId="6E4D65D7" w:rsidR="007E72E1" w:rsidRDefault="007E72E1" w:rsidP="007E72E1">
    <w:pPr>
      <w:pStyle w:val="Cabealho"/>
      <w:jc w:val="right"/>
    </w:pPr>
    <w:r>
      <w:rPr>
        <w:noProof/>
      </w:rPr>
      <w:drawing>
        <wp:inline distT="0" distB="0" distL="0" distR="0" wp14:anchorId="2A48EAA8" wp14:editId="4A5F0B1E">
          <wp:extent cx="1118510" cy="629228"/>
          <wp:effectExtent l="0" t="0" r="0" b="6350"/>
          <wp:docPr id="15935694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569411" name="Imagem 15935694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4920" cy="6665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3B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1B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A4B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27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596157">
    <w:abstractNumId w:val="2"/>
  </w:num>
  <w:num w:numId="2" w16cid:durableId="384570071">
    <w:abstractNumId w:val="1"/>
  </w:num>
  <w:num w:numId="3" w16cid:durableId="1208109007">
    <w:abstractNumId w:val="3"/>
  </w:num>
  <w:num w:numId="4" w16cid:durableId="1936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2A"/>
    <w:rsid w:val="005347C0"/>
    <w:rsid w:val="007E72E1"/>
    <w:rsid w:val="009372E2"/>
    <w:rsid w:val="009E7A9F"/>
    <w:rsid w:val="00AD612A"/>
    <w:rsid w:val="00D704EB"/>
    <w:rsid w:val="00F4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C8A97F"/>
  <w15:chartTrackingRefBased/>
  <w15:docId w15:val="{0DAAA437-618C-E241-8834-27D01673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D6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1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12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1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1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1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12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12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12A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AD612A"/>
  </w:style>
  <w:style w:type="character" w:styleId="CdigoHTML">
    <w:name w:val="HTML Code"/>
    <w:basedOn w:val="Fontepargpadro"/>
    <w:uiPriority w:val="99"/>
    <w:semiHidden/>
    <w:unhideWhenUsed/>
    <w:rsid w:val="00AD612A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D612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7E7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72E1"/>
  </w:style>
  <w:style w:type="paragraph" w:styleId="Rodap">
    <w:name w:val="footer"/>
    <w:basedOn w:val="Normal"/>
    <w:link w:val="RodapChar"/>
    <w:uiPriority w:val="99"/>
    <w:unhideWhenUsed/>
    <w:rsid w:val="007E7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1091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Microsoft Office User</cp:lastModifiedBy>
  <cp:revision>4</cp:revision>
  <dcterms:created xsi:type="dcterms:W3CDTF">2026-08-06T19:53:00Z</dcterms:created>
  <dcterms:modified xsi:type="dcterms:W3CDTF">2026-08-31T14:12:00Z</dcterms:modified>
</cp:coreProperties>
</file>