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4F74A" w14:textId="25861102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5FC9D7" w14:textId="77777777" w:rsidR="00C7229E" w:rsidRPr="00C7229E" w:rsidRDefault="00C7229E" w:rsidP="00C722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INSTRUMENTO PARTICULAR DE CONCESSÃO DE FRANQUIA EMPRESARIAL MASTER REGIONAL, ORQUESTRAÇÃO DE REDE MMN UNIVERSAL E OUTRAS AVENÇAS</w:t>
      </w:r>
    </w:p>
    <w:p w14:paraId="1B561E0C" w14:textId="3BF58AE8" w:rsidR="00C7229E" w:rsidRPr="00E91CB6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Código do Documento: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LETTER_MASTER_FRANCHISE_AGREEMENT_2026_V51.0_UNIVERSAL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Lastro Normativo: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Lei Federal nº 13.966/2019 (Lei de Franquias), Artigos 421, 421-A, e 505 a 508 do Código Civil Brasileiro e a especificação contábil do Módulo LETTER MMN V51.0.</w:t>
      </w:r>
    </w:p>
    <w:p w14:paraId="51CB799E" w14:textId="77777777" w:rsidR="00C7229E" w:rsidRPr="00C7229E" w:rsidRDefault="00C7229E" w:rsidP="00C722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CONTRATANTES</w:t>
      </w:r>
    </w:p>
    <w:p w14:paraId="06057247" w14:textId="77777777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FRANQUEADORA NACIONAL (DETENTORA DO ECOSSISTEMA):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FRANQUEADORA E DESENVOLVIMENTO DE SOFTWARE LTDA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(ou entidade coligada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HOLDING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pessoa jurídica de direito privado, inscrita no CNPJ/ME sob o nº </w:t>
      </w:r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[CNPJ_da_Holding]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 sede estabelecida na </w:t>
      </w:r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[Endereço_Completo]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detentora exclusiva dos domínios </w:t>
      </w:r>
      <w:r w:rsidRPr="00C722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letter.app.br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 </w:t>
      </w:r>
      <w:r w:rsidRPr="00C722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dashboard.letter.app.br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doravante denominada simplesmente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FRANQUEADORA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9FDB309" w14:textId="77777777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MASTER FRANQUEADO REGIONAL (OPERADOR DA COMARCA DEMARCADA):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229E">
        <w:rPr>
          <w:rFonts w:ascii="Courier New" w:hAnsi="Courier New" w:cs="Courier New"/>
          <w:b/>
          <w:bCs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[Razão Social da Empresa PJ do Master]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pessoa jurídica de direito privado, inscrita no CNPJ/ME sob o nº </w:t>
      </w:r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[CNPJ_do_Master]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 sede estabelecida na </w:t>
      </w:r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[Endereço]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neste ato representada por seu(s) Administrador(es) legalmente investido(s) de poderes e validado(s) por biometria facial avançada no sistema core, doravante denominado simplesmente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MASTER REGIONAL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8F9A5D3" w14:textId="59E9B029" w:rsid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Partes, de comum acordo, sob as cláusulas e condições operacionais a seguir estipuladas, firmam o presente instrumento definitivo:</w:t>
      </w:r>
    </w:p>
    <w:p w14:paraId="33DDA092" w14:textId="77777777" w:rsidR="00E91CB6" w:rsidRPr="00E91CB6" w:rsidRDefault="00E91CB6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C5B636C" w14:textId="77777777" w:rsidR="00C7229E" w:rsidRPr="00C7229E" w:rsidRDefault="00C7229E" w:rsidP="00C722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CLÁUSULA PRIMEIRA – DO OBJETO E DA DELIMITAÇÃO DA COMARCA REGIONAL</w:t>
      </w:r>
    </w:p>
    <w:p w14:paraId="490202EC" w14:textId="77777777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1.1. O objeto do presente contrato é a concessão recíproca e exclusiva do direito de exploração da marca, know-how, ferramentas e esteiras tecnológicas proprietárias da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FRANQUEADORA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favor do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MASTER REGIONAL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conferindo-lhe o monopólio de representação institucional e a percepção de taxas de rede sobre a comarca geográfica e administrativamente delimitada no quadro abaixo:</w:t>
      </w:r>
    </w:p>
    <w:p w14:paraId="6D36E5A8" w14:textId="77777777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QUADRO RESUMO — ÁREA DE ATUAÇÃO E COBERTURA MASTER EXCLUSIVA:</w:t>
      </w:r>
    </w:p>
    <w:p w14:paraId="6E155AA2" w14:textId="77777777" w:rsidR="00C7229E" w:rsidRPr="00C7229E" w:rsidRDefault="00C7229E" w:rsidP="00C72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Região Demarcada: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[Nome_da_Regiao_ou_Polo</w:t>
      </w:r>
      <w:proofErr w:type="gramStart"/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_Regional</w:t>
      </w:r>
      <w:proofErr w:type="gramEnd"/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]</w:t>
      </w:r>
    </w:p>
    <w:p w14:paraId="4442FBC0" w14:textId="77777777" w:rsidR="00C7229E" w:rsidRPr="00C7229E" w:rsidRDefault="00C7229E" w:rsidP="00C72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Estados / Microrregiões de Cobertura: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[Estados_e_Cidades_de_Abrangencia]</w:t>
      </w:r>
    </w:p>
    <w:p w14:paraId="58C0DB2D" w14:textId="77777777" w:rsidR="00C7229E" w:rsidRPr="00C7229E" w:rsidRDefault="00C7229E" w:rsidP="00C72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Código do Hub de Ativação Sistêmica: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HUB-[</w:t>
      </w:r>
      <w:proofErr w:type="spellStart"/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Codigo</w:t>
      </w:r>
      <w:proofErr w:type="gramStart"/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_Logico</w:t>
      </w:r>
      <w:proofErr w:type="gramEnd"/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_do_Hub</w:t>
      </w:r>
      <w:proofErr w:type="spellEnd"/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]</w:t>
      </w:r>
    </w:p>
    <w:p w14:paraId="519ABA10" w14:textId="55D2C3B0" w:rsid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1.2. O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MASTER REGIONAL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assume o encargo de gerenciar, auditar, expandir e homologar a rede de corretores, afiliados, parceiros e correspondentes bancários homologados (</w:t>
      </w:r>
      <w:proofErr w:type="spellStart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Corbans</w:t>
      </w:r>
      <w:proofErr w:type="spellEnd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que atuam dentro de sua área territorial, respondendo pela integridade cadastral das pautas submetidas.</w:t>
      </w:r>
    </w:p>
    <w:p w14:paraId="43893D05" w14:textId="77777777" w:rsidR="00E91CB6" w:rsidRPr="00E91CB6" w:rsidRDefault="00E91CB6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7E0DEB1" w14:textId="77777777" w:rsidR="00C7229E" w:rsidRPr="00C7229E" w:rsidRDefault="00C7229E" w:rsidP="00C722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CLÁUSULA SEGUNDA – DA MATRIZ UNIVERSAL DE DISTRIBUIÇÃO EM GRADE (REPARTIÇÃO 50/50)</w:t>
      </w:r>
    </w:p>
    <w:p w14:paraId="48CBEED6" w14:textId="77777777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2.1. O robô de faturamento FinOps da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PLATAFORMA LETTER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processará de forma unificada e idêntica o rateio de comissões decorrentes tanto da liquidação de pautas estruturadas (Atacado SDC, Flash </w:t>
      </w:r>
      <w:proofErr w:type="spellStart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Credit</w:t>
      </w:r>
      <w:proofErr w:type="spellEnd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Lease</w:t>
      </w:r>
      <w:proofErr w:type="spellEnd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Equity</w:t>
      </w:r>
      <w:proofErr w:type="spellEnd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as duas pontas do </w:t>
      </w:r>
      <w:proofErr w:type="spellStart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QuitCon</w:t>
      </w:r>
      <w:proofErr w:type="spellEnd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quanto do recebimento das mensalidades recorrentes da Vertical SaaS e captação do Flash Invest ocorridas dentro da área de cobertura do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MASTER REGIONAL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2966CF8" w14:textId="77777777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2.2. O sistema core da plataforma lerá o percentual cheio parametrizado pelo administrador central no painel (</w:t>
      </w:r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VALOR_MMN_DEFINIDO = X%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e executará o </w:t>
      </w:r>
      <w:r w:rsidRPr="00C722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split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contábil na fonte de maneira automática, dividindo a verba de comissão total gerada pelo produto em duas metades simétricas e imutáveis:</w:t>
      </w:r>
    </w:p>
    <w:p w14:paraId="6FDF4F24" w14:textId="77777777" w:rsidR="00C7229E" w:rsidRPr="00C7229E" w:rsidRDefault="00C7229E" w:rsidP="00C722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A) 50% (cinquenta por cento) da Verba Total destinada ao MASTER REGIONAL: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Taxa de performance fixa, perpétua e imutável sobre qualquer fechamento, conversão ou recorrência executada dentro de sua comarca demarcada, independentemente de quem tenha realizado a venda direta na ponta.</w:t>
      </w:r>
    </w:p>
    <w:p w14:paraId="64EC0B3E" w14:textId="77777777" w:rsidR="00C7229E" w:rsidRPr="00C7229E" w:rsidRDefault="00C7229E" w:rsidP="00C722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B) 50% (cinquenta por cento) da Verba Total destinada à REDE MMN DESCENDENTE: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Rateio dinâmico distribuído em cascata de acordo com a árvore de indicações e </w:t>
      </w:r>
      <w:proofErr w:type="spellStart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uplines</w:t>
      </w:r>
      <w:proofErr w:type="spellEnd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vinculada, obedecendo à seguinte proporção:</w:t>
      </w:r>
    </w:p>
    <w:p w14:paraId="4E782A68" w14:textId="77777777" w:rsidR="00C7229E" w:rsidRPr="00C7229E" w:rsidRDefault="00C7229E" w:rsidP="00C722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Vendedor Direto: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35% da verba de rede</w:t>
      </w:r>
    </w:p>
    <w:p w14:paraId="72FFAC4C" w14:textId="77777777" w:rsidR="00C7229E" w:rsidRPr="00C7229E" w:rsidRDefault="00C7229E" w:rsidP="00C722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722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Upline</w:t>
      </w:r>
      <w:proofErr w:type="spellEnd"/>
      <w:r w:rsidRPr="00C722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Nível 1: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7% da verba de rede</w:t>
      </w:r>
    </w:p>
    <w:p w14:paraId="5581DB9D" w14:textId="77777777" w:rsidR="00C7229E" w:rsidRPr="00C7229E" w:rsidRDefault="00C7229E" w:rsidP="00C722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722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Upline</w:t>
      </w:r>
      <w:proofErr w:type="spellEnd"/>
      <w:r w:rsidRPr="00C722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Nível 2: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5% da verba de rede</w:t>
      </w:r>
    </w:p>
    <w:p w14:paraId="47D58D2E" w14:textId="09B40ADA" w:rsidR="00C7229E" w:rsidRPr="00E91CB6" w:rsidRDefault="00C7229E" w:rsidP="00E91C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722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Upline</w:t>
      </w:r>
      <w:proofErr w:type="spellEnd"/>
      <w:r w:rsidRPr="00C722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Nível 3: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3% da verba de rede</w:t>
      </w:r>
    </w:p>
    <w:p w14:paraId="6695F932" w14:textId="77777777" w:rsidR="00C7229E" w:rsidRPr="00C7229E" w:rsidRDefault="00C7229E" w:rsidP="00C722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CLÁUSULA TERCEIRA – DA SIMULAÇÃO OPERACIONAL DAS ESTEIRAS E VERTICAIS</w:t>
      </w:r>
    </w:p>
    <w:p w14:paraId="2285EB0D" w14:textId="77777777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3.1. Para fins de alinhamento contábil e auditoria de caixa da controladoria, as partes chancelam a aplicação das regras matemáticas de rateio sob os modelos de receita e as tabelas comissionadas da plataforma:</w:t>
      </w:r>
    </w:p>
    <w:p w14:paraId="06971D2E" w14:textId="77777777" w:rsidR="00C7229E" w:rsidRPr="00C7229E" w:rsidRDefault="00C7229E" w:rsidP="00C722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A) ESTEIRA SDC (CONSÓRCIO ESTRUTURADO PARA GIRO):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comissão cheia é fixada em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6%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sobre o valor líquido alavancado. Em uma verba gerada de R$ 10.000,00, o Master recebe R$ 5.000,00 fixos; o Vendedor Direto 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recebe R$ 3.500,00; o </w:t>
      </w:r>
      <w:proofErr w:type="spellStart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Upline</w:t>
      </w:r>
      <w:proofErr w:type="spellEnd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herda R$ 700,00; o </w:t>
      </w:r>
      <w:proofErr w:type="spellStart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Upline</w:t>
      </w:r>
      <w:proofErr w:type="spellEnd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 herda R$ 500,00 e o </w:t>
      </w:r>
      <w:proofErr w:type="spellStart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Upline</w:t>
      </w:r>
      <w:proofErr w:type="spellEnd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herda R$ 300,00.</w:t>
      </w:r>
    </w:p>
    <w:p w14:paraId="6E471DD0" w14:textId="77777777" w:rsidR="00C7229E" w:rsidRPr="00C7229E" w:rsidRDefault="00C7229E" w:rsidP="00C722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B) ESTEIRA LEASE EQUITY (MONETIZAÇÃO PATRIMONIAL):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comissão cheia é fixada em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1%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calculada sobre o valor total contabilizado e travado no LTV do bem (conforme tipologia imobiliária). A verba gerada segue a divisão simétrica: 50% para o caixa do Master Regional e 50% rateados na árvore de rede descendente (35%, 7%, 5%, 3%).</w:t>
      </w:r>
    </w:p>
    <w:p w14:paraId="394FA5EE" w14:textId="77777777" w:rsidR="00C7229E" w:rsidRPr="00C7229E" w:rsidRDefault="00C7229E" w:rsidP="00C722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C) ESTEIRA QUITCON (PONTA DO PROPRIETÁRIO CEDENTE):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comissão cheia é fixada em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2%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sobre o valor líquido total que o cliente dono das cotas quitar (base de faturamento descontada a taxa de 5% da plataforma). O robô FinOps divide a verba na fonte enviando metade ao Master e metade em cascata para os níveis da rede.</w:t>
      </w:r>
    </w:p>
    <w:p w14:paraId="3F9D6E8F" w14:textId="77777777" w:rsidR="00C7229E" w:rsidRPr="00C7229E" w:rsidRDefault="00C7229E" w:rsidP="00C722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D) ESTEIRA QUITCON (PONTA DO TOMADOR DO GIRO / CESSIONÁRIO):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comissão cheia é fixada em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3%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sobre o valor do crédito direcionado para o novo cessionário (tomador do Capital de Giro </w:t>
      </w:r>
      <w:proofErr w:type="spellStart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QuitCon</w:t>
      </w:r>
      <w:proofErr w:type="spellEnd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 A verba entra na Grade Universal: 50% fixos ao Master da região e 50% distribuídos para o canal vendedor da árvore.</w:t>
      </w:r>
    </w:p>
    <w:p w14:paraId="15A72849" w14:textId="77777777" w:rsidR="00C7229E" w:rsidRPr="00C7229E" w:rsidRDefault="00C7229E" w:rsidP="00C722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E) ESTEIRA FLASH CREDIT (RETROVENDA IMOBILIÁRIA):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comissão cheia é fixada em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3%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sobre o valor nominal global da pauta de balcão. A verba segue dividida em 50% ao Master e 50% para a árvore de rede descendente (35%, 7%, 5%, 3%).</w:t>
      </w:r>
    </w:p>
    <w:p w14:paraId="48C1452C" w14:textId="77777777" w:rsidR="00C7229E" w:rsidRPr="00C7229E" w:rsidRDefault="00C7229E" w:rsidP="00C722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F) ESTEIRA FLASH INVEST (POOL DE INVESTIDORES):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comissão cheia é fixada em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2%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calculada sobre todo o montante total captado junto ao pool de varejo no encerramento da pauta na SPE. O split contábil distribui 50% da verba para o Master e 50% para a rede descendente.</w:t>
      </w:r>
    </w:p>
    <w:p w14:paraId="39877BDB" w14:textId="77777777" w:rsidR="00C7229E" w:rsidRPr="00C7229E" w:rsidRDefault="00C7229E" w:rsidP="00C722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G) MARKETPLACE DE COTAS CONTEMPLADAS: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comissão cheia é fixada em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4%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sobre o valor do crédito comercializado, dividida simetricamente em 50% para o Master e 50% para a rede.</w:t>
      </w:r>
    </w:p>
    <w:p w14:paraId="1DA7565B" w14:textId="77777777" w:rsidR="00C7229E" w:rsidRPr="00C7229E" w:rsidRDefault="00C7229E" w:rsidP="00C722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H) LEILÃO DE IMÓVEIS (LIQUIDEZ AGRESSIVA):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comissão cheia é fixada em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2%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sobre o valor bruto de arrematação final do bem, dividida em 50% para o Master e 50% para a rede.</w:t>
      </w:r>
    </w:p>
    <w:p w14:paraId="59377EDD" w14:textId="4CE2E020" w:rsidR="00C7229E" w:rsidRPr="00E91CB6" w:rsidRDefault="00C7229E" w:rsidP="00E91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I) VERTICAL SAAS (ASSINATURA DE LEADS DE R$ 199,90):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Admin fixa R$ 59,97 (30% da assinatura) para a rede, ficando R$ 139,93 com a holding. O robô divide os R$ 59,97 mensais da seguinte forma: Master Regional recebe R$ 29,98 fixos; Vendedor Direto recebe R$ 20,98; </w:t>
      </w:r>
      <w:proofErr w:type="spellStart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Upline</w:t>
      </w:r>
      <w:proofErr w:type="spellEnd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recebe R$ 4,19; </w:t>
      </w:r>
      <w:proofErr w:type="spellStart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Upline</w:t>
      </w:r>
      <w:proofErr w:type="spellEnd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 recebe R$ 2,99; e </w:t>
      </w:r>
      <w:proofErr w:type="spellStart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Upline</w:t>
      </w:r>
      <w:proofErr w:type="spellEnd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recebe R$ 1,79.</w:t>
      </w:r>
    </w:p>
    <w:p w14:paraId="410AC4A5" w14:textId="77777777" w:rsidR="00C7229E" w:rsidRPr="00C7229E" w:rsidRDefault="00C7229E" w:rsidP="00C722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CLÁUSULA QUARTA – DAS SALVAGUARDAS RÍGIDAS DE RETENÇÃO DE SOBRAS (LOSS LEAKAGE)</w:t>
      </w:r>
    </w:p>
    <w:p w14:paraId="5526B80B" w14:textId="77777777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4.1. Para impedir vazamentos de caixa e assegurar a sustentabilidade financeira do ecossistema, os contratos inteligentes do </w:t>
      </w:r>
      <w:proofErr w:type="spellStart"/>
      <w:r w:rsidRPr="00C722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back-end</w:t>
      </w:r>
      <w:proofErr w:type="spellEnd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aplicarão de forma cega duas condicionais impeditivas de fluxos de comissão:</w:t>
      </w:r>
    </w:p>
    <w:p w14:paraId="496F707C" w14:textId="77777777" w:rsidR="00C7229E" w:rsidRPr="00C7229E" w:rsidRDefault="00C7229E" w:rsidP="00C722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🛑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REGRA 1: ÁRVORE INCOMPLETA (RETENÇÃO RESIDUAL):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Caso o parceiro ou correspondente que realizou a venda direta (da pauta ou da assinatura SaaS) não possua a linha de indicações ascendente preenchida até o 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topo (faltando os </w:t>
      </w:r>
      <w:proofErr w:type="spellStart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uplines</w:t>
      </w:r>
      <w:proofErr w:type="spellEnd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nível 1, 2 ou 3), o sistema bloqueará o pagamento das frações das camadas inexistentes (7%, 5% ou 3%) e desviará esses valores automaticamente em favor da conta corporativa central da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HOLDING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operando como ganho de sobra de rede. A comissão de 50% do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MASTER </w:t>
      </w:r>
      <w:proofErr w:type="spellStart"/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REGIONAL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permanece</w:t>
      </w:r>
      <w:proofErr w:type="spellEnd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integralmente intocada e garantida.</w:t>
      </w:r>
    </w:p>
    <w:p w14:paraId="214197ED" w14:textId="21F0512D" w:rsidR="00C7229E" w:rsidRPr="00E91CB6" w:rsidRDefault="00C7229E" w:rsidP="00E91C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🛑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REGRA 2: AUSÊNCIA DE INDICADOR DIRETO (OMNIPRESENÇA):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Caso uma pauta de balcão seja liquidada ou uma licença de software seja adquirida diretamente pelo site ou canais orgânicos sem nenhum indicador ou corretor vinculado, a Franqueadora Nacional (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HOLDING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assumirá de forma automática a posição jurídica de indicador direto e de todas as camadas de rede. O robô pagará estritamente os 50% devidos ao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MASTER REGIONAL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 comarca, e os 50% restantes da verba de comissionamento (35% + 7% + 5% + 3%) ficarão retidos integralmente no caixa corporativo central da empresa.</w:t>
      </w:r>
    </w:p>
    <w:p w14:paraId="6C6E357D" w14:textId="77777777" w:rsidR="00C7229E" w:rsidRPr="00C7229E" w:rsidRDefault="00C7229E" w:rsidP="00C722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CLÁUSULA QUINTA – DO CONTROLE, AUDITORIA FACIAL E TRAVA HOLD FISCAL GATED</w:t>
      </w:r>
    </w:p>
    <w:p w14:paraId="5B06E6CF" w14:textId="77777777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5.1. 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REGRA ANTIFRAUDE CORPORATIVA: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Todas as frações, spreads e comissões gerados de forma programática pelo rateio universal (seja por liquidação de pautas de balcão ou recorrência de assinaturas SaaS) nascem bloqueados no banco de dados sob o status estrito de segurança de </w:t>
      </w:r>
      <w:proofErr w:type="spellStart"/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Hold</w:t>
      </w:r>
      <w:proofErr w:type="spellEnd"/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Fiscal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PENDING_FISCAL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32D16A58" w14:textId="77777777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5.2. 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 GATILHO DE LIBERAÇÃO DE SAQUE: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saldo contábil correspondente à comissão do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MASTER REGIONAL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e de suas linhas descendentes de rede só migrará para o status de disponível para saque </w:t>
      </w:r>
      <w:proofErr w:type="spellStart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Pix</w:t>
      </w:r>
      <w:proofErr w:type="spellEnd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AVAILABLE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após o processor robotizado OCR da plataforma ler, auditar e aprovar a regularidade da respectiva Nota Fiscal de Serviços eletrônica emitida pelo parceiro Pessoa Jurídica (PJ) no prazo máximo e improrrogável de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05 (cinco) dias úteis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contados do fechamento da pauta em sistema.</w:t>
      </w:r>
    </w:p>
    <w:p w14:paraId="26E96EF6" w14:textId="77777777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5.3. 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 PUNIÇÃO POR ATRASO DOCUMENTAL E DESVIO PROGRAMÁTICO: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Caso ocorra o estouro do prazo limite de 5 (cinco) dias úteis sem que ocorra o envio e anexo do arquivo XML da respectiva nota fiscal pelo respectivo parceiro, a inteligência da </w:t>
      </w:r>
      <w:r w:rsidRPr="00C722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Nina Engine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alterará as chaves relacionais de forma automática, suspendendo o canal de novas pautas daquele usuário e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desviará de forma programática as comissões de todas as camadas descendentes da árvore daquele parceiro diretamente para a conta corporativa master da LETTER HOLDING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atuando como penalidade de conformidade de rede até a total regularização fiscal.</w:t>
      </w:r>
    </w:p>
    <w:p w14:paraId="6452A7A9" w14:textId="1B6701D1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F6E57F" w14:textId="77777777" w:rsidR="00C7229E" w:rsidRPr="00C7229E" w:rsidRDefault="00C7229E" w:rsidP="00C722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CLÁUSULA SEXTA – DAS REGRAS COMPLEMENTARES DE COMPLIANCE E SIGILO</w:t>
      </w:r>
    </w:p>
    <w:p w14:paraId="07CF1095" w14:textId="77777777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6.1. O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MASTER REGIONAL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obriga-se a manter em absoluto e perpétuo sigilo comercial, industrial e tecnológico todas as especificações contábeis, lógicas de algoritmo, </w:t>
      </w:r>
      <w:proofErr w:type="spellStart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markdowns</w:t>
      </w:r>
      <w:proofErr w:type="spellEnd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leilão, código-fonte e regras de comissionamento que 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integram o barramento da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PLATAFORMA LETTER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respondendo civil e criminalmente por qualquer vazamento culposo ou doloso de dados.</w:t>
      </w:r>
    </w:p>
    <w:p w14:paraId="2DBBD6A2" w14:textId="77777777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6.2. O descumprimento de qualquer uma das salvaguardas rígidas de </w:t>
      </w:r>
      <w:proofErr w:type="spellStart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compliance</w:t>
      </w:r>
      <w:proofErr w:type="spellEnd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tributário ou a conivência do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MASTER REGIONAL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 fraudes documentais cometidas por sua rede de indicações operará a rescisão imediata e por justa causa do presente instrumento, com a consequente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perda do monopólio territorial da comarca e reversão compulsória de 100% de sua carteira ativa de clientes em favor do caixa central da Franqueadora Nacional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sem direito a indenizações ou retenções.</w:t>
      </w:r>
    </w:p>
    <w:p w14:paraId="1A25C8AA" w14:textId="59BD79EE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8FE3FF" w14:textId="77777777" w:rsidR="00C7229E" w:rsidRPr="00C7229E" w:rsidRDefault="00C7229E" w:rsidP="00C722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CLÁUSULA SÉTIMA – DA CONVENÇÃO DE ARBITRAGEM E VALIDADE ELETRÔNICA</w:t>
      </w:r>
    </w:p>
    <w:p w14:paraId="492A76FE" w14:textId="77777777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7.1. As Partes declaram, concordam e reconhecem expressamente que o presente instrumento contratual de franquia master é celebrado e assinado por formato e meio estritamente eletrônico, em total conformidade e amparo legal com a Medida Provisória nº 2.200-2/2001, com a Lei Federal nº 14.063/2020 e com as disposições gerais do Código Civil Brasileiro.</w:t>
      </w:r>
    </w:p>
    <w:p w14:paraId="7D23C171" w14:textId="77777777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7.2. As assinaturas das partes e testemunhas serão coletadas por meio da plataforma de assinatura avançada integrada via API ao barramento, cuja integridade, autoria, </w:t>
      </w:r>
      <w:proofErr w:type="spellStart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irrecusabilidade</w:t>
      </w:r>
      <w:proofErr w:type="spellEnd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autenticidade jurídica serão comprovadas e auditadas </w:t>
      </w:r>
      <w:proofErr w:type="spellStart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síncronamente</w:t>
      </w:r>
      <w:proofErr w:type="spellEnd"/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através do registro de logs de segurança salvos no banco de dados com criptografia por chaves SHA-256, carimbos de tempo estáveis e geolocalização.</w:t>
      </w:r>
    </w:p>
    <w:p w14:paraId="5FC0FDB7" w14:textId="77777777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7.3. 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 CLÁUSULA COMPROMISSÓRIA (ARBITRAGEM):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Qualquer disputa, controvérsia ou litígio decorrente da interpretação, execução ou rescisão deste contrato — incluindo discussões sobre o repasse de comissões, penalidades fiscais ou delimitação de comarcas territoriais —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será resolvida de forma definitiva e exclusiva por meio de Arbitragem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em total exclusão do poder Judiciário estatal, regulada pela Lei Federal nº 9.307/96 e administrada por uma Câmara de Arbitragem renomada estabelecida no Estado da Bahia ou no Estado de Minas Gerais (sede da operação).</w:t>
      </w:r>
    </w:p>
    <w:p w14:paraId="09D24474" w14:textId="54FB727B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98C9FD" w14:textId="77777777" w:rsidR="00C7229E" w:rsidRPr="00C7229E" w:rsidRDefault="00C7229E" w:rsidP="00C722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LOCAL DE ASSINATURA E DATAS DE VIGÊNCIA</w:t>
      </w:r>
    </w:p>
    <w:p w14:paraId="1A89E36D" w14:textId="77777777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Dado o aceite por manifesto eletrônico de clique ativo e registro de logs em banco de dados de produção da </w:t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PLATAFORMA LETTER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elegendo as praças regulamentares da operação de balcão.</w:t>
      </w:r>
    </w:p>
    <w:p w14:paraId="36E69162" w14:textId="77777777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 da Operação: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[Cidade_do_Master] - [UF]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22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de Emissão e Ativação do Hub: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[Data_de_Assinatura_D+0]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às </w:t>
      </w:r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</w:t>
      </w:r>
      <w:proofErr w:type="spellStart"/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Horario_Servidor_Unix</w:t>
      </w:r>
      <w:proofErr w:type="spellEnd"/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]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6642CB3" w14:textId="4D63BC6A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13AF8A" w14:textId="77777777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[Assinatura Digital via Logs SHA-256] — LETTER FRANQUEADORA E DESENVOLVIMENTO DE SOFTWARE LTDA</w:t>
      </w:r>
      <w:r w:rsidRPr="00C72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[Assinatura Digital via Logs SHA-256] — [</w:t>
      </w:r>
      <w:proofErr w:type="spellStart"/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Razao</w:t>
      </w:r>
      <w:proofErr w:type="gramStart"/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_Social</w:t>
      </w:r>
      <w:proofErr w:type="gramEnd"/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_do_Master_Regional</w:t>
      </w:r>
      <w:proofErr w:type="spellEnd"/>
      <w:r w:rsidRPr="00C7229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]</w:t>
      </w:r>
    </w:p>
    <w:p w14:paraId="6A41F2CF" w14:textId="063FFF49" w:rsidR="00C7229E" w:rsidRPr="00C7229E" w:rsidRDefault="00C7229E" w:rsidP="00C722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E266D1" w14:textId="77777777" w:rsidR="00C7229E" w:rsidRDefault="00C7229E"/>
    <w:sectPr w:rsidR="00C7229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A6728" w14:textId="77777777" w:rsidR="00054C56" w:rsidRDefault="00054C56" w:rsidP="00E91CB6">
      <w:pPr>
        <w:spacing w:after="0" w:line="240" w:lineRule="auto"/>
      </w:pPr>
      <w:r>
        <w:separator/>
      </w:r>
    </w:p>
  </w:endnote>
  <w:endnote w:type="continuationSeparator" w:id="0">
    <w:p w14:paraId="5F713CDC" w14:textId="77777777" w:rsidR="00054C56" w:rsidRDefault="00054C56" w:rsidP="00E91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1E3FE" w14:textId="77777777" w:rsidR="00054C56" w:rsidRDefault="00054C56" w:rsidP="00E91CB6">
      <w:pPr>
        <w:spacing w:after="0" w:line="240" w:lineRule="auto"/>
      </w:pPr>
      <w:r>
        <w:separator/>
      </w:r>
    </w:p>
  </w:footnote>
  <w:footnote w:type="continuationSeparator" w:id="0">
    <w:p w14:paraId="6D44BE48" w14:textId="77777777" w:rsidR="00054C56" w:rsidRDefault="00054C56" w:rsidP="00E91C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F4E99" w14:textId="2B07309F" w:rsidR="00E91CB6" w:rsidRDefault="00E91CB6" w:rsidP="00E91CB6">
    <w:pPr>
      <w:pStyle w:val="Cabealho"/>
      <w:jc w:val="right"/>
    </w:pPr>
    <w:r>
      <w:rPr>
        <w:noProof/>
      </w:rPr>
      <w:drawing>
        <wp:inline distT="0" distB="0" distL="0" distR="0" wp14:anchorId="4DE0FAFC" wp14:editId="4B096A5E">
          <wp:extent cx="1385384" cy="659947"/>
          <wp:effectExtent l="0" t="0" r="0" b="635"/>
          <wp:docPr id="52623615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236152" name="Imagem 5262361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8908" cy="6902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603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84A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73D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43E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E39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721576">
    <w:abstractNumId w:val="2"/>
  </w:num>
  <w:num w:numId="2" w16cid:durableId="11301774">
    <w:abstractNumId w:val="1"/>
  </w:num>
  <w:num w:numId="3" w16cid:durableId="1114784582">
    <w:abstractNumId w:val="4"/>
  </w:num>
  <w:num w:numId="4" w16cid:durableId="896236594">
    <w:abstractNumId w:val="0"/>
  </w:num>
  <w:num w:numId="5" w16cid:durableId="1652055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29E"/>
    <w:rsid w:val="00054C56"/>
    <w:rsid w:val="00C7229E"/>
    <w:rsid w:val="00E6318C"/>
    <w:rsid w:val="00E9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484B86"/>
  <w15:chartTrackingRefBased/>
  <w15:docId w15:val="{0F09FD75-68D8-A647-B31A-9ECE4349D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2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72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2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2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2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2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2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2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2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2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2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2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22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229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2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22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2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2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2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2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2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2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2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22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22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229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2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229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229E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C7229E"/>
  </w:style>
  <w:style w:type="character" w:styleId="CdigoHTML">
    <w:name w:val="HTML Code"/>
    <w:basedOn w:val="Fontepargpadro"/>
    <w:uiPriority w:val="99"/>
    <w:semiHidden/>
    <w:unhideWhenUsed/>
    <w:rsid w:val="00C7229E"/>
    <w:rPr>
      <w:rFonts w:ascii="Courier New" w:eastAsiaTheme="minorEastAsia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C7229E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E91C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1CB6"/>
  </w:style>
  <w:style w:type="paragraph" w:styleId="Rodap">
    <w:name w:val="footer"/>
    <w:basedOn w:val="Normal"/>
    <w:link w:val="RodapChar"/>
    <w:uiPriority w:val="99"/>
    <w:unhideWhenUsed/>
    <w:rsid w:val="00E91C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1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1901</Words>
  <Characters>10268</Characters>
  <Application>Microsoft Office Word</Application>
  <DocSecurity>0</DocSecurity>
  <Lines>85</Lines>
  <Paragraphs>24</Paragraphs>
  <ScaleCrop>false</ScaleCrop>
  <Company/>
  <LinksUpToDate>false</LinksUpToDate>
  <CharactersWithSpaces>12145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Stutz</dc:creator>
  <cp:keywords/>
  <dc:description/>
  <cp:lastModifiedBy>Microsoft Office User</cp:lastModifiedBy>
  <cp:revision>3</cp:revision>
  <dcterms:created xsi:type="dcterms:W3CDTF">2026-08-14T11:28:00Z</dcterms:created>
  <dcterms:modified xsi:type="dcterms:W3CDTF">2026-08-17T13:51:00Z</dcterms:modified>
</cp:coreProperties>
</file>