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4AB2C" w14:textId="6E59725F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79D43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CONTRATO DE CREDENCIAMENTO, ORIGINAÇÃO DE PAUTAS, PARCERIA COMERCIAL E DISTRIBUIÇÃO EM REDE MMN UNIVERSAL</w:t>
      </w:r>
    </w:p>
    <w:p w14:paraId="5158EAEE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Código do Módulo: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LETTER_PARTNER_AGREEMENT_2026_V51.0_UNIVERSAL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Lastro Legal: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Artigos 421, 421-A, 710 e seguintes (Agência e Distribuição) do Código Civil Brasileiro e as diretrizes de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Módulo LETTER MMN V51.0.</w:t>
      </w:r>
    </w:p>
    <w:p w14:paraId="5B399343" w14:textId="08E4F16E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35345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CONTRATANTES</w:t>
      </w:r>
    </w:p>
    <w:p w14:paraId="282E676B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CONTRATANTE GESTORA (DETENTORA DO ECOSSISTEMA):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FRANQUEADORA E DESENVOLVIMENTO DE SOFTWARE LTDA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(em conjunto com 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pessoa jurídica de direito privado, inscrita no CNPJ/ME sob o nº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[CNPJ_da_Holding]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</w:t>
      </w:r>
      <w:proofErr w:type="gramStart"/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_Completo</w:t>
      </w:r>
      <w:proofErr w:type="gramEnd"/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detentora exclusiva do ecossistema e plataformas transacionais, doravante denominada simplesmente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742362F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CONTRATADO PARCEIRO (CORRESPONDENTE / CORBAN / DISTRIBUIDOR):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4676D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da Empresa PJ do Parceiro]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pessoa jurídica de direito privado, inscrita no CNPJ/ME sob o nº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[CNPJ_do_Parceiro]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neste ato representada por seu(s) Administrador(es) legalmente investido(s) de poderes e qualificado(s) eletronicamente por biometria facial, doravante denominado simplesmente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257965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 Partes firmam o presente instrumento definitivo sob as condições operacionais e de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seguir estipuladas:</w:t>
      </w:r>
    </w:p>
    <w:p w14:paraId="52AF0D1A" w14:textId="520EB971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6907D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PRIMEIRA – DO OBJETO E DA AUTONOMIA DE ORIGINAÇÃO</w:t>
      </w:r>
    </w:p>
    <w:p w14:paraId="4B31D06B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1.1. O objeto do presente contrato é o credenciamento não exclusivo do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atuar na prospecção, originação e encaminhamento de pautas corporativas estruturadas (Atacado SDC, Flash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Lease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Equity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as duas pontas do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QuitCon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no direcionamento de aportes para o Flash Invest e na comercialização das licenças da Vertical SaaS (Assinatura do software de geração de leads de R$ 199,90/mês) dentro do ecossistema tecnológico da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157DE0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1.2. 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INEXISTÊNCIA DE VÍNCULO EMPREGATÍCIO: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partes declaram, para todos os fins de direito, que 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é um agente econômico independente, autônomo e simétrico, que assume integralmente o risco de sua atividade comercial. O presente contrato não institui qualquer vínculo de natureza trabalhista, previdenciária ou societária entre 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seus prepostos) e 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inexistindo subordinação jurídica, cumprimento de horários ou exclusividade de bandeira.</w:t>
      </w:r>
    </w:p>
    <w:p w14:paraId="408ACE85" w14:textId="19ED028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19D7C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CLÁUSULA SEGUNDA – DA MATRIZ UNIVERSAL DE RATEIO DE COMISSÃO (REDE MMN V51.0)</w:t>
      </w:r>
    </w:p>
    <w:p w14:paraId="2CA3575E" w14:textId="3486C179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2.1. 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declara total e incondicional ciência de que o processamento contábil e a liberação de comissões de sua carteira obedecerão à lógica de faturamento automatizada do Módulo MMN V51.0 Universal, controlada programaticamente pelo painel administrativo master da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15B8944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2.2. O sistema FinOps lerá o percentual cheio definido pelo administrador central sobre o volume nominal da pauta, o valor captado ou o valor da assinatura SaaS e executará o </w:t>
      </w:r>
      <w:r w:rsidRPr="0044676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split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contábil na fonte, separando a verba em duas metades simétricas de 50%. Os 50% destinados à verba de rede serão distribuídos de forma decrescente na árvore de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uplines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sob a seguinte hierarquia imutável:</w:t>
      </w:r>
    </w:p>
    <w:p w14:paraId="7FADC08E" w14:textId="77777777" w:rsidR="0044676D" w:rsidRPr="0044676D" w:rsidRDefault="0044676D" w:rsidP="0044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I. Vendedor Direto (35% da verba de comissão de rede):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Destinados ao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(ou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Corban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originador) que realizou o fechamento direto e colheu as assinaturas do cliente final.</w:t>
      </w:r>
    </w:p>
    <w:p w14:paraId="47C0F308" w14:textId="77777777" w:rsidR="0044676D" w:rsidRPr="0044676D" w:rsidRDefault="0044676D" w:rsidP="0044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II.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Upline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Nível 1 (7% da verba de comissão de rede):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Destinados ao indicador direto do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vendedor.</w:t>
      </w:r>
    </w:p>
    <w:p w14:paraId="503865E1" w14:textId="77777777" w:rsidR="0044676D" w:rsidRPr="0044676D" w:rsidRDefault="0044676D" w:rsidP="0044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III.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Upline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Nível 2 (5% da verba de comissão de rede):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Destinados à camada superior ascendente da árvore.</w:t>
      </w:r>
    </w:p>
    <w:p w14:paraId="1EA938C4" w14:textId="77777777" w:rsidR="0044676D" w:rsidRPr="0044676D" w:rsidRDefault="0044676D" w:rsidP="0044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IV.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Upline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Nível 3 (3% da verba de comissão de rede):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Destinados ao topo da respectiva linha de árvore de indicações.</w:t>
      </w:r>
    </w:p>
    <w:p w14:paraId="5CF36A61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2.3. Os 50% restantes da verba total da operação pertencem de forma fixa, perpétua e irrevogável ao Master Franqueado Regional da respectiva comarca demarcada onde o negócio foi liquidado, independentemente de quem tenha executado a captação na ponta.</w:t>
      </w:r>
    </w:p>
    <w:p w14:paraId="0144E767" w14:textId="30B8FCED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E1DEE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TERCEIRA – DA PARAMETRIZAÇÃO DAS ESTEIRAS DE PRODUTOS</w:t>
      </w:r>
    </w:p>
    <w:p w14:paraId="5A7F0030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 Para fins de transparência técnica, as partes estabelecem o percentual de comissão cheio (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VALOR_MMN_DEFINIDO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gerado por cada produto do portfólio da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 qual servirá de base exclusiva para a divisão simétrica 50/50 tratada na cláusula anterior:</w:t>
      </w:r>
    </w:p>
    <w:p w14:paraId="553716BD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 SDC (Consórcio Estruturado para Giro):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6% (seis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calculada sobre o volume líquido alavancado.</w:t>
      </w:r>
    </w:p>
    <w:p w14:paraId="3D7040AE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B)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Lease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Equity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(Monetização Patrimonial):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1% (um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calculada sobre o valor total contabilizado e travado no LTV do bem (de acordo com as regras de tipologia e limites do ativo apresentado).</w:t>
      </w:r>
    </w:p>
    <w:p w14:paraId="166E1BE5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C)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QuitCon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(Ponta do Proprietário Cedente):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 (dois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calculada sobre o valor líquido que o cliente dono das cotas quitar (base financeira de retenção dos 5% da plataforma).</w:t>
      </w:r>
    </w:p>
    <w:p w14:paraId="1930DB03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D)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QuitCon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(Ponta do Tomador / Capital de Giro):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3% (três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a estruturação do Capital de Giro para onde as cartas do cliente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QuitCon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serão direcionadas.</w:t>
      </w:r>
    </w:p>
    <w:p w14:paraId="024ECC20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E) Flash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(Pacto de Retrovenda Imobiliária):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3% (três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nominal global da pauta estruturada.</w:t>
      </w:r>
    </w:p>
    <w:p w14:paraId="23F9866C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F) Flash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(Pool de Investidores de Varejo):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 (dois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todo o montante total captado junto ao pool de varejo no encerramento da pauta na SPE.</w:t>
      </w:r>
    </w:p>
    <w:p w14:paraId="36A6A9D0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G) Marketplace de Cotas Contempladas: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4% (quatro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do crédito comercializado.</w:t>
      </w:r>
    </w:p>
    <w:p w14:paraId="32CD7378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H) Venda Direta de Imóveis (Leilão):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Comissão cheia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 (dois por cento)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bruto de arrematação final alcançado no leilão.</w:t>
      </w:r>
    </w:p>
    <w:p w14:paraId="0ED39372" w14:textId="77777777" w:rsidR="0044676D" w:rsidRPr="0044676D" w:rsidRDefault="0044676D" w:rsidP="0044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I) Vertical SaaS (Assinatura de Leads):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Verba cheia fixada em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R$ 59,97 (cinquenta e nove reais e noventa e sete centavos)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cada mensalidade de R$ 199,90 quitada pelo afiliado.</w:t>
      </w:r>
    </w:p>
    <w:p w14:paraId="65CC2F83" w14:textId="43CBCBE4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7B025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QUARTA – DAS REGRAS RÍGIDAS DE RETENÇÃO DE SOBRAS (LOSS LEAKAGE)</w:t>
      </w:r>
    </w:p>
    <w:p w14:paraId="0A3D6971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4.1. Para garantir o equilíbrio atuarial do ecossistema e evitar vazamentos de caixa (</w:t>
      </w:r>
      <w:proofErr w:type="spellStart"/>
      <w:r w:rsidRPr="0044676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loss</w:t>
      </w:r>
      <w:proofErr w:type="spellEnd"/>
      <w:r w:rsidRPr="0044676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44676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leakage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os contratos inteligentes do </w:t>
      </w:r>
      <w:proofErr w:type="spellStart"/>
      <w:r w:rsidRPr="0044676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back-end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aplicarão de forma cega duas condicionais automáticas de bloqueio e retenção de fluxo:</w:t>
      </w:r>
    </w:p>
    <w:p w14:paraId="7102BA09" w14:textId="77777777" w:rsidR="0044676D" w:rsidRPr="0044676D" w:rsidRDefault="0044676D" w:rsidP="00446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 Regra da Árvore Incompleta (Retenção Residual):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realize a venda </w:t>
      </w:r>
      <w:proofErr w:type="gram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direta</w:t>
      </w:r>
      <w:proofErr w:type="gram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mas não possua a sua linha de indicações ascendente preenchida até o topo (inexistindo os níveis 1, 2 ou 3 de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Uplines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 ramificação), o sistema bloqueará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programmaticamente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pagamento das frações das camadas inexistentes (7%, 5% ou 3%) e transferirá esses valores automaticamente em favor da conta corporativa central da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atuando como receita de sobra de rede.</w:t>
      </w:r>
    </w:p>
    <w:p w14:paraId="10A7EEFF" w14:textId="77777777" w:rsidR="0044676D" w:rsidRPr="0044676D" w:rsidRDefault="0044676D" w:rsidP="00446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B) Regra da Ausência de Indicador (Omnipresença):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uma pauta for liquidada ou um software SaaS for adquirido diretamente pelos canais orgânicos ou institucionais da plataforma sem nenhum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corretor vinculado, 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assumirá automaticamente a posição jurídica de indicador direto e de todas as camadas de rede. O robô efetuará o split de 50% devido ao Master Franqueado Regional, e os 50% restantes da verba de comissão (35% + 7% + 5% + 3%) ficarão inteiramente retidos no caixa corporativo central da holding.</w:t>
      </w:r>
    </w:p>
    <w:p w14:paraId="15886C8E" w14:textId="7C59C1B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934BE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QUINTA – CONTROLE DE SAQUE, AUDITORIA OPERACIONAL E TRAVA HOLD FISCAL GATED</w:t>
      </w:r>
    </w:p>
    <w:p w14:paraId="3529167F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5.1. 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STATUS DE SEGURANÇA RESTRITO: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Todas as frações e splits de comissões gerados de forma programática pelo rateio universal nascem bloqueados no banco de dados sob o status estrito de segurança de 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Hold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gram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Fiscal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PENDING_FISCAL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450C5D4" w14:textId="1A698C28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5.2. 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GATILHO E PRAZO DE LIBERAÇÃO DE SAQUE: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saldo contábil correspondente à comissão do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só migrará para o status de disponível para 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saque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AVAILABLE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após o processador robotizado OCR da plataforma ler, auditar e aprovar a regularidade da respectiva Nota Fiscal de Serviços eletrônica emitida pelo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="008015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(Pessoa Jurídica) no prazo máximo e improrrogável de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05 (cinco) dias úteis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contados do fechamento da pauta ou recebimento do SaaS em sistema.</w:t>
      </w:r>
    </w:p>
    <w:p w14:paraId="29C218A1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5.3. 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PENALIDADE POR ATRASO E INÉRCIA DOCUMENTAL: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ocorra o estouro do prazo limite de 5 (cinco) dias úteis sem que ocorra o envio e anexo do arquivo XML da respectiva nota fiscal pelo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inteligência da </w:t>
      </w:r>
      <w:r w:rsidRPr="0044676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alterará as chaves relacionais de forma automática, suspendendo o canal de novas pautas daquele usuário 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desviará de forma programática as comissões de todas as camadas descendentes da árvore daquele parceiro diretamente para a conta corporativa master da LETTER HOLDING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atuando como penalidade de conformidade de rede até a total regularização fiscal.</w:t>
      </w:r>
    </w:p>
    <w:p w14:paraId="16379E53" w14:textId="5E32ABFA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194B7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SEXTA – DO SIGILO E DA CONFIDENCIALIDADE CORPORATIVA (NDA)</w:t>
      </w:r>
    </w:p>
    <w:p w14:paraId="13732406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6.1. O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PARCEIRO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obriga-se a manter em absoluto e perpétuo sigilo comercial, industrial e tecnológico todas as especificações contábeis, tabelas Price, taxas lógicas de faturamento de 2,5% ao mês pertencentes à SPE do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Lease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Equity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taxas de desconto do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QuitCon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markdowns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leilão, código-fonte e regras de comissionamento que integram o barramento da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respondendo civil e criminalmente por qualquer vazamento culposo ou doloso de dados.</w:t>
      </w:r>
    </w:p>
    <w:p w14:paraId="4339B11A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6.2. O descumprimento de qualquer uma das salvaguardas rígidas de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tributário ou a prática de atos de concorrência desleal operará a rescisão imediata e por justa causa do presente instrumento, com a consequente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perda de sua carteira ativa de clientes e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uplines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em favor do caixa central da 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sem direito a indenizações ou retenções.</w:t>
      </w:r>
    </w:p>
    <w:p w14:paraId="174C11C2" w14:textId="58FC80AB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1F4C0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SÉTIMA – DA INFRAESTRUTURA DE ASSINATURA ELETRÔNICA AVANÇADA E COMPLIANCE DA AWS</w:t>
      </w:r>
    </w:p>
    <w:p w14:paraId="4F274935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7.1. As Partes declaram, concordam e reconhecem expressamente que o presente instrumento contratual de parceria é celebrado e assinado por formato e meio estritamente eletrônico, em total conformidade e amparo legal com a Medida Provisória nº 2.200-2/2001, com a Lei Federal nº 14.063/2020 e com as disposições gerais do Código Civil Brasileiro.</w:t>
      </w:r>
    </w:p>
    <w:p w14:paraId="31305FD4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7.2. Toda a infraestrutura contábil, registro lógicos de blocos, comissões da Grade MMN Universal de 5 camadas e movimentação de saldos roda sob ambiente elástico criptografado de alta performance, com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rotação de chaves simétricas RSA via AWS </w:t>
      </w:r>
      <w:proofErr w:type="spellStart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Secrets</w:t>
      </w:r>
      <w:proofErr w:type="spellEnd"/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Manager a cada 30 dias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blindando a integridade das faturas e das identidades biométricas do Super App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D91F3C" w14:textId="69E0FAB5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004C2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CLÁUSULA OITAVA – DA CONVENÇÃO DE CLÁUSULA COMPROMISSÓRIA (ARBITRAGEM)</w:t>
      </w:r>
    </w:p>
    <w:p w14:paraId="631356A6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8.1. Qualquer disputa, controvérsia ou litígio decorrente da interpretação, execução ou rescisão deste contrato — incluindo discussões sobre o repasse de comissões, penalidades fiscais por atraso de nota ou exclusão de </w:t>
      </w:r>
      <w:proofErr w:type="spellStart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uplines</w:t>
      </w:r>
      <w:proofErr w:type="spellEnd"/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será resolvida de forma definitiva e exclusiva por meio de Arbitragem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 total exclusão do poder Judiciário estatal, regulada pela Lei Federal nº 9.307/96 e administrada por uma Câmara de Arbitragem renomada estabelecida no Estado da Bahia ou no Estado de Minas Gerais (sede da operação).</w:t>
      </w:r>
    </w:p>
    <w:p w14:paraId="77F005C7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8.2. A sentença arbitral possuirá força de título executivo judicial irrecorrível, vinculando e obrigando o imediato cumprimento pelas partes.</w:t>
      </w:r>
    </w:p>
    <w:p w14:paraId="4E1A9D93" w14:textId="76FEE2BE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BFB06" w14:textId="77777777" w:rsidR="0044676D" w:rsidRPr="0044676D" w:rsidRDefault="0044676D" w:rsidP="0044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LOCAL DE ASSINATURA E DATAS DE VIGÊNCIA</w:t>
      </w:r>
    </w:p>
    <w:p w14:paraId="427A013A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Dado o aceite por manifesto eletrônico de clique ativo e registro de logs em banco de dados de produção da </w:t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elegendo as praças regulamentares da operação de balcão.</w:t>
      </w:r>
    </w:p>
    <w:p w14:paraId="5D8DE510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da Operação: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[Cidade_do_Parceiro] - [UF]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46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de Emissão e Ativação: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[Data_de_Assinatura_D+0]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às </w:t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</w:t>
      </w:r>
      <w:proofErr w:type="spellStart"/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Horario_Servidor_Unix</w:t>
      </w:r>
      <w:proofErr w:type="spellEnd"/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996C3C" w14:textId="2B4D8FEE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9EFF8" w14:textId="77777777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[Assinatura Digital via Logs SHA-256] — LETTER FRANQUEADORA E DESENVOLVIMENTO DE SOFTWARE LTDA</w:t>
      </w:r>
      <w:r w:rsidRPr="0044676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4676D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[Assinatura Digital via Logs SHA-256] — [Razão Social do Parceiro]</w:t>
      </w:r>
    </w:p>
    <w:p w14:paraId="1AD7E373" w14:textId="59976F82" w:rsidR="0044676D" w:rsidRPr="0044676D" w:rsidRDefault="0044676D" w:rsidP="00446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A595A" w14:textId="77777777" w:rsidR="0044676D" w:rsidRDefault="0044676D"/>
    <w:sectPr w:rsidR="0044676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2AE0C" w14:textId="77777777" w:rsidR="00E31FA9" w:rsidRDefault="00E31FA9" w:rsidP="008015CC">
      <w:pPr>
        <w:spacing w:after="0" w:line="240" w:lineRule="auto"/>
      </w:pPr>
      <w:r>
        <w:separator/>
      </w:r>
    </w:p>
  </w:endnote>
  <w:endnote w:type="continuationSeparator" w:id="0">
    <w:p w14:paraId="4C596021" w14:textId="77777777" w:rsidR="00E31FA9" w:rsidRDefault="00E31FA9" w:rsidP="00801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A0D70" w14:textId="77777777" w:rsidR="00E31FA9" w:rsidRDefault="00E31FA9" w:rsidP="008015CC">
      <w:pPr>
        <w:spacing w:after="0" w:line="240" w:lineRule="auto"/>
      </w:pPr>
      <w:r>
        <w:separator/>
      </w:r>
    </w:p>
  </w:footnote>
  <w:footnote w:type="continuationSeparator" w:id="0">
    <w:p w14:paraId="73752F7C" w14:textId="77777777" w:rsidR="00E31FA9" w:rsidRDefault="00E31FA9" w:rsidP="00801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01335" w14:textId="693FF3CA" w:rsidR="008015CC" w:rsidRDefault="008015CC" w:rsidP="008015CC">
    <w:pPr>
      <w:pStyle w:val="Cabealho"/>
      <w:jc w:val="right"/>
    </w:pPr>
    <w:r>
      <w:rPr>
        <w:noProof/>
      </w:rPr>
      <w:drawing>
        <wp:inline distT="0" distB="0" distL="0" distR="0" wp14:anchorId="55788B9C" wp14:editId="0C90C9D9">
          <wp:extent cx="1385384" cy="659947"/>
          <wp:effectExtent l="0" t="0" r="0" b="635"/>
          <wp:docPr id="52623615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36152" name="Imagem 5262361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8908" cy="69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1F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73C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90D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163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466652">
    <w:abstractNumId w:val="2"/>
  </w:num>
  <w:num w:numId="2" w16cid:durableId="1556425314">
    <w:abstractNumId w:val="3"/>
  </w:num>
  <w:num w:numId="3" w16cid:durableId="160779891">
    <w:abstractNumId w:val="0"/>
  </w:num>
  <w:num w:numId="4" w16cid:durableId="145136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6D"/>
    <w:rsid w:val="0002131B"/>
    <w:rsid w:val="0044676D"/>
    <w:rsid w:val="008015CC"/>
    <w:rsid w:val="0081276B"/>
    <w:rsid w:val="00E31FA9"/>
    <w:rsid w:val="00E6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DDAA8"/>
  <w15:chartTrackingRefBased/>
  <w15:docId w15:val="{22925AAE-B776-4444-B830-ED53490C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4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6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6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6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6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6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67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67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6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67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6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6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67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67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67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6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67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676D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44676D"/>
  </w:style>
  <w:style w:type="character" w:styleId="CdigoHTML">
    <w:name w:val="HTML Code"/>
    <w:basedOn w:val="Fontepargpadro"/>
    <w:uiPriority w:val="99"/>
    <w:semiHidden/>
    <w:unhideWhenUsed/>
    <w:rsid w:val="0044676D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44676D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801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15CC"/>
  </w:style>
  <w:style w:type="paragraph" w:styleId="Rodap">
    <w:name w:val="footer"/>
    <w:basedOn w:val="Normal"/>
    <w:link w:val="RodapChar"/>
    <w:uiPriority w:val="99"/>
    <w:unhideWhenUsed/>
    <w:rsid w:val="00801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1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1740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Microsoft Office User</cp:lastModifiedBy>
  <cp:revision>3</cp:revision>
  <dcterms:created xsi:type="dcterms:W3CDTF">2026-08-14T11:32:00Z</dcterms:created>
  <dcterms:modified xsi:type="dcterms:W3CDTF">2026-08-17T13:55:00Z</dcterms:modified>
</cp:coreProperties>
</file>