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4D96E" w14:textId="679B39EE" w:rsidR="009E23F4" w:rsidRPr="009E23F4" w:rsidRDefault="009E23F4" w:rsidP="009E2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62748" w14:textId="678154B3" w:rsidR="009E23F4" w:rsidRPr="009E23F4" w:rsidRDefault="009E23F4" w:rsidP="009E2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TERM SHEET INSTITUTIONAL — ALOCAÇÃO DE CAPITAL EM ATIVOS REAIS (RWA)</w:t>
      </w:r>
    </w:p>
    <w:p w14:paraId="6B7B0FF8" w14:textId="2D121B0C" w:rsidR="009E23F4" w:rsidRPr="003209BD" w:rsidRDefault="009E23F4" w:rsidP="009E23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PRODUTOS: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ATACADO SDC (CONSORCIO ESTRUTURADO) &amp; FLASH CREDIT (RETROVENDA DIRETA)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PLATAFORMA OPERACIONAL: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LETTER SPE HOLDING CENTRAL S/A / GESTÃO TECNOLÓGICA LETTER FRANQUEADORA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VERSÃO DA MATRIZ DO ECOSSISTEMA: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2026.4 — PRIVADO E CONFIDENCIAL</w:t>
      </w:r>
    </w:p>
    <w:p w14:paraId="6B208012" w14:textId="77777777" w:rsidR="009E23F4" w:rsidRPr="009E23F4" w:rsidRDefault="009E23F4" w:rsidP="009E2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1. AS PARTES E O PROPÓSITO ESTRATÉGICO</w:t>
      </w:r>
    </w:p>
    <w:p w14:paraId="58DE30CB" w14:textId="50AEC65C" w:rsidR="009E23F4" w:rsidRPr="009E23F4" w:rsidRDefault="009E23F4" w:rsidP="009E2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INTERMEDIÁRIA, CUSTODIANTE E GESTORA DE CARTEIRA: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SPE HOLDING CENTRAL S/A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atuando como Sociedade de Propósito Específico fiduciária, em conjunto com a 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FRANQUEADORA E DESENVOLVIMENTO DE SOFTWARE LTDA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(provedora do barramento tecnológico, APIs </w:t>
      </w:r>
      <w:proofErr w:type="spell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motores de OCR)</w:t>
      </w:r>
      <w:r w:rsidR="00A41E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INSCRITA NO CNPJ 57.255.607/0001-30.</w:t>
      </w:r>
    </w:p>
    <w:p w14:paraId="5F02B822" w14:textId="000F5654" w:rsidR="009E23F4" w:rsidRPr="009E23F4" w:rsidRDefault="009E23F4" w:rsidP="009E2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INVESTIDOR INSTITUCIONAL (PARCEIRO DE ATACADO):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23F4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[Razão Social do Fundo de Investimento / </w:t>
      </w:r>
      <w:r w:rsidR="00286822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CNPJ</w:t>
      </w:r>
      <w:r w:rsidRPr="009E23F4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48EDED" w14:textId="4BAF12EB" w:rsidR="009E23F4" w:rsidRPr="003209BD" w:rsidRDefault="009E23F4" w:rsidP="00320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PROPÓSITO: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Regulamentar os parâmetros de precificação, LTV de segurança, esteiras robotizadas de conformidade, escopo de gestão de carteira e travas de liquidez de balcão para o aporte recorrente de capital institucional na esteira de originação de crédito imobiliário da PLATAFORMA LETTER.</w:t>
      </w:r>
    </w:p>
    <w:p w14:paraId="71DC9E6C" w14:textId="77777777" w:rsidR="009E23F4" w:rsidRPr="009E23F4" w:rsidRDefault="009E23F4" w:rsidP="009E2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2. MATRIZ OPERACIONAL DO PRODUTO 01 — ATACADO SDC (CONSRÓCIO ESTRUTURADO)</w:t>
      </w:r>
    </w:p>
    <w:p w14:paraId="37B682B5" w14:textId="77777777" w:rsidR="009E23F4" w:rsidRPr="009E23F4" w:rsidRDefault="009E23F4" w:rsidP="009E23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Mecânica de Giro: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Aquisição do ágio de cotas de consórcios imobilizados, contempladas reais de terceiros no </w:t>
      </w:r>
      <w:proofErr w:type="spell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marketplace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balcão, para alavancagem corporativa.</w:t>
      </w:r>
    </w:p>
    <w:p w14:paraId="6FC11BC3" w14:textId="77777777" w:rsidR="009E23F4" w:rsidRPr="009E23F4" w:rsidRDefault="009E23F4" w:rsidP="009E23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Precificação e Retorno do Fundo: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Taxa de estruturação fixada em 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4,5% lineares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incidentes sobre o Valor Total do Desembolso/Aporte do Fundo.</w:t>
      </w:r>
    </w:p>
    <w:p w14:paraId="5E530904" w14:textId="77777777" w:rsidR="009E23F4" w:rsidRPr="009E23F4" w:rsidRDefault="009E23F4" w:rsidP="009E23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Inexistência de Spread de Rua: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percentual integral de 4,5% pertence unicamente e sem divisões ao FUNDO, constituindo a remuneração nominal bruta de sua alocação de atacado, sem spreads intermediários retidos pela plataforma sobre este fluxo contábil de encargos.</w:t>
      </w:r>
    </w:p>
    <w:p w14:paraId="328DBDFD" w14:textId="77777777" w:rsidR="009E23F4" w:rsidRPr="009E23F4" w:rsidRDefault="009E23F4" w:rsidP="009E23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Maturidade Contábil (</w:t>
      </w:r>
      <w:proofErr w:type="spellStart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Bullet</w:t>
      </w:r>
      <w:proofErr w:type="spellEnd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</w:t>
      </w:r>
      <w:proofErr w:type="spellEnd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FUNDO não receberá repasses ou dividendos mensais intermediários. 100% do capital principal investido acrescido das taxas cheias de 4,5% acumuladas serão pagos de forma consolidada em uma 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ÚNICA PARCELA JUNTO COM A FINALIZAÇÃO DA OPERAÇÃO (Faturamento do Bem pela Administradora na Conta Escrow)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060E73" w14:textId="0EFEBD42" w:rsidR="009E23F4" w:rsidRPr="003209BD" w:rsidRDefault="009E23F4" w:rsidP="00320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Gatilho Antifraude (Procuração em Causa Própria):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Em conformidade com os Artigos 684 e 685 do Código Civil, o tomador outorga procuração 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irrevogável. Qualquer ato ou tentativa de revogação desse mandato pelo cliente perante cartórios gera 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vencimento antecipado automático de 100% da dívida e uma multa punitiva imediata de </w:t>
      </w:r>
      <w:r w:rsidR="003209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0% calculada sobre o </w:t>
      </w:r>
      <w:proofErr w:type="spellStart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payout</w:t>
      </w:r>
      <w:proofErr w:type="spellEnd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líquido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a imediata cessão reversa das cotas para o cofre do FUNDO.</w:t>
      </w:r>
    </w:p>
    <w:p w14:paraId="6F653C7A" w14:textId="3CC08A11" w:rsidR="009E23F4" w:rsidRPr="009E23F4" w:rsidRDefault="009E23F4" w:rsidP="009E2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3. MATRIZ OPERACIONAL DO PRODUTO 02 — FLASH C</w:t>
      </w:r>
      <w:r w:rsidR="003209BD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APITAL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(RETROVENDA IMOBILIÁRIA)</w:t>
      </w:r>
    </w:p>
    <w:p w14:paraId="19CDF7FA" w14:textId="77777777" w:rsidR="009E23F4" w:rsidRPr="009E23F4" w:rsidRDefault="009E23F4" w:rsidP="009E23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Mecânica de Giro: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Compra e venda de propriedade resolúvel imobiliária de Pessoa Física ou Jurídica com Pacto de Retrovenda e Fruição Patrimonial Precária de Natureza Empresarial (Artigo 505 do Código Civil), com o integral afastamento da Lei do Inquilinato e do Código de Defesa do Consumidor (CDC).</w:t>
      </w:r>
    </w:p>
    <w:p w14:paraId="0DAEFBA1" w14:textId="77777777" w:rsidR="009E23F4" w:rsidRPr="009E23F4" w:rsidRDefault="009E23F4" w:rsidP="009E23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LTV de Entrada Mestre: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Travado rigidamente em 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até 40% (quarenta por cento) do valor real de avaliação técnica (Métrica AVM)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do imóvel </w:t>
      </w:r>
      <w:proofErr w:type="spell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colateralizado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CF7FFBF" w14:textId="4F306155" w:rsidR="009E23F4" w:rsidRPr="009E23F4" w:rsidRDefault="009E23F4" w:rsidP="009E23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Taxa de Fruição Patrimonial do Fundo (Remuneração):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Fixada no patamar estrutural de </w:t>
      </w:r>
      <w:r w:rsidR="003209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2,5% ao mês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aplicada de forma linear sobre o Valor Nominal Global da Operação, sofrendo as parcelas os reajustes e atualizações periódicas anuais indexadas </w:t>
      </w:r>
      <w:r w:rsidR="003209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pelo </w:t>
      </w:r>
      <w:r w:rsidR="003209BD" w:rsidRPr="003209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IPCA/IBGE</w:t>
      </w:r>
      <w:r w:rsidR="003209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a estrita preservação do valor real do capital aportado pelo parceiro institucional.</w:t>
      </w:r>
    </w:p>
    <w:p w14:paraId="211AF4F7" w14:textId="77777777" w:rsidR="009E23F4" w:rsidRPr="009E23F4" w:rsidRDefault="009E23F4" w:rsidP="009E23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Módulo Interveniente </w:t>
      </w:r>
      <w:proofErr w:type="spellStart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Quitante</w:t>
      </w:r>
      <w:proofErr w:type="spellEnd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(IQ / Saneamento Dinâmico):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Caso o imóvel possua alienação fiduciária ativa perante outros bancos, hipotecas, prenotações de dívidas ou penhoras judiciais, o software </w:t>
      </w:r>
      <w:proofErr w:type="spell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realiza o cálculo cruzado, retém o saldo na fonte e 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paga o boleto do credor antigo diretamente pela Conta Escrow da plataforma logo após o registro da retrovenda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realizando a limpeza da matrícula com risco zero de fraude.</w:t>
      </w:r>
    </w:p>
    <w:p w14:paraId="22347283" w14:textId="77777777" w:rsidR="009E23F4" w:rsidRPr="009E23F4" w:rsidRDefault="009E23F4" w:rsidP="009E23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 de Aporte Estruturado em Duas Fases (Construções Não Averbadas):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imóveis onde a área construída concluída não consta averbada na matrícula (constando apenas o lote nu), a LETTER executa o fracionamento de segurança na Escrow:</w:t>
      </w:r>
    </w:p>
    <w:p w14:paraId="5119C9B4" w14:textId="77777777" w:rsidR="009E23F4" w:rsidRPr="009E23F4" w:rsidRDefault="009E23F4" w:rsidP="009E23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Fase 1 (Liberação Imediata):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FUNDO libera apenas 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40% do valor isolado do LOTE bruto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tempo em que a matrícula é registrada diretamente em nome do FUNDO. O cliente recebe o fôlego inicial de caixa e os poderes de mandato em contrato para regularizar a obra.</w:t>
      </w:r>
    </w:p>
    <w:p w14:paraId="12D8DAB3" w14:textId="36E97674" w:rsidR="009E23F4" w:rsidRPr="003209BD" w:rsidRDefault="009E23F4" w:rsidP="003209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Fase 2 (Gatilho da Matrícula Nova):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cliente dispõe de um 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prazo decadencial de 90 dias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protocolar e obter a averbação da construção perante o RGI. Assim que o upload da nova matrícula averbada é validado por OCR, o sistema destrava o saldo remanescente na conta dele. Se houver inércia ou estouro do prazo, o saldo da Fase 2 é cancelado e estornado ao FUNDO.</w:t>
      </w:r>
    </w:p>
    <w:p w14:paraId="73A0D7C5" w14:textId="77777777" w:rsidR="003209BD" w:rsidRDefault="003209BD" w:rsidP="009E2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</w:p>
    <w:p w14:paraId="37AC965A" w14:textId="77777777" w:rsidR="003209BD" w:rsidRDefault="003209BD" w:rsidP="009E2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</w:p>
    <w:p w14:paraId="244ABBBA" w14:textId="7C828EC8" w:rsidR="009E23F4" w:rsidRPr="009E23F4" w:rsidRDefault="009E23F4" w:rsidP="009E2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4. ESCOPO DE GESTÃO, CUSTÓRIA E FINOPS DESEMPENHADO PELA PLATAFORMA LETTER</w:t>
      </w:r>
    </w:p>
    <w:p w14:paraId="621098F9" w14:textId="77777777" w:rsidR="009E23F4" w:rsidRPr="009E23F4" w:rsidRDefault="009E23F4" w:rsidP="009E23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PLATAFORMA LETTER atuará como o braço tecnológico, operacional e de cobrança (</w:t>
      </w:r>
      <w:proofErr w:type="spellStart"/>
      <w:r w:rsidRPr="009E23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Servicer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exclusivo das operações estruturadas do FUNDO, englobando as seguintes obrigações ativas de gestão:</w:t>
      </w:r>
    </w:p>
    <w:p w14:paraId="31C97075" w14:textId="77777777" w:rsidR="009E23F4" w:rsidRPr="009E23F4" w:rsidRDefault="009E23F4" w:rsidP="009E23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 — Custódia e Gestão de Contas Escrow (</w:t>
      </w:r>
      <w:proofErr w:type="spellStart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FinOps</w:t>
      </w:r>
      <w:proofErr w:type="spellEnd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Abertura, controle e split automatizado de subcontas virtuais nominais via APIs interligadas a bancos parceiros (</w:t>
      </w:r>
      <w:proofErr w:type="spell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gerenciando de forma cega as travas de </w:t>
      </w:r>
      <w:proofErr w:type="spellStart"/>
      <w:r w:rsidRPr="009E23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Lock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(congelamento) de </w:t>
      </w:r>
      <w:proofErr w:type="spell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payouts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destravamentos automáticos por gatilhos documentais de cartório.</w:t>
      </w:r>
    </w:p>
    <w:p w14:paraId="17EC16D7" w14:textId="77777777" w:rsidR="009E23F4" w:rsidRPr="009E23F4" w:rsidRDefault="009E23F4" w:rsidP="009E23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II — Auditoria Tecnológica e Validação Cruzada (OCR):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Utilização da inteligência robotizada </w:t>
      </w:r>
      <w:r w:rsidRPr="009E23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Nina Engine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para o escaneamento, leitura e validação de documentos regulatórios (matrículas, CNDs do INSS, </w:t>
      </w:r>
      <w:proofErr w:type="gram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Habite-se</w:t>
      </w:r>
      <w:proofErr w:type="gram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termos de cessão e reconhecimento de firmas), cruzando CPFs e autenticidades eletrônicas para afastar fraudes documentais de balcão.</w:t>
      </w:r>
    </w:p>
    <w:p w14:paraId="573503E1" w14:textId="77777777" w:rsidR="009E23F4" w:rsidRPr="009E23F4" w:rsidRDefault="009E23F4" w:rsidP="009E23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III — Cobrança Ativa e Liquidação de Fluxo de Caixa: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Emissão e gerenciamento de faturas mensais de fruição patrimonial, conciliação bancária diária automatizada de </w:t>
      </w:r>
      <w:proofErr w:type="spell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/Boletos e execução de réguas de cobrança amigável via canais integrados.</w:t>
      </w:r>
    </w:p>
    <w:p w14:paraId="4089237C" w14:textId="27EFAD7E" w:rsidR="009E23F4" w:rsidRPr="003209BD" w:rsidRDefault="009E23F4" w:rsidP="003209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IV — Gestão de </w:t>
      </w:r>
      <w:proofErr w:type="spellStart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Loss</w:t>
      </w:r>
      <w:proofErr w:type="spellEnd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Mitigation</w:t>
      </w:r>
      <w:proofErr w:type="spellEnd"/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 Campo de Leilão: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Monitoramento contínuo de prazos de atraso, acionamento do gatilho de travas preventivas de saques no 6º dia útil de inadimplência, condução do rito extrajudicial de caducidade contratual após o 60º dia e disponibilização automatizada do colateral no Campo de Leilão regressivo eletrônico da plataforma.</w:t>
      </w:r>
    </w:p>
    <w:p w14:paraId="68232AAE" w14:textId="77777777" w:rsidR="009E23F4" w:rsidRPr="009E23F4" w:rsidRDefault="009E23F4" w:rsidP="009E2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5. A REGRA DE OURO DA ARBITRAGEM E ROTEAMENTO DE CALOTE (LOSS MITIGATION)</w:t>
      </w:r>
    </w:p>
    <w:p w14:paraId="28293EDD" w14:textId="77777777" w:rsidR="009E23F4" w:rsidRPr="009E23F4" w:rsidRDefault="009E23F4" w:rsidP="009E23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Inadimplemento (Gatilho 60 Dias):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atraso superior a 60 dias corridos em qualquer fatura de fruição patrimonial provoca a 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extinção imediata do direito de resgate e recompra do imóvel por caducidade extrajudicial expressa (Art. 506 do Código Civil)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consolidando-se a propriedade plena do ativo em nome do FUNDO/SPE.</w:t>
      </w:r>
    </w:p>
    <w:p w14:paraId="515D5C1B" w14:textId="77777777" w:rsidR="009E23F4" w:rsidRPr="009E23F4" w:rsidRDefault="009E23F4" w:rsidP="009E23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Blindagem contra Usura (Devolução da Sobra do Leilão):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Consolidado o calote, o ativo é destinado ao Campo de Leilão Extrajudicial da plataforma pelo Preço Cheio de Mercado (100% AVM), rodando </w:t>
      </w:r>
      <w:proofErr w:type="spell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markdowns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regressivos automatizados controlados pela </w:t>
      </w:r>
      <w:r w:rsidRPr="009E23F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Nina Engine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5A35E04" w14:textId="77777777" w:rsidR="009E23F4" w:rsidRPr="009E23F4" w:rsidRDefault="009E23F4" w:rsidP="009E23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Split Absoluto de Proteção: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Concluída a arrematação, o dinheiro entra na Conta Escrow </w:t>
      </w:r>
      <w:proofErr w:type="spell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o sistema executa o roteamento prioritário cego:</w:t>
      </w:r>
    </w:p>
    <w:p w14:paraId="675A69A3" w14:textId="77777777" w:rsidR="009E23F4" w:rsidRPr="009E23F4" w:rsidRDefault="009E23F4" w:rsidP="009E23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Repassa e quita 100% do Capital Principal investido pelo FUNDO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acrescido das taxas de fruição e encargos contratuais de atacado acumulados até a data da arrematação;</w:t>
      </w:r>
    </w:p>
    <w:p w14:paraId="1293762C" w14:textId="77777777" w:rsidR="009E23F4" w:rsidRPr="009E23F4" w:rsidRDefault="009E23F4" w:rsidP="009E23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Deduze as despesas notariais, impostos prediais em atraso e o </w:t>
      </w:r>
      <w:proofErr w:type="spell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Intermediação de 10% devido à PLATAFORMA LETTER;</w:t>
      </w:r>
    </w:p>
    <w:p w14:paraId="3E29354D" w14:textId="77777777" w:rsidR="009E23F4" w:rsidRPr="009E23F4" w:rsidRDefault="009E23F4" w:rsidP="009E23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DEVOLVE INTEGRALMENTE E COMPULSATORIAMENTE O SALDO EXCEDENTE (A SOBRA DO LEILÃO) PARA A CONTA DO CLIENTE INADIMPLENTE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41933F" w14:textId="38574503" w:rsidR="009E23F4" w:rsidRPr="003209BD" w:rsidRDefault="009E23F4" w:rsidP="003209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Efeito Jurídico: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Devolver o troco ao devedor destrói qualquer alegação de pacto comissório ou enriquecimento sem causa. O Judiciário é sumariamente afastado, pois a Cláusula Nona do contrato mãe submete 100% dos litígios e 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execuções possessórias de forma exclusiva e irrevogável ao </w:t>
      </w: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Juízo Arbitral (Câmaras de Arbitragem Empresariais)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2BABAF0" w14:textId="77777777" w:rsidR="009E23F4" w:rsidRPr="009E23F4" w:rsidRDefault="009E23F4" w:rsidP="009E23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6. CLÁUSULA DE VIGÊNCIA E FECHAMENTO</w:t>
      </w:r>
    </w:p>
    <w:p w14:paraId="00A28E57" w14:textId="77777777" w:rsidR="009E23F4" w:rsidRPr="009E23F4" w:rsidRDefault="009E23F4" w:rsidP="009E23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condições descritas neste memorando refletem a arquitetura de governança digital e FinOps homologada no ecossistema de tecnologia LETTER e servirão de base para a confecção da Escritura Mãe e do Contrato de Parceria com a administradora de fundos do parceiro.</w:t>
      </w:r>
    </w:p>
    <w:p w14:paraId="773B4A89" w14:textId="77777777" w:rsidR="009E23F4" w:rsidRPr="009E23F4" w:rsidRDefault="009E23F4" w:rsidP="009E23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Dado o alinhamento de intenções mercantis na data de hoje.</w:t>
      </w:r>
    </w:p>
    <w:p w14:paraId="38A76D0C" w14:textId="06FF674C" w:rsidR="009E23F4" w:rsidRPr="009E23F4" w:rsidRDefault="009E23F4" w:rsidP="009E2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0F2D5E" w14:textId="77411B90" w:rsidR="009E23F4" w:rsidRPr="009E23F4" w:rsidRDefault="009E23F4" w:rsidP="009E23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LETTER </w:t>
      </w:r>
      <w:r w:rsidR="0028682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FRANQUEADORA E DESENVOLVIMENTO DE SOFTWARE LTDA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Diretoria de Riscos e </w:t>
      </w:r>
      <w:proofErr w:type="spellStart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</w:t>
      </w:r>
      <w:proofErr w:type="spellEnd"/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Ativos Reais (RWA)</w:t>
      </w:r>
    </w:p>
    <w:p w14:paraId="034C37FC" w14:textId="0F2A94F8" w:rsidR="009E23F4" w:rsidRPr="009E23F4" w:rsidRDefault="009E23F4" w:rsidP="009E2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0C60F1" w14:textId="77777777" w:rsidR="009E23F4" w:rsidRPr="009E23F4" w:rsidRDefault="009E23F4" w:rsidP="009E23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INVESTIDOR INSTITUCIONAL</w:t>
      </w:r>
      <w:r w:rsidRPr="009E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Comitê de Crédito e Alocação de Atacado</w:t>
      </w:r>
    </w:p>
    <w:p w14:paraId="5BEFBF57" w14:textId="3C7DC5FC" w:rsidR="009E23F4" w:rsidRPr="009E23F4" w:rsidRDefault="009E23F4" w:rsidP="009E2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0CECC8" w14:textId="77777777" w:rsidR="009E23F4" w:rsidRDefault="009E23F4"/>
    <w:sectPr w:rsidR="009E23F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E7763" w14:textId="77777777" w:rsidR="00FA0C4A" w:rsidRDefault="00FA0C4A" w:rsidP="003209BD">
      <w:pPr>
        <w:spacing w:after="0" w:line="240" w:lineRule="auto"/>
      </w:pPr>
      <w:r>
        <w:separator/>
      </w:r>
    </w:p>
  </w:endnote>
  <w:endnote w:type="continuationSeparator" w:id="0">
    <w:p w14:paraId="0550CF6D" w14:textId="77777777" w:rsidR="00FA0C4A" w:rsidRDefault="00FA0C4A" w:rsidP="00320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EF0FE" w14:textId="77777777" w:rsidR="00FA0C4A" w:rsidRDefault="00FA0C4A" w:rsidP="003209BD">
      <w:pPr>
        <w:spacing w:after="0" w:line="240" w:lineRule="auto"/>
      </w:pPr>
      <w:r>
        <w:separator/>
      </w:r>
    </w:p>
  </w:footnote>
  <w:footnote w:type="continuationSeparator" w:id="0">
    <w:p w14:paraId="73020D08" w14:textId="77777777" w:rsidR="00FA0C4A" w:rsidRDefault="00FA0C4A" w:rsidP="00320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6F1B5" w14:textId="146765D8" w:rsidR="003209BD" w:rsidRDefault="003209BD" w:rsidP="003209BD">
    <w:pPr>
      <w:pStyle w:val="Cabealho"/>
      <w:jc w:val="right"/>
    </w:pPr>
    <w:r>
      <w:rPr>
        <w:noProof/>
      </w:rPr>
      <w:drawing>
        <wp:inline distT="0" distB="0" distL="0" distR="0" wp14:anchorId="5DBAD227" wp14:editId="631D1555">
          <wp:extent cx="1118510" cy="629228"/>
          <wp:effectExtent l="0" t="0" r="0" b="6350"/>
          <wp:docPr id="15935694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569411" name="Imagem 15935694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4920" cy="6665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4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67E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A17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568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71E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12045">
    <w:abstractNumId w:val="2"/>
  </w:num>
  <w:num w:numId="2" w16cid:durableId="1774981488">
    <w:abstractNumId w:val="4"/>
  </w:num>
  <w:num w:numId="3" w16cid:durableId="903679079">
    <w:abstractNumId w:val="1"/>
  </w:num>
  <w:num w:numId="4" w16cid:durableId="1295136556">
    <w:abstractNumId w:val="0"/>
  </w:num>
  <w:num w:numId="5" w16cid:durableId="1364941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F4"/>
    <w:rsid w:val="00286822"/>
    <w:rsid w:val="003209BD"/>
    <w:rsid w:val="003D0B4D"/>
    <w:rsid w:val="00572CE0"/>
    <w:rsid w:val="007D67F2"/>
    <w:rsid w:val="009372E2"/>
    <w:rsid w:val="009E23F4"/>
    <w:rsid w:val="00A41E7F"/>
    <w:rsid w:val="00BF1B68"/>
    <w:rsid w:val="00FA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D1C81"/>
  <w15:chartTrackingRefBased/>
  <w15:docId w15:val="{6B2DAEF3-8648-E049-B6F2-D1FF03CA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2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2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2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2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2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2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2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2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2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2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2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2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23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23F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23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23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23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23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2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2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2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2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2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23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23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23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2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23F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23F4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9E23F4"/>
  </w:style>
  <w:style w:type="character" w:styleId="CdigoHTML">
    <w:name w:val="HTML Code"/>
    <w:basedOn w:val="Fontepargpadro"/>
    <w:uiPriority w:val="99"/>
    <w:semiHidden/>
    <w:unhideWhenUsed/>
    <w:rsid w:val="009E23F4"/>
    <w:rPr>
      <w:rFonts w:ascii="Courier New" w:eastAsiaTheme="minorEastAsia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9E23F4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3209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09BD"/>
  </w:style>
  <w:style w:type="paragraph" w:styleId="Rodap">
    <w:name w:val="footer"/>
    <w:basedOn w:val="Normal"/>
    <w:link w:val="RodapChar"/>
    <w:uiPriority w:val="99"/>
    <w:unhideWhenUsed/>
    <w:rsid w:val="003209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0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1280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Microsoft Office User</cp:lastModifiedBy>
  <cp:revision>8</cp:revision>
  <cp:lastPrinted>2026-08-31T13:30:00Z</cp:lastPrinted>
  <dcterms:created xsi:type="dcterms:W3CDTF">2026-08-06T10:45:00Z</dcterms:created>
  <dcterms:modified xsi:type="dcterms:W3CDTF">2026-08-31T14:17:00Z</dcterms:modified>
</cp:coreProperties>
</file>