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BD1BD" w14:textId="51814253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INSTRUMENTO PARTICULAR DE MÚTUO FINANCEIRO COM OPÇÃO DE CONVERSÃO EM PARTICIPAÇÃO SOCIETÁRIA</w:t>
      </w:r>
    </w:p>
    <w:p w14:paraId="7BEA23C3" w14:textId="475FCF76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EMISSORA/MUTUÁRIA: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HOLDING S.A.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sociedade anônima fechada, devidamente inscrita no CNPJ/ME sob o nº [Inserir CNPJ], com sede na Cidade de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Teixeira de Freitas, Estado da Bahia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neste ato representada na forma de seu Estatuto Social por seu Diretor Presidente [Seu Nome], doravante denominada</w:t>
      </w:r>
      <w:r w:rsidR="00872DE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simplesmente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MUTUÁRIA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A4BD77" w14:textId="24FA1AC0" w:rsidR="006377DE" w:rsidRPr="00872DE5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 (INVESTIDOR):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Pessoa Física ou Jurídica devidamente qualificada, identificada e cadastrada no ecossistema de dados da plataforma, cujos dados foram individualizados, validados por biometria facial avançada via </w:t>
      </w:r>
      <w:proofErr w:type="spellStart"/>
      <w:r w:rsidRPr="006377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Liveness</w:t>
      </w:r>
      <w:proofErr w:type="spellEnd"/>
      <w:r w:rsidRPr="006377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SDK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assinados eletronicamente na abertura de sua conta digital, doravante denominado simplesmente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0586BF" w14:textId="77777777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PRIMEIRA: DO OBJETO E DO APORTE MÍNIMO</w:t>
      </w:r>
    </w:p>
    <w:p w14:paraId="16D5AEF8" w14:textId="36C389B0" w:rsidR="006377DE" w:rsidRPr="00872DE5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1.1.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objeto do presente contrato é o empréstimo de recursos financeiros pelo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 favor da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MUTUÁRIA</w:t>
      </w:r>
      <w:r w:rsidR="00872DE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o fortalecimento do caixa de crescimento, desenvolvimento tecnológico e expansão nacional do ecossistema de banco digital e faturamento de ativos reais da LETTER.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1.2.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Partes estipulam e reconhecem que o valor de aporte inicial mínimo para ingresso nesta modalidade privada de balcão é fixado em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R$ 10.000,00 (dez mil reais)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estando 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livre para decidir e aportar qualquer valor financeiro acima deste piso estabelecido.</w:t>
      </w:r>
    </w:p>
    <w:p w14:paraId="1EA61226" w14:textId="77777777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SEGUNDA: DA TAXA DE RENTABILIDADE E REGIME DE LIQUIDAÇÃO</w:t>
      </w:r>
    </w:p>
    <w:p w14:paraId="6412FC2B" w14:textId="6AF816A7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 valor do capital principal aportado pelo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MUTUÁRIA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pagará uma taxa de rentabilidade fixa e garantida de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1,6% (</w:t>
      </w:r>
      <w:proofErr w:type="gramStart"/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um vírgula</w:t>
      </w:r>
      <w:proofErr w:type="gramEnd"/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seis por cento) ao mês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durante a vigência do contrato.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ato da assinatura digital por dentro da plataforma, 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deverá manifestar obrigatoriamente a sua opção por um dos 2 (dois) regimes de liquidação de juros abaixo:</w:t>
      </w:r>
    </w:p>
    <w:p w14:paraId="4760D895" w14:textId="2C8EAF54" w:rsidR="006377DE" w:rsidRPr="006377DE" w:rsidRDefault="006377DE" w:rsidP="00637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OPÇÃO A (SAQUE MENSAL):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Os juros de 1,6% gerados mensalmente serão creditados de forma automática na Wallet digital do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em sua conta do banco digital LETTER, ficando livres para saque via </w:t>
      </w:r>
      <w:proofErr w:type="spellStart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 utilização imediata.</w:t>
      </w:r>
    </w:p>
    <w:p w14:paraId="651A0AE1" w14:textId="78B07F05" w:rsidR="006377DE" w:rsidRPr="00872DE5" w:rsidRDefault="006377DE" w:rsidP="00872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OPÇÃO B (PARCELA BULLET FINAL):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Os juros mensais de 1,6% serão retidos, provisionados e capitalizados em regime simples em background, ficando acumulados para liquidação integralizada de uma só vez juntamente com o capital principal na data de vencimento do contrato.</w:t>
      </w:r>
    </w:p>
    <w:p w14:paraId="332053F3" w14:textId="77777777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lastRenderedPageBreak/>
        <w:t>CLÁUSULA TERCEIRA: DO PRAZO E RESGATE DO CAPITAL PRINCIPAL</w:t>
      </w:r>
    </w:p>
    <w:p w14:paraId="367000D8" w14:textId="495C1A27" w:rsidR="006377DE" w:rsidRPr="00872DE5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presente contrato possui prazo de vigência estrito e determinado de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36 (trinta e seis) meses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contados a partir da data de compensação e liquidação bancária do aporte no ecossistema da plataforma.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 término do prazo de 36 meses, a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MUTUÁRIA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garante o direito de 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acessar o resgate e o saque imediato de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100% (cem por cento) do capital principal investido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acrescido do saldo de juros acumulados caso tenha optado pelo regime </w:t>
      </w:r>
      <w:proofErr w:type="spellStart"/>
      <w:r w:rsidRPr="006377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Bullet</w:t>
      </w:r>
      <w:proofErr w:type="spellEnd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(Opção B) da Cláusula Segunda.</w:t>
      </w:r>
    </w:p>
    <w:p w14:paraId="01DD352A" w14:textId="77777777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QUARTA: DA TRAVA REGULATÓRIA DA CVM E OPÇÃO DE CONVERSÃO EM EQUITY</w:t>
      </w:r>
    </w:p>
    <w:p w14:paraId="1E4D45CE" w14:textId="77777777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4.1.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todos os fins de direito e em estrito cumprimento às normas da Comissão de Valores Mobiliários (CVM), o presente instrumento é classificado como uma </w:t>
      </w:r>
      <w:proofErr w:type="spellStart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</w:t>
      </w:r>
      <w:proofErr w:type="spellEnd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privada de balcão (</w:t>
      </w:r>
      <w:r w:rsidRPr="006377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Private </w:t>
      </w:r>
      <w:proofErr w:type="spellStart"/>
      <w:r w:rsidRPr="006377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Placement</w:t>
      </w:r>
      <w:proofErr w:type="spellEnd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de caráter estritamente fechado e restrito aos usuários pré-qualificados do Super App, não configurando oferta pública em massa de valores mobiliários.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4.2.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Fica estabelecido que, na data de vencimento do contrato (36º mês),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MUTUANTE poderá exercer, de forma discricionária e voluntária, a Opção de Conversão de Crédito em Equity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14FBA1" w14:textId="1D92FD06" w:rsidR="006377DE" w:rsidRPr="00872DE5" w:rsidRDefault="006377DE" w:rsidP="00872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Caso exerça a conversão, 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abre mão do saque em dinheiro do capital principal e converte a totalidade dos seus créditos em quotas ou ações de emissão da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INSTITUTIONAL HOLDING S.A.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aplicando-se um desconto pré-fixado de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20% (vinte por cento)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sobre o </w:t>
      </w:r>
      <w:proofErr w:type="spellStart"/>
      <w:r w:rsidRPr="006377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Valuation</w:t>
      </w:r>
      <w:proofErr w:type="spellEnd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oficial apurado na rodada de capitalização subsequente da empresa.</w:t>
      </w:r>
    </w:p>
    <w:p w14:paraId="2E0632FF" w14:textId="77777777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QUINTA: DA ISENÇÃO DE RESPONSABILIDADE E RISCO SOCIETÁRIO</w:t>
      </w:r>
    </w:p>
    <w:p w14:paraId="10555FBA" w14:textId="02AA1106" w:rsidR="006377DE" w:rsidRPr="00872DE5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5.1.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Durante o período de 36 meses de vigência do contrato e enquanto o direito de conversão em participação societária não for formalmente exercido pelo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este reterá unicamente a condição jurídica de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credores por mútuo financeiro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não possuindo direito a voto e mantendo-se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100% stands-off do quadro societário da holding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5.2.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 decorrência do item anterior, o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MUTUANTE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goza de blindagem patrimonial absoluta: ele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não responde, sob nenhuma hipótese, por eventuais passivos cíveis, fiscais, previdenciários ou trabalhistas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decorrentes da operação de rua da LETTER Franqueadora ou das </w:t>
      </w:r>
      <w:proofErr w:type="spellStart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SPEs</w:t>
      </w:r>
      <w:proofErr w:type="spellEnd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ecossistema.</w:t>
      </w:r>
    </w:p>
    <w:p w14:paraId="36461466" w14:textId="77777777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SEXTA: DO FORO DE ELEIÇÃO</w:t>
      </w:r>
    </w:p>
    <w:p w14:paraId="66099EB3" w14:textId="4AE6556D" w:rsidR="006377DE" w:rsidRPr="00872DE5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6.1.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Para dirimir quaisquer dúvidas, controvérsias ou litígios decorrentes da interpretação ou execução do presente instrumento, as Partes elegem, de comum acordo, 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com expressa renúncia a qualquer outro por mais privilegiado que seja, o Foro da Comarca de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Teixeira de Freitas, Estado da Bahia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1A2560" w14:textId="77777777" w:rsidR="006377DE" w:rsidRPr="006377DE" w:rsidRDefault="006377DE" w:rsidP="0063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CLÁUSULA SÉTIMA: DA ASSINATURA ELETRÔNICA E VALIDADE JURÍDICA</w:t>
      </w:r>
    </w:p>
    <w:p w14:paraId="7818A060" w14:textId="569BA007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7.1.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As Partes elegem a assinatura eletrônica avançada por dentro do Super App LETTER, integrada via API de assinaturas </w:t>
      </w:r>
      <w:proofErr w:type="spellStart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ZapSign</w:t>
      </w:r>
      <w:proofErr w:type="spellEnd"/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como o meio exclusivo, idôneo e plenamente válido para a manifestação de vontade e celebração deste contrato.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7.2.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presente instrumento, acompanhado dos logs estáveis de rastreabilidade digital fornecidos pela certificação eletrônica, constitui </w:t>
      </w:r>
      <w:r w:rsidRPr="006377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Executivo Extrajudicial Autônomo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(nos termos do Artigo 784, III do Código de Processo Civil), apto a aparelhar execução imediata em caso de inadimplemento.</w:t>
      </w:r>
    </w:p>
    <w:p w14:paraId="63CD6E2C" w14:textId="3F62E404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086C05" w14:textId="77777777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{{LOCALIDADE}}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6377D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{{DATA_CONTRATACAO}}</w:t>
      </w:r>
      <w:r w:rsidRPr="006377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D24D414" w14:textId="77777777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377D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(Informações de cidade, data e horário inseridas de forma dinâmica e automatizada pela API do sistema no segundo exato do aceite digital).</w:t>
      </w:r>
    </w:p>
    <w:p w14:paraId="38E9026B" w14:textId="06AA9F1C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EA626" w14:textId="77777777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6377D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 ASSINADO</w:t>
      </w:r>
      <w:proofErr w:type="gramEnd"/>
      <w:r w:rsidRPr="006377D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DIGITALMENTE VIA API ZAPSIGN / PADRÃO DE SEGURANÇA INTEGRADO DA HOLDING ]</w:t>
      </w:r>
    </w:p>
    <w:p w14:paraId="7308F37E" w14:textId="5AA697A3" w:rsidR="006377DE" w:rsidRPr="006377DE" w:rsidRDefault="006377DE" w:rsidP="006377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87C876" w14:textId="77777777" w:rsidR="006377DE" w:rsidRDefault="006377DE"/>
    <w:sectPr w:rsidR="006377D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8878C" w14:textId="77777777" w:rsidR="00BD50C1" w:rsidRDefault="00BD50C1" w:rsidP="00872DE5">
      <w:pPr>
        <w:spacing w:after="0" w:line="240" w:lineRule="auto"/>
      </w:pPr>
      <w:r>
        <w:separator/>
      </w:r>
    </w:p>
  </w:endnote>
  <w:endnote w:type="continuationSeparator" w:id="0">
    <w:p w14:paraId="2E3AB63E" w14:textId="77777777" w:rsidR="00BD50C1" w:rsidRDefault="00BD50C1" w:rsidP="00872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89D48" w14:textId="77777777" w:rsidR="00BD50C1" w:rsidRDefault="00BD50C1" w:rsidP="00872DE5">
      <w:pPr>
        <w:spacing w:after="0" w:line="240" w:lineRule="auto"/>
      </w:pPr>
      <w:r>
        <w:separator/>
      </w:r>
    </w:p>
  </w:footnote>
  <w:footnote w:type="continuationSeparator" w:id="0">
    <w:p w14:paraId="42564B3C" w14:textId="77777777" w:rsidR="00BD50C1" w:rsidRDefault="00BD50C1" w:rsidP="00872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EC7E8" w14:textId="5443AEAD" w:rsidR="00872DE5" w:rsidRDefault="00872DE5" w:rsidP="00872DE5">
    <w:pPr>
      <w:pStyle w:val="Cabealho"/>
      <w:jc w:val="right"/>
    </w:pPr>
    <w:r>
      <w:rPr>
        <w:noProof/>
      </w:rPr>
      <w:drawing>
        <wp:inline distT="0" distB="0" distL="0" distR="0" wp14:anchorId="4390F8A4" wp14:editId="2B9F8498">
          <wp:extent cx="1118510" cy="629228"/>
          <wp:effectExtent l="0" t="0" r="0" b="6350"/>
          <wp:docPr id="15935694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569411" name="Imagem 15935694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4920" cy="6665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00C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719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507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1825">
    <w:abstractNumId w:val="1"/>
  </w:num>
  <w:num w:numId="2" w16cid:durableId="449251923">
    <w:abstractNumId w:val="0"/>
  </w:num>
  <w:num w:numId="3" w16cid:durableId="2026587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DE"/>
    <w:rsid w:val="006377DE"/>
    <w:rsid w:val="00872DE5"/>
    <w:rsid w:val="00BD50C1"/>
    <w:rsid w:val="00CE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BB698"/>
  <w15:chartTrackingRefBased/>
  <w15:docId w15:val="{29E58C6E-C0A7-6D49-BD81-519602B0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7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77D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7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7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7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7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7D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7D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6377DE"/>
  </w:style>
  <w:style w:type="character" w:styleId="nfase">
    <w:name w:val="Emphasis"/>
    <w:basedOn w:val="Fontepargpadro"/>
    <w:uiPriority w:val="20"/>
    <w:qFormat/>
    <w:rsid w:val="006377DE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377DE"/>
    <w:rPr>
      <w:rFonts w:ascii="Courier New" w:eastAsiaTheme="minorEastAsia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72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2DE5"/>
  </w:style>
  <w:style w:type="paragraph" w:styleId="Rodap">
    <w:name w:val="footer"/>
    <w:basedOn w:val="Normal"/>
    <w:link w:val="RodapChar"/>
    <w:uiPriority w:val="99"/>
    <w:unhideWhenUsed/>
    <w:rsid w:val="00872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2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887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Microsoft Office User</cp:lastModifiedBy>
  <cp:revision>3</cp:revision>
  <dcterms:created xsi:type="dcterms:W3CDTF">2026-09-08T12:44:00Z</dcterms:created>
  <dcterms:modified xsi:type="dcterms:W3CDTF">2026-09-09T23:05:00Z</dcterms:modified>
</cp:coreProperties>
</file>