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ksgywifgvq4l" w:id="0"/>
      <w:bookmarkEnd w:id="0"/>
      <w:r w:rsidDel="00000000" w:rsidR="00000000" w:rsidRPr="00000000">
        <w:rPr>
          <w:rtl w:val="0"/>
        </w:rPr>
        <w:t xml:space="preserve">Jegyfoglaló rendszer</w:t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nx69ofl4sqrr" w:id="1"/>
      <w:bookmarkEnd w:id="1"/>
      <w:r w:rsidDel="00000000" w:rsidR="00000000" w:rsidRPr="00000000">
        <w:rPr>
          <w:rtl w:val="0"/>
        </w:rPr>
        <w:t xml:space="preserve">Turquoise inc.</w:t>
      </w:r>
    </w:p>
    <w:p w:rsidR="00000000" w:rsidDel="00000000" w:rsidP="00000000" w:rsidRDefault="00000000" w:rsidRPr="00000000" w14:paraId="00000003">
      <w:pPr>
        <w:pStyle w:val="Heading1"/>
        <w:jc w:val="both"/>
        <w:rPr/>
      </w:pPr>
      <w:bookmarkStart w:colFirst="0" w:colLast="0" w:name="_yk117nn8g1we" w:id="2"/>
      <w:bookmarkEnd w:id="2"/>
      <w:r w:rsidDel="00000000" w:rsidR="00000000" w:rsidRPr="00000000">
        <w:rPr>
          <w:sz w:val="32"/>
          <w:szCs w:val="32"/>
          <w:rtl w:val="0"/>
        </w:rPr>
        <w:t xml:space="preserve">Az alkalmazás célja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kialakítandó alkalmazás egy olyan hiánypótló jegyértékesítő platform, amely rugalmasabb és professzionálisabb egy Google Forms-nál, költséghatékonyabb a nagy jegyirodáknál (pl. jegy.hu), és testreszabhatóságban felveszi a versenyt az egyedi fejlesztésű oldalakkal.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felhasználó cégek számára olcsó, de személyre szabható megoldást jelent, kifejezetten a kis- és középvállalkozások számára.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költségek az eladott jegyeknek csak egy pár százaléka lenne így egy egyszerű és költséghatékony módszert biztosít a jegyek értékesítésére, hogy ár-érték arányban versenyképesebbek lehessenek a konkurenciánál, a belépési küszöböt és a felmerülő költségeket csökkenthetik a professzionális végfelhasználói érzés és rugalmas adminisztráció mellett.</w:t>
      </w:r>
    </w:p>
    <w:p w:rsidR="00000000" w:rsidDel="00000000" w:rsidP="00000000" w:rsidRDefault="00000000" w:rsidRPr="00000000" w14:paraId="00000007">
      <w:pPr>
        <w:pStyle w:val="Heading2"/>
        <w:jc w:val="both"/>
        <w:rPr/>
      </w:pPr>
      <w:bookmarkStart w:colFirst="0" w:colLast="0" w:name="_jsnflullu31t" w:id="3"/>
      <w:bookmarkEnd w:id="3"/>
      <w:r w:rsidDel="00000000" w:rsidR="00000000" w:rsidRPr="00000000">
        <w:rPr>
          <w:rtl w:val="0"/>
        </w:rPr>
        <w:t xml:space="preserve">Az alkalmazás funkciói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Vállalkozások számára: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Több helyszín kezelése,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Helyszínenként tetszőleges számú nézőtér és helyelosztás kezelése,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Események létrehozása, megadott helyszínre és nézőtérre,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Helyszínek, nézőterek, események kezelése, módosításának lehetősége,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Foglalási oldal személyre szabása,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Foglalások áttekintése.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Végfelhasználó számára: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kiajánlott foglalási oldalon, egyszerűen áttekinthető grafikus felületen jegyvásárlási lehetőség,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E-mail visszajelzés.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Az alkalmazás előnyei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megoldás fenntartható versenyelőnyt teremt azáltal, hogy transzparens működést és a felhasználók informatikai kompetenciájához illeszkedő, rugalmasan testreszabható nézőtér-elrendezési lehetőséget biztosít.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Kifejezetten az árérzékeny előadók és társulatok számára jellemző operatív és költségoldali kihívásokra reagál: pénzügyileg elérhető, skálázható és flexibilis infrastruktúrát kínál, amely támogatja a szabadabb rendezvényhelyszín-választást és a különböző térbeli konfigurációk gyors adaptálását.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Ennek eredményeként a szervezők költségoptimalizált működés mellett nagyobb mozgásteret kapnak a programstruktúra és a nézőtéri kapacitás stratégiai tervezésében.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both"/>
        <w:rPr/>
      </w:pPr>
      <w:bookmarkStart w:colFirst="0" w:colLast="0" w:name="_tkrn5850uzyv" w:id="4"/>
      <w:bookmarkEnd w:id="4"/>
      <w:r w:rsidDel="00000000" w:rsidR="00000000" w:rsidRPr="00000000">
        <w:rPr>
          <w:rtl w:val="0"/>
        </w:rPr>
        <w:t xml:space="preserve">Rendszer Flow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funkciók a szervezői esemény (3. kép) és helyszín (4. kép) dashboard köré épülnek.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landing page-ről lehet a regisztrációs oldalra menni.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86050" cy="5905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landing page-ről lehet a bejelentkezés oldalra menni.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76525" cy="58102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sikeres regisztráció után a szervező az esemény dashboard oldalra kerül.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76525" cy="58102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sikeres bejelentkezés után a szervező az esemény dashboard oldalra kerül.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76525" cy="5810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esemény dashboard oldalon lehet elindítani egy új esemény létrehozását vagy már meglévő módosítását vagy másolását.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00525" cy="5810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esemény dashboard oldalon meg lehet nézni a foglaló oldalt, hogy hogyan néz ki a vevő számára.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76525" cy="581025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esemény dashboard oldalon meg lehet tekinteni a jelenlegi foglalásokat.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00525" cy="58102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esemény dashboard oldalról át lehet navigálni a profil módosítás oldalra.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76525" cy="58102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helyszín dashboard oldalon lehet elkészíteni egy új helyszínt vagy már meglévőt módosítani.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00525" cy="58102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helyszín dashboard oldalon lehet elkészíteni egy új nézőteret vagy módosítani egy meglévőt egy már létező helyszínhez.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00525" cy="5810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helyszín dashboard oldalról át lehet navigálni a profil módosítás oldalra.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76525" cy="5810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vevő a foglaló oldalról a vásárlás gombra kattintással átkerül vásárlás véglegesítése oldalra.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76525" cy="5810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both"/>
        <w:rPr/>
      </w:pPr>
      <w:bookmarkStart w:colFirst="0" w:colLast="0" w:name="_adtw98e97hys" w:id="5"/>
      <w:bookmarkEnd w:id="5"/>
      <w:r w:rsidDel="00000000" w:rsidR="00000000" w:rsidRPr="00000000">
        <w:rPr>
          <w:rtl w:val="0"/>
        </w:rPr>
        <w:t xml:space="preserve">Képernyőtervek és specifikáció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sz w:val="32"/>
          <w:szCs w:val="32"/>
          <w:rtl w:val="0"/>
        </w:rPr>
        <w:t xml:space="preserve">0.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6000" cy="33020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landing page-en található a publikus események kereshető listája ahol a vevők kiválaszthatják a kívánt esemény. Ezen felül található a szervezőknek szóló link amely átírányi a regisztrációs oldalra.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jc w:val="both"/>
        <w:rPr/>
      </w:pPr>
      <w:bookmarkStart w:colFirst="0" w:colLast="0" w:name="_j21kxw2hj7uo" w:id="6"/>
      <w:bookmarkEnd w:id="6"/>
      <w:r w:rsidDel="00000000" w:rsidR="00000000" w:rsidRPr="00000000">
        <w:rPr>
          <w:rtl w:val="0"/>
        </w:rPr>
        <w:t xml:space="preserve">1. Belépés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2538" cy="2953706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538" cy="2953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szervezők beléphetnek a fiókjaikba. Ez egy egyszerű, középre igazított kártya nézeten található. Amennyiben nincsen fiókja akkor van lehetőség átnavigálni a regisztrációs oldalra. Sikeres bejelentkezés esetén az események dashboard-ra irányít át.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jc w:val="both"/>
        <w:rPr/>
      </w:pPr>
      <w:bookmarkStart w:colFirst="0" w:colLast="0" w:name="_90qbne9l1ep" w:id="7"/>
      <w:bookmarkEnd w:id="7"/>
      <w:r w:rsidDel="00000000" w:rsidR="00000000" w:rsidRPr="00000000">
        <w:rPr>
          <w:rtl w:val="0"/>
        </w:rPr>
        <w:t xml:space="preserve">2. Regisztráció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32563" cy="3680319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2563" cy="3680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A leendő szervezők regisztrálhatnak az oldalra. Ez egy egyszerű, középre igazított kártya nézeten található. Sikeres regisztráció esetén az események dashboard-ra irányít 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regisztrációhoz szükséges adatok: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E-mail cím, ami a kapcsolattartáson túl a felhasználói profil azonosítását is szolgálja.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Jelszó és a jelszó megerősítése.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Telefonszám kapcsolattartási okokból.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Bankszámlaszám, hogy a megvásárolt jegyek árát továbbíthassuk a szervezőnek.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jc w:val="both"/>
        <w:rPr/>
      </w:pPr>
      <w:bookmarkStart w:colFirst="0" w:colLast="0" w:name="_vyszsssb5yfz" w:id="8"/>
      <w:bookmarkEnd w:id="8"/>
      <w:r w:rsidDel="00000000" w:rsidR="00000000" w:rsidRPr="00000000">
        <w:rPr>
          <w:rtl w:val="0"/>
        </w:rPr>
        <w:t xml:space="preserve">3. Esemény dashboard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6000" cy="4102100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szervezők itt láthatják az eseményeiket egy egyszerűen átlátható kártyákból álló listában.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Erről a felületről indíthatók a módosító műveletek: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új eseményeket felvenni és módosítani ami átirányít az események létrehozása/módosítása oldalra.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eseményeket, törölni egy megerősítő üzenetet követően.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egy már meglévő eseményt másolni, ami a megfelelő adatokkal átirányít az esemény létrehozása/módosítása oldalra.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 eseményeken láthatóak a jelenlegi foglalások egy mátrixos nézetben.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jc w:val="both"/>
        <w:rPr/>
      </w:pPr>
      <w:bookmarkStart w:colFirst="0" w:colLast="0" w:name="_if9gwe2g4rvm" w:id="9"/>
      <w:bookmarkEnd w:id="9"/>
      <w:r w:rsidDel="00000000" w:rsidR="00000000" w:rsidRPr="00000000">
        <w:rPr>
          <w:rtl w:val="0"/>
        </w:rPr>
        <w:t xml:space="preserve">4. Helyszín dashboard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6000" cy="2946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szervezők itt láthatják a helyszíneket egy egyszerűen átlátható kártyákból álló listában.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Megjelennek a helyszínek, melyeknek részletes adatait kibontható listában lehet megtekinteni.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Erről a felületről indíthatók a módosító műveletek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helyszíneket felvenni és módosítani, ami átirányít a helyszínek létrehozása/módosítása oldalra.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új néznőtereket felvenni és módosítani, a helyszínekhez ami átirányít a nézőtér létrehozása/módosítása oldalra.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helyszíneket és nézőtereket törölni egy megerősítő üzenetet követően.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40" w:before="240" w:lineRule="auto"/>
        <w:jc w:val="both"/>
        <w:rPr/>
      </w:pPr>
      <w:bookmarkStart w:colFirst="0" w:colLast="0" w:name="_lqgrxnti4p22" w:id="10"/>
      <w:bookmarkEnd w:id="10"/>
      <w:r w:rsidDel="00000000" w:rsidR="00000000" w:rsidRPr="00000000">
        <w:rPr>
          <w:rtl w:val="0"/>
        </w:rPr>
        <w:t xml:space="preserve">5. Esemény létrehozása/módosítása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4032" cy="5064866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032" cy="5064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oldalon lehet új eseményeket létrehozni vagy már meglévőket módosítani vagy másolni. A form egy egyszerű, középre igazított kártya nézeten található.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Itt lehet megadni az esemény nevét, leírását, a helyszín és a helyszínhez tartozó nézőterek egyikét.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 árazás az lehet az alapértelmezett nézőtér árazása de be lehet állítani egyedi vagy dinamikus árazást is.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 egyedi árazás kiválasztásánál a már kiválasztott nézőtérrel átirányít a nézőtér beállítások oldalra ahol be lehet állítani a kívánt árakat majd a mentéskor visszairányít ide.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dinamikus árazás kiválasztásnál lehetőség nyílik az alábbi árazási lehetőségekre: idő, darabszám, kereslet alapján. És az ehhez szükséges adatokat meg lehet adni a megjelenő form-on.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Ezek után az időpontot és a publikálás (publikus vagy privát) adatokat is meg kell adni.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Ezután lehetőség nyílik az esemény kinézetének személyre szabására. Amennyiben nincs kiválasztva semmi akkor az alapértelmezett brand kinézettel fog megjelenni.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240" w:before="240" w:lineRule="auto"/>
        <w:jc w:val="both"/>
        <w:rPr/>
      </w:pPr>
      <w:bookmarkStart w:colFirst="0" w:colLast="0" w:name="_eypsdia1coz" w:id="11"/>
      <w:bookmarkEnd w:id="11"/>
      <w:r w:rsidDel="00000000" w:rsidR="00000000" w:rsidRPr="00000000">
        <w:rPr>
          <w:rtl w:val="0"/>
        </w:rPr>
        <w:t xml:space="preserve">6. Helyszín létrehozása/módosítása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08663" cy="319273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8663" cy="3192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oldalon lehet új helyszíneket létrehozni vagy már meglévőket módosítani. A form egy egyszerű, középre igazított kártya nézeten található.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Itt lehet megadni a helyszín nevét, a települést, az irányítószámot és a címet.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240" w:before="240" w:lineRule="auto"/>
        <w:jc w:val="both"/>
        <w:rPr/>
      </w:pPr>
      <w:bookmarkStart w:colFirst="0" w:colLast="0" w:name="_pt8o2gsoeukg" w:id="12"/>
      <w:bookmarkEnd w:id="12"/>
      <w:r w:rsidDel="00000000" w:rsidR="00000000" w:rsidRPr="00000000">
        <w:rPr>
          <w:rtl w:val="0"/>
        </w:rPr>
        <w:t xml:space="preserve">7. Nézőtér létrehozása/módosítása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6000" cy="35560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063441" cy="165201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441" cy="165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27463" cy="198098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463" cy="1980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oldalon lehet új nézőteret létrehozni vagy már meglévőket módosítani, vagy a jelenlegi eseményen a foglalásokat megtekinteni.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Egy vagy több mátrix készítésére is van lehetőség a szervező által elképzelt elrendezésben és méretben a sorok és oszlopok számának megadásával.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különböző mátrixokhoz különböző szektorokat rendelhet hozzá a szervező, amelyet bármely elhelyezkedésben elkészíthet.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Egyedi azonosítókat lehet rendelni a sorokhoz és oszlopokhoz. Ez lehet egyszerű számozás vagy egy komplex képlet is.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Ezekhez akár csoportos kijelölés segítségével is lehet ülőhely árakat beállítani.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40" w:before="240" w:lineRule="auto"/>
        <w:jc w:val="both"/>
        <w:rPr/>
      </w:pPr>
      <w:bookmarkStart w:colFirst="0" w:colLast="0" w:name="_8rzrooxfvnu3" w:id="13"/>
      <w:bookmarkEnd w:id="13"/>
      <w:r w:rsidDel="00000000" w:rsidR="00000000" w:rsidRPr="00000000">
        <w:rPr>
          <w:rtl w:val="0"/>
        </w:rPr>
        <w:t xml:space="preserve">8. Profil módosítása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9963" cy="442766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963" cy="442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profil oldalon lehet a szervező profilját és brand-jét lehet módosítani. A két form egy egyszerű, középre igazított kártya nézeten találhatóak.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profilon a nevet, telefonszámot, bankszámlaszámot és jelszót lehet módosítani.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brand részen pedig az alapértelmezett kinézetet lehet beállítani vagy módosítani.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240" w:before="240" w:lineRule="auto"/>
        <w:jc w:val="both"/>
        <w:rPr/>
      </w:pPr>
      <w:bookmarkStart w:colFirst="0" w:colLast="0" w:name="_567o3sfpsf3i" w:id="14"/>
      <w:bookmarkEnd w:id="14"/>
      <w:r w:rsidDel="00000000" w:rsidR="00000000" w:rsidRPr="00000000">
        <w:rPr>
          <w:rtl w:val="0"/>
        </w:rPr>
        <w:t xml:space="preserve">9. Foglaló oldal</w:t>
      </w:r>
    </w:p>
    <w:p w:rsidR="00000000" w:rsidDel="00000000" w:rsidP="00000000" w:rsidRDefault="00000000" w:rsidRPr="00000000" w14:paraId="0000008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7988" cy="2967994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7988" cy="2967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964276" cy="1595422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276" cy="1595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33008" cy="157637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008" cy="1576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foglaló oldal, ahol a szervező a személyre szabható weboldalon teszi lehetővé a jegyek vásárlását. A szervezők ennek a weboldalnak a linkjét fogják megosztani a vevőkkel. A szervezőnek akár lehetősége is lehetne, hogy beágyazhassa a foglaló oldalt a saját weboldalára.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ablak tartalmazza a rendezvény legfontosabb információit, a szabad helyeket és azoknak árait. A vásárlónak legmegfelelőbb árkategória kiválasztását azok színezéssel ellátása segíti, a kurzort ráhúzva pedig kis ablakban láthatja a pontos elhelyezkedését és árát.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Ha van már hely kiválasztva, akkor a leendő vásárló látja azoknak összesített árát is, hogy minden információ rendelkezésére álljon a vásárlás melletti döntés meghozatalában. 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Amennyiben a vásárlás folytatása mellett dönt, a “Tovább a vásárláshoz” gombra kattintva a vásárlási oldalra kerül át, ahol véglegesítheti a tranzakciót.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240" w:before="240" w:lineRule="auto"/>
        <w:jc w:val="both"/>
        <w:rPr/>
      </w:pPr>
      <w:bookmarkStart w:colFirst="0" w:colLast="0" w:name="_3sfj90to8arx" w:id="15"/>
      <w:bookmarkEnd w:id="15"/>
      <w:r w:rsidDel="00000000" w:rsidR="00000000" w:rsidRPr="00000000">
        <w:rPr>
          <w:rtl w:val="0"/>
        </w:rPr>
        <w:t xml:space="preserve">10. Vásárlás véglegesítése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90348" cy="5836391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348" cy="5836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oldalon ellenőrizhetőek az esemény és a kosárban lévő jegyek információi, valamint a vásárláshoz elengedhetetlen adatok megadása is itt történik.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“Vásárlás” gomb megnyomásával a fizetési módnak megfelelő külső szolgáltató oldalára továbbítja az ügyfelet, ahol a jegyek árainak megtérítésével véglegesíti a vásárlását.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sikeres vásárlást követően az ügyfél e-mail-ben kap értesítést, amely tartalmazza a számlát és a kinyomtatható jegyeket.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0" w:right="0" w:firstLine="0"/>
        <w:jc w:val="both"/>
        <w:rPr>
          <w:color w:val="666666"/>
          <w:sz w:val="30"/>
          <w:szCs w:val="30"/>
        </w:rPr>
      </w:pPr>
      <w:bookmarkStart w:colFirst="0" w:colLast="0" w:name="_abrm4ly2pkhe" w:id="16"/>
      <w:bookmarkEnd w:id="16"/>
      <w:r w:rsidDel="00000000" w:rsidR="00000000" w:rsidRPr="00000000">
        <w:rPr>
          <w:color w:val="000000"/>
          <w:sz w:val="40"/>
          <w:szCs w:val="40"/>
          <w:rtl w:val="0"/>
        </w:rPr>
        <w:t xml:space="preserve">Technológiai Követelmények és Zárás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jc w:val="both"/>
        <w:rPr/>
      </w:pPr>
      <w:bookmarkStart w:colFirst="0" w:colLast="0" w:name="_mm6qwgc4bcy7" w:id="17"/>
      <w:bookmarkEnd w:id="17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alkalmazás technológiai alapját egy .NET keretrendszerre épülő, egyedileg fejlesztett backend szolgáltatási réteg biztosítja. A platform kiválasztásának elsődleges szempontjai a magas szintű biztonság, a horizontális és vertikális skálázhatóság, valamint a hosszú távú üzemeltethetőség voltak.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adatkezelést Microsoft SQL Server alapú relációs adatbázis biztosítja, amely vállalati környezetben bizonyítottan robusztus, tranzakcióbiztos és nagy terhelés mellett is stabil működést garantál. Az architektúra lehetővé teszi a későbbi funkcionális bővítéseket, integrációkat és forgalomnövekedés kezelését anélkül, hogy a rendszer alapjaihoz kellene nyúlni.</w:t>
      </w:r>
    </w:p>
    <w:p w:rsidR="00000000" w:rsidDel="00000000" w:rsidP="00000000" w:rsidRDefault="00000000" w:rsidRPr="00000000" w14:paraId="000000A2">
      <w:pPr>
        <w:pStyle w:val="Heading2"/>
        <w:jc w:val="both"/>
        <w:rPr/>
      </w:pPr>
      <w:bookmarkStart w:colFirst="0" w:colLast="0" w:name="_ent9088q3w39" w:id="18"/>
      <w:bookmarkEnd w:id="18"/>
      <w:r w:rsidDel="00000000" w:rsidR="00000000" w:rsidRPr="00000000">
        <w:rPr>
          <w:rtl w:val="0"/>
        </w:rPr>
        <w:t xml:space="preserve">Adminisztrátori frontend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szervező cégek és társulatok számára egy ergonomikus, gyorsan tanulható adminisztrációs webalkalmazást biztosítunk. A felület TypeScript alapokra épülő, kiforrott Angular keretrendszerrel készült, amely strukturált, karbantartható és skálázható kliensoldali működést tesz lehetővé.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adminisztratív felület HTML/JavaScript technológiát használ, így minden elterjedt böngészőben telepítés nélkül, stabilan és konzisztens felhasználói élménnyel fut. A komponensalapú felépítés támogatja a gyors iterációt, a jövőbeni funkcióbővítést és a testreszabhatóságot.</w:t>
      </w:r>
    </w:p>
    <w:p w:rsidR="00000000" w:rsidDel="00000000" w:rsidP="00000000" w:rsidRDefault="00000000" w:rsidRPr="00000000" w14:paraId="000000A5">
      <w:pPr>
        <w:pStyle w:val="Heading2"/>
        <w:jc w:val="both"/>
        <w:rPr/>
      </w:pPr>
      <w:bookmarkStart w:colFirst="0" w:colLast="0" w:name="_8qvl0o55hp12" w:id="19"/>
      <w:bookmarkEnd w:id="19"/>
      <w:r w:rsidDel="00000000" w:rsidR="00000000" w:rsidRPr="00000000">
        <w:rPr>
          <w:rtl w:val="0"/>
        </w:rPr>
        <w:t xml:space="preserve">Vásárlói frontend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jegyvásárlási modul egyszerű IFrame technológiával integrálható a szervező saját weboldalába, technikai szempontból hasonló módon, mint egy YouTube videó beágyazása. Ez minimalizálja az implementációs költséget és a bevezetési időt, miközben teljes funkcionalitást biztosít.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vásárlói élmény intuitív, ismert e-commerce mintákra épül. A folyamat lépésről lépésre, transzparens módon vezeti végig a felhasználót a helyválasztástól a fizetésig. A kialakítás kifejezetten az alkalmi felhasználók igényeire optimalizált: könnyed használat, egyértelmű vizuális visszajelzések és gyors döntéstámogatás jellemzi.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cél egy olyan jegyvásárlási élmény biztosítása, amely nem csupán funkcionális, hanem gördülékeny és frusztrációmentes – ezáltal növeli a konverziós arányt és a szervezők bevételi potenciálját.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jc w:val="both"/>
        <w:rPr/>
      </w:pPr>
      <w:bookmarkStart w:colFirst="0" w:colLast="0" w:name="_losv11w98gq8" w:id="20"/>
      <w:bookmarkEnd w:id="20"/>
      <w:r w:rsidDel="00000000" w:rsidR="00000000" w:rsidRPr="00000000">
        <w:rPr>
          <w:rtl w:val="0"/>
        </w:rPr>
        <w:t xml:space="preserve">Zárógondolat: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alkalmazás üzletileg validált, fenntartható bevételi modellt kínál, amely egyszerre teremt értéket a felhasználók és a befektetők számára. Az alacsony humánerőforrás-igény és a digitalizált működés következtében a működési költségszint kontrollálható, miközben a szolgáltatás nemzetközi szinten is skálázható.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modell digitális infrastruktúrára épül, ezért az árbevétel volumenarányosan növelhető, miközben a költségbázis csak marginálisan emelkedik. Ez magas operating leverage-et és strukturálisan skálázható profitpotenciált eredményez.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ügyfelek számára transzparens költségstruktúrát, magasabb nettó jegybevételt és jelentősen csökkentett adminisztrációt biztosít. Az automatizáció javítja a cash-flowt és közvetlenül növeli a szervezők profitabilitását.</w:t>
      </w: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footerReference r:id="rId35" w:type="default"/>
      <w:footerReference r:id="rId36" w:type="first"/>
      <w:pgSz w:h="16838" w:w="11906" w:orient="portrait"/>
      <w:pgMar w:bottom="1247.2440944881891" w:top="1247.2440944881891" w:left="1247.2440944881891" w:right="1247.2440944881891" w:header="566.929133858267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center"/>
      <w:rPr>
        <w:rFonts w:ascii="Ubuntu Mono" w:cs="Ubuntu Mono" w:eastAsia="Ubuntu Mono" w:hAnsi="Ubuntu Mono"/>
      </w:rPr>
    </w:pPr>
    <w:r w:rsidDel="00000000" w:rsidR="00000000" w:rsidRPr="00000000">
      <w:rPr>
        <w:rFonts w:ascii="Ubuntu Mono" w:cs="Ubuntu Mono" w:eastAsia="Ubuntu Mono" w:hAnsi="Ubuntu Mono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Ubuntu Mono" w:cs="Ubuntu Mono" w:eastAsia="Ubuntu Mono" w:hAnsi="Ubuntu Mono"/>
        <w:rtl w:val="0"/>
      </w:rPr>
      <w:t xml:space="preserve">. oldal</w:t>
      <w:br w:type="textWrapping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center"/>
      <w:rPr>
        <w:rFonts w:ascii="Ubuntu Mono" w:cs="Ubuntu Mono" w:eastAsia="Ubuntu Mono" w:hAnsi="Ubuntu Mono"/>
      </w:rPr>
    </w:pPr>
    <w:r w:rsidDel="00000000" w:rsidR="00000000" w:rsidRPr="00000000">
      <w:rPr>
        <w:rFonts w:ascii="Ubuntu Mono" w:cs="Ubuntu Mono" w:eastAsia="Ubuntu Mono" w:hAnsi="Ubuntu Mono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Ubuntu Mono" w:cs="Ubuntu Mono" w:eastAsia="Ubuntu Mono" w:hAnsi="Ubuntu Mono"/>
        <w:rtl w:val="0"/>
      </w:rPr>
      <w:t xml:space="preserve">. oldal</w:t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>
        <w:rFonts w:ascii="Ubuntu Mono" w:cs="Ubuntu Mono" w:eastAsia="Ubuntu Mono" w:hAnsi="Ubuntu Mono"/>
        <w:b w:val="1"/>
        <w:bCs w:val="1"/>
        <w:color w:val="999999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>
        <w:rFonts w:ascii="Ubuntu Mono" w:cs="Ubuntu Mono" w:eastAsia="Ubuntu Mono" w:hAnsi="Ubuntu Mono"/>
        <w:b w:val="1"/>
        <w:bCs w:val="1"/>
        <w:color w:val="999999"/>
      </w:rPr>
    </w:pPr>
    <w:r w:rsidDel="00000000" w:rsidR="00000000" w:rsidRPr="00000000">
      <w:rPr>
        <w:rFonts w:ascii="Ubuntu Mono" w:cs="Ubuntu Mono" w:eastAsia="Ubuntu Mono" w:hAnsi="Ubuntu Mono"/>
        <w:b w:val="1"/>
        <w:bCs w:val="1"/>
        <w:color w:val="999999"/>
        <w:rtl w:val="0"/>
      </w:rPr>
      <w:t xml:space="preserve">Battyányi Gergő</w:t>
    </w:r>
  </w:p>
  <w:p w:rsidR="00000000" w:rsidDel="00000000" w:rsidP="00000000" w:rsidRDefault="00000000" w:rsidRPr="00000000" w14:paraId="000000B0">
    <w:pPr>
      <w:rPr>
        <w:rFonts w:ascii="Ubuntu Mono" w:cs="Ubuntu Mono" w:eastAsia="Ubuntu Mono" w:hAnsi="Ubuntu Mono"/>
        <w:b w:val="1"/>
        <w:bCs w:val="1"/>
        <w:color w:val="999999"/>
      </w:rPr>
    </w:pPr>
    <w:r w:rsidDel="00000000" w:rsidR="00000000" w:rsidRPr="00000000">
      <w:rPr>
        <w:rFonts w:ascii="Ubuntu Mono" w:cs="Ubuntu Mono" w:eastAsia="Ubuntu Mono" w:hAnsi="Ubuntu Mono"/>
        <w:b w:val="1"/>
        <w:bCs w:val="1"/>
        <w:color w:val="999999"/>
        <w:rtl w:val="0"/>
      </w:rPr>
      <w:t xml:space="preserve">Nagy Bendegúz Tonuzóba</w:t>
    </w:r>
  </w:p>
  <w:p w:rsidR="00000000" w:rsidDel="00000000" w:rsidP="00000000" w:rsidRDefault="00000000" w:rsidRPr="00000000" w14:paraId="000000B1">
    <w:pPr>
      <w:rPr>
        <w:rFonts w:ascii="Ubuntu Mono" w:cs="Ubuntu Mono" w:eastAsia="Ubuntu Mono" w:hAnsi="Ubuntu Mono"/>
        <w:b w:val="1"/>
        <w:bCs w:val="1"/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6.png"/><Relationship Id="rId21" Type="http://schemas.openxmlformats.org/officeDocument/2006/relationships/image" Target="media/image26.png"/><Relationship Id="rId24" Type="http://schemas.openxmlformats.org/officeDocument/2006/relationships/image" Target="media/image21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6.png"/><Relationship Id="rId25" Type="http://schemas.openxmlformats.org/officeDocument/2006/relationships/image" Target="media/image22.png"/><Relationship Id="rId28" Type="http://schemas.openxmlformats.org/officeDocument/2006/relationships/image" Target="media/image24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23.png"/><Relationship Id="rId7" Type="http://schemas.openxmlformats.org/officeDocument/2006/relationships/image" Target="media/image27.png"/><Relationship Id="rId8" Type="http://schemas.openxmlformats.org/officeDocument/2006/relationships/image" Target="media/image2.png"/><Relationship Id="rId31" Type="http://schemas.openxmlformats.org/officeDocument/2006/relationships/image" Target="media/image9.png"/><Relationship Id="rId30" Type="http://schemas.openxmlformats.org/officeDocument/2006/relationships/image" Target="media/image13.png"/><Relationship Id="rId11" Type="http://schemas.openxmlformats.org/officeDocument/2006/relationships/image" Target="media/image14.png"/><Relationship Id="rId33" Type="http://schemas.openxmlformats.org/officeDocument/2006/relationships/header" Target="header1.xml"/><Relationship Id="rId10" Type="http://schemas.openxmlformats.org/officeDocument/2006/relationships/image" Target="media/image20.png"/><Relationship Id="rId32" Type="http://schemas.openxmlformats.org/officeDocument/2006/relationships/image" Target="media/image19.png"/><Relationship Id="rId13" Type="http://schemas.openxmlformats.org/officeDocument/2006/relationships/image" Target="media/image7.png"/><Relationship Id="rId35" Type="http://schemas.openxmlformats.org/officeDocument/2006/relationships/footer" Target="footer2.xml"/><Relationship Id="rId12" Type="http://schemas.openxmlformats.org/officeDocument/2006/relationships/image" Target="media/image1.png"/><Relationship Id="rId34" Type="http://schemas.openxmlformats.org/officeDocument/2006/relationships/header" Target="header2.xml"/><Relationship Id="rId15" Type="http://schemas.openxmlformats.org/officeDocument/2006/relationships/image" Target="media/image8.png"/><Relationship Id="rId14" Type="http://schemas.openxmlformats.org/officeDocument/2006/relationships/image" Target="media/image18.png"/><Relationship Id="rId36" Type="http://schemas.openxmlformats.org/officeDocument/2006/relationships/footer" Target="footer1.xml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19" Type="http://schemas.openxmlformats.org/officeDocument/2006/relationships/image" Target="media/image15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Mono-regular.ttf"/><Relationship Id="rId2" Type="http://schemas.openxmlformats.org/officeDocument/2006/relationships/font" Target="fonts/UbuntuMono-bold.ttf"/><Relationship Id="rId3" Type="http://schemas.openxmlformats.org/officeDocument/2006/relationships/font" Target="fonts/UbuntuMono-italic.ttf"/><Relationship Id="rId4" Type="http://schemas.openxmlformats.org/officeDocument/2006/relationships/font" Target="fonts/Ubuntu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