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spacing w:after="240"/>
        <w:jc w:val="center"/>
      </w:pPr>
      <w:r>
        <w:rPr>
          <w:rFonts w:ascii="Calibri" w:hAnsi="Calibri"/>
          <w:b/>
          <w:color w:val="1E3A8A"/>
          <w:sz w:val="48"/>
        </w:rPr>
        <w:t>FoodFlow Analytics: Food Delivery Performance and Operational Intelligence Dashboard</w:t>
      </w:r>
    </w:p>
    <w:p>
      <w:pPr>
        <w:spacing w:after="2800"/>
        <w:jc w:val="center"/>
      </w:pPr>
      <w:r>
        <w:rPr>
          <w:rFonts w:ascii="Calibri" w:hAnsi="Calibri"/>
          <w:i/>
          <w:color w:val="2563EB"/>
          <w:sz w:val="26"/>
        </w:rPr>
        <w:t>A Comprehensive Data Analytics, REST API, and Operational Reporting Platform for Egyptian Food Delivery Operations</w:t>
      </w:r>
    </w:p>
    <w:p>
      <w:pPr>
        <w:spacing w:line="312" w:lineRule="auto"/>
        <w:jc w:val="center"/>
      </w:pPr>
      <w:r>
        <w:rPr>
          <w:color w:val="64748B"/>
          <w:sz w:val="22"/>
        </w:rPr>
        <w:t>Prepared By:</w:t>
        <w:br/>
      </w:r>
      <w:r>
        <w:rPr>
          <w:b/>
          <w:color w:val="1E3A8A"/>
          <w:sz w:val="28"/>
        </w:rPr>
        <w:t>Boddeda Prudhvi</w:t>
        <w:br/>
        <w:br/>
      </w:r>
      <w:r>
        <w:rPr>
          <w:color w:val="64748B"/>
          <w:sz w:val="22"/>
        </w:rPr>
        <w:t>Institution:</w:t>
        <w:br/>
      </w:r>
      <w:r>
        <w:rPr>
          <w:b/>
          <w:color w:val="1F2937"/>
          <w:sz w:val="24"/>
        </w:rPr>
        <w:t>Lendi Institute of Engineering and Technology</w:t>
        <w:br/>
        <w:br/>
      </w:r>
      <w:r>
        <w:rPr>
          <w:color w:val="64748B"/>
          <w:sz w:val="22"/>
        </w:rPr>
        <w:t>Project Domain:</w:t>
        <w:br/>
      </w:r>
      <w:r>
        <w:rPr>
          <w:b/>
          <w:color w:val="1F2937"/>
          <w:sz w:val="24"/>
        </w:rPr>
        <w:t>Data Analytics &amp; Systems Engineering</w:t>
        <w:br/>
        <w:br/>
      </w:r>
      <w:r>
        <w:rPr>
          <w:i/>
          <w:color w:val="64748B"/>
          <w:sz w:val="20"/>
        </w:rPr>
        <w:t>Academic Project Report — October 2026</w:t>
      </w:r>
    </w:p>
    <w:p>
      <w:r>
        <w:br w:type="page"/>
      </w:r>
    </w:p>
    <w:p>
      <w:pPr>
        <w:keepNext/>
        <w:spacing w:before="320" w:after="120"/>
      </w:pPr>
      <w:r>
        <w:rPr>
          <w:rFonts w:ascii="Calibri" w:hAnsi="Calibri"/>
          <w:b/>
          <w:color w:val="1E3A8A"/>
          <w:sz w:val="36"/>
        </w:rPr>
        <w:t>1. ABSTRACT</w:t>
      </w:r>
    </w:p>
    <w:p>
      <w:r>
        <w:rPr>
          <w:rFonts w:ascii="Calibri" w:hAnsi="Calibri"/>
          <w:color w:val="1F2937"/>
          <w:sz w:val="22"/>
        </w:rPr>
        <w:t>The rapid expansion of hyper-local food delivery platforms across urban centers in Egypt has heightened the operational complexity of managing delivery fulfillment, transit durations, and Service Level Agreement (SLA) compliance. FoodFlow Analytics addresses this challenge by delivering an end-to-end data analytics and operational intelligence dashboard specifically tailored for Egyptian food delivery operations. Operating on a benchmark dataset of 10,000 delivery orders spanning seven major Egyptian municipalities (Cairo, Alexandria, Giza, Mansoura, Tanta, Zagazig, and Assiut), the system cleans, transforms, and analyzes 55 raw and engineered operational fields across multiple dimensions.</w:t>
      </w:r>
    </w:p>
    <w:p>
      <w:r>
        <w:rPr>
          <w:rFonts w:ascii="Calibri" w:hAnsi="Calibri"/>
          <w:color w:val="1F2937"/>
          <w:sz w:val="22"/>
        </w:rPr>
        <w:t>The application architecture combines a high-performance Python 3.12 FastAPI REST backend with a modern Vite, React 18, and TypeScript single-page application frontend. The platform provides real-time multi-parameter query filtering across eight operational dimensions, recalculating key metrics dynamically. Operational findings indicate a baseline fulfillment completion rate of 85.20% (8,520 orders), a cancellation rate of 9.80% (980 orders), and an overall SLA delay rate of 24.17% (24.26% among completed orders exceeding the 45-minute threshold). Pearson correlation analysis reveals that physical trip distance exhibits a near-zero correlation with turnaround duration (r = -0.0119), demonstrating that kitchen preparation, order pickup, and dispatch queueing dominate total fulfillment time. The system features an interactive Overview dashboard, Geographic Market breakdown, Traffic &amp; Temporal delay analyzer, dynamic diagnostic insights engine, raw Data Explorer, and native `@media print` PDF report export.</w:t>
      </w:r>
    </w:p>
    <w:p>
      <w:pPr>
        <w:keepNext/>
        <w:spacing w:before="320" w:after="120"/>
      </w:pPr>
      <w:r>
        <w:rPr>
          <w:rFonts w:ascii="Calibri" w:hAnsi="Calibri"/>
          <w:b/>
          <w:color w:val="1E3A8A"/>
          <w:sz w:val="36"/>
        </w:rPr>
        <w:t>2. INTRODUCTION</w:t>
      </w:r>
    </w:p>
    <w:p>
      <w:r>
        <w:rPr>
          <w:rFonts w:ascii="Calibri" w:hAnsi="Calibri"/>
          <w:color w:val="1F2937"/>
          <w:sz w:val="22"/>
        </w:rPr>
        <w:t>In modern urban commerce, food delivery logistics represent a vital intersection of customer experience, merchant throughput, and fleet efficiency. Across Egyptian metropolitan markets, food delivery platforms manage thousands of daily orders originating from diverse restaurant kitchens, navigated by multi-modal courier fleets (bicycles, motorbikes, and cars), and delivered across varying urban traffic conditions. Managing these operations requires granular, real-time visibility into fulfillment bottlenecks and turnaround durations.</w:t>
      </w:r>
    </w:p>
    <w:p>
      <w:r>
        <w:rPr>
          <w:rFonts w:ascii="Calibri" w:hAnsi="Calibri"/>
          <w:color w:val="1F2937"/>
          <w:sz w:val="22"/>
        </w:rPr>
        <w:t>Delivery turnaround time—the duration between customer order placement and final order drop-off—is the primary driver of customer satisfaction and operational profitability. Breaches in Service Level Agreements (SLAs), defined in this system as total delivery durations exceeding 45 minutes, lead to cold food, customer churn, driver dissatisfaction, and financial losses from order cancellations. However, operational metrics are heavily influenced by interacting factors including city municipality geography, urban traffic congestion levels, time-of-day peak segments, day-of-week demand patterns, fleet vehicle modal splits, trip distances, and basket size dimensions.</w:t>
      </w:r>
    </w:p>
    <w:p>
      <w:r>
        <w:rPr>
          <w:rFonts w:ascii="Calibri" w:hAnsi="Calibri"/>
          <w:color w:val="1F2937"/>
          <w:sz w:val="22"/>
        </w:rPr>
        <w:t>FoodFlow Analytics was developed to bridge the gap between raw, static logistics records and interactive operational intelligence. By structuring, feature-engineering, and analyzing historical delivery telemetry through a dynamic web application, FoodFlow Analytics empowers logistics managers and operations executives to evaluate SLA performance, diagnose delay drivers, and make evidence-based operational decisions.</w:t>
      </w:r>
    </w:p>
    <w:p>
      <w:pPr>
        <w:keepNext/>
        <w:spacing w:before="320" w:after="120"/>
      </w:pPr>
      <w:r>
        <w:rPr>
          <w:rFonts w:ascii="Calibri" w:hAnsi="Calibri"/>
          <w:b/>
          <w:color w:val="1E3A8A"/>
          <w:sz w:val="36"/>
        </w:rPr>
        <w:t>3. PROBLEM STATEMENT</w:t>
      </w:r>
    </w:p>
    <w:p>
      <w:r>
        <w:rPr>
          <w:rFonts w:ascii="Calibri" w:hAnsi="Calibri"/>
          <w:color w:val="1F2937"/>
          <w:sz w:val="22"/>
        </w:rPr>
        <w:t>Raw food delivery dataset logs contain high-volume, multi-dimensional telemetric records that are difficult to interpret directly through static spreadsheets or manual database queries. Operations management teams frequently struggle with three primary challenges:</w:t>
      </w:r>
    </w:p>
    <w:p>
      <w:pPr>
        <w:pStyle w:val="ListBullet"/>
        <w:spacing w:after="80"/>
      </w:pPr>
      <w:r>
        <w:rPr>
          <w:rFonts w:ascii="Calibri" w:hAnsi="Calibri"/>
          <w:b/>
          <w:color w:val="1F2937"/>
          <w:sz w:val="22"/>
        </w:rPr>
        <w:t xml:space="preserve">1. Fragmented Operational Telemetry: </w:t>
      </w:r>
      <w:r>
        <w:rPr>
          <w:rFonts w:ascii="Calibri" w:hAnsi="Calibri"/>
          <w:color w:val="1F2937"/>
          <w:sz w:val="22"/>
        </w:rPr>
        <w:t>Raw delivery logs store disparate spatial, temporal, and financial metrics without standardized operational KPIs, making it cumbersome to establish benchmark performance rates.</w:t>
      </w:r>
    </w:p>
    <w:p>
      <w:pPr>
        <w:pStyle w:val="ListBullet"/>
        <w:spacing w:after="80"/>
      </w:pPr>
      <w:r>
        <w:rPr>
          <w:rFonts w:ascii="Calibri" w:hAnsi="Calibri"/>
          <w:b/>
          <w:color w:val="1F2937"/>
          <w:sz w:val="22"/>
        </w:rPr>
        <w:t xml:space="preserve">2. Lack of Dynamic Multi-Dimensional Slicing: </w:t>
      </w:r>
      <w:r>
        <w:rPr>
          <w:rFonts w:ascii="Calibri" w:hAnsi="Calibri"/>
          <w:color w:val="1F2937"/>
          <w:sz w:val="22"/>
        </w:rPr>
        <w:t>Static reports fail to allow dynamic slicing across specific combinations of variables (e.g., evaluating high-traffic motorbike performance in Cairo during evening peak hours), obscuring localized operational bottlenecks.</w:t>
      </w:r>
    </w:p>
    <w:p>
      <w:pPr>
        <w:pStyle w:val="ListBullet"/>
        <w:spacing w:after="80"/>
      </w:pPr>
      <w:r>
        <w:rPr>
          <w:rFonts w:ascii="Calibri" w:hAnsi="Calibri"/>
          <w:b/>
          <w:color w:val="1F2937"/>
          <w:sz w:val="22"/>
        </w:rPr>
        <w:t xml:space="preserve">3. Misinterpretation of Delay Drivers: </w:t>
      </w:r>
      <w:r>
        <w:rPr>
          <w:rFonts w:ascii="Calibri" w:hAnsi="Calibri"/>
          <w:color w:val="1F2937"/>
          <w:sz w:val="22"/>
        </w:rPr>
        <w:t>Decision-makers often confuse observational correlation with operational causality, leading to misdirected interventions such as altering driver speed incentives when kitchen dispatch delays are the primary bottleneck.</w:t>
      </w:r>
    </w:p>
    <w:p>
      <w:r>
        <w:rPr>
          <w:rFonts w:ascii="Calibri" w:hAnsi="Calibri"/>
          <w:color w:val="1F2937"/>
          <w:sz w:val="22"/>
        </w:rPr>
        <w:t>FoodFlow Analytics solves these problems by ingesting, standardizing, and presenting delivery data through a dynamic, interactive analytical platform. It converts raw telemetric records into clear descriptive KPIs, dynamic distribution visualizers, and exportable analytical reports without relying on opaque black-box assumptions.</w:t>
      </w:r>
    </w:p>
    <w:p>
      <w:pPr>
        <w:keepNext/>
        <w:spacing w:before="320" w:after="120"/>
      </w:pPr>
      <w:r>
        <w:rPr>
          <w:rFonts w:ascii="Calibri" w:hAnsi="Calibri"/>
          <w:b/>
          <w:color w:val="1E3A8A"/>
          <w:sz w:val="36"/>
        </w:rPr>
        <w:t>4. OBJECTIVES</w:t>
      </w:r>
    </w:p>
    <w:p>
      <w:r>
        <w:rPr>
          <w:rFonts w:ascii="Calibri" w:hAnsi="Calibri"/>
          <w:color w:val="1F2937"/>
          <w:sz w:val="22"/>
        </w:rPr>
        <w:t>The primary objective of the FoodFlow Analytics project is to build an end-to-end data analytics dashboard and reporting system. Specific operational objectives include:</w:t>
      </w:r>
    </w:p>
    <w:p>
      <w:pPr>
        <w:pStyle w:val="ListBullet"/>
        <w:spacing w:after="80"/>
      </w:pPr>
      <w:r>
        <w:rPr>
          <w:rFonts w:ascii="Calibri" w:hAnsi="Calibri"/>
          <w:b/>
          <w:color w:val="1F2937"/>
          <w:sz w:val="22"/>
        </w:rPr>
        <w:t xml:space="preserve">1. Dataset Pipeline &amp; Engineering: </w:t>
      </w:r>
      <w:r>
        <w:rPr>
          <w:rFonts w:ascii="Calibri" w:hAnsi="Calibri"/>
          <w:color w:val="1F2937"/>
          <w:sz w:val="22"/>
        </w:rPr>
        <w:t>Clean, validate, and feature-engineer raw delivery logs into a standardized 10,000-order representative dataset.</w:t>
      </w:r>
    </w:p>
    <w:p>
      <w:pPr>
        <w:pStyle w:val="ListBullet"/>
        <w:spacing w:after="80"/>
      </w:pPr>
      <w:r>
        <w:rPr>
          <w:rFonts w:ascii="Calibri" w:hAnsi="Calibri"/>
          <w:b/>
          <w:color w:val="1F2937"/>
          <w:sz w:val="22"/>
        </w:rPr>
        <w:t xml:space="preserve">2. KPI Calculation Engine: </w:t>
      </w:r>
      <w:r>
        <w:rPr>
          <w:rFonts w:ascii="Calibri" w:hAnsi="Calibri"/>
          <w:color w:val="1F2937"/>
          <w:sz w:val="22"/>
        </w:rPr>
        <w:t>Calculate core operational KPIs including fulfillment completion rate, cancellation rate, SLA delay rate, mean duration, median duration, and Average Order Value (AOV).</w:t>
      </w:r>
    </w:p>
    <w:p>
      <w:pPr>
        <w:pStyle w:val="ListBullet"/>
        <w:spacing w:after="80"/>
      </w:pPr>
      <w:r>
        <w:rPr>
          <w:rFonts w:ascii="Calibri" w:hAnsi="Calibri"/>
          <w:b/>
          <w:color w:val="1F2937"/>
          <w:sz w:val="22"/>
        </w:rPr>
        <w:t xml:space="preserve">3. REST API Architecture: </w:t>
      </w:r>
      <w:r>
        <w:rPr>
          <w:rFonts w:ascii="Calibri" w:hAnsi="Calibri"/>
          <w:color w:val="1F2937"/>
          <w:sz w:val="22"/>
        </w:rPr>
        <w:t>Develop a scalable Python FastAPI backend exposing 18 RESTful endpoints for analytical queries and data exploration.</w:t>
      </w:r>
    </w:p>
    <w:p>
      <w:pPr>
        <w:pStyle w:val="ListBullet"/>
        <w:spacing w:after="80"/>
      </w:pPr>
      <w:r>
        <w:rPr>
          <w:rFonts w:ascii="Calibri" w:hAnsi="Calibri"/>
          <w:b/>
          <w:color w:val="1F2937"/>
          <w:sz w:val="22"/>
        </w:rPr>
        <w:t xml:space="preserve">4. Dynamic Filtering System: </w:t>
      </w:r>
      <w:r>
        <w:rPr>
          <w:rFonts w:ascii="Calibri" w:hAnsi="Calibri"/>
          <w:color w:val="1F2937"/>
          <w:sz w:val="22"/>
        </w:rPr>
        <w:t>Implement real-time multi-parameter query filtering across eight operational dimensions with global state synchronization.</w:t>
      </w:r>
    </w:p>
    <w:p>
      <w:pPr>
        <w:pStyle w:val="ListBullet"/>
        <w:spacing w:after="80"/>
      </w:pPr>
      <w:r>
        <w:rPr>
          <w:rFonts w:ascii="Calibri" w:hAnsi="Calibri"/>
          <w:b/>
          <w:color w:val="1F2937"/>
          <w:sz w:val="22"/>
        </w:rPr>
        <w:t xml:space="preserve">5. Interactive Dashboard UI: </w:t>
      </w:r>
      <w:r>
        <w:rPr>
          <w:rFonts w:ascii="Calibri" w:hAnsi="Calibri"/>
          <w:color w:val="1F2937"/>
          <w:sz w:val="22"/>
        </w:rPr>
        <w:t>Construct an intuitive React + TypeScript single-page dashboard featuring responsive charts, tables, dynamic insight cards, and a raw record explorer.</w:t>
      </w:r>
    </w:p>
    <w:p>
      <w:pPr>
        <w:pStyle w:val="ListBullet"/>
        <w:spacing w:after="80"/>
      </w:pPr>
      <w:r>
        <w:rPr>
          <w:rFonts w:ascii="Calibri" w:hAnsi="Calibri"/>
          <w:b/>
          <w:color w:val="1F2937"/>
          <w:sz w:val="22"/>
        </w:rPr>
        <w:t xml:space="preserve">6. Automated Reporting: </w:t>
      </w:r>
      <w:r>
        <w:rPr>
          <w:rFonts w:ascii="Calibri" w:hAnsi="Calibri"/>
          <w:color w:val="1F2937"/>
          <w:sz w:val="22"/>
        </w:rPr>
        <w:t>Integrate native PDF/print report generation capabilities allowing operational executives to export publication-ready reports directly from the browser.</w:t>
      </w:r>
    </w:p>
    <w:p>
      <w:pPr>
        <w:pStyle w:val="ListBullet"/>
        <w:spacing w:after="80"/>
      </w:pPr>
      <w:r>
        <w:rPr>
          <w:rFonts w:ascii="Calibri" w:hAnsi="Calibri"/>
          <w:b/>
          <w:color w:val="1F2937"/>
          <w:sz w:val="22"/>
        </w:rPr>
        <w:t xml:space="preserve">7. Quality Assurance &amp; Parity: </w:t>
      </w:r>
      <w:r>
        <w:rPr>
          <w:rFonts w:ascii="Calibri" w:hAnsi="Calibri"/>
          <w:color w:val="1F2937"/>
          <w:sz w:val="22"/>
        </w:rPr>
        <w:t>Enforce rigorous code quality standards verified by automated Pytest backend suites and zero-error TypeScript compilation.</w:t>
      </w:r>
    </w:p>
    <w:p>
      <w:pPr>
        <w:keepNext/>
        <w:spacing w:before="320" w:after="120"/>
      </w:pPr>
      <w:r>
        <w:rPr>
          <w:rFonts w:ascii="Calibri" w:hAnsi="Calibri"/>
          <w:b/>
          <w:color w:val="1E3A8A"/>
          <w:sz w:val="36"/>
        </w:rPr>
        <w:t>5. DATASET DESCRIPTION</w:t>
      </w:r>
    </w:p>
    <w:p>
      <w:r>
        <w:rPr>
          <w:rFonts w:ascii="Calibri" w:hAnsi="Calibri"/>
          <w:color w:val="1F2937"/>
          <w:sz w:val="22"/>
        </w:rPr>
        <w:t>The FoodFlow Analytics project is built upon a curated 10,000-record benchmark dataset (`data/processed/food_delivery_10k.csv`). The original raw population comprised 100,002 delivery orders collected from a simulated food delivery platform operating in Egypt between June 1, 2025, and June 16, 2025. Through a rigorous sampling and preprocessing pipeline (Phase 2), a representative 10,000-order dataset was derived, preserving exact statistical distributions across all spatial, temporal, and categorical variables.</w:t>
      </w:r>
    </w:p>
    <w:p>
      <w:r>
        <w:rPr>
          <w:rFonts w:ascii="Calibri" w:hAnsi="Calibri"/>
          <w:color w:val="1F2937"/>
          <w:sz w:val="22"/>
        </w:rPr>
        <w:t>The dataset covers 6,048 unique customers, 1,000 registered restaurants, and 500 active delivery couriers operating across seven major Egyptian cities:</w:t>
      </w:r>
    </w:p>
    <w:p>
      <w:pPr>
        <w:pStyle w:val="ListBullet"/>
        <w:spacing w:after="80"/>
      </w:pPr>
      <w:r>
        <w:rPr>
          <w:rFonts w:ascii="Calibri" w:hAnsi="Calibri"/>
          <w:b/>
          <w:color w:val="1F2937"/>
          <w:sz w:val="22"/>
        </w:rPr>
        <w:t xml:space="preserve">Municipal Coverage: </w:t>
      </w:r>
      <w:r>
        <w:rPr>
          <w:rFonts w:ascii="Calibri" w:hAnsi="Calibri"/>
          <w:color w:val="1F2937"/>
          <w:sz w:val="22"/>
        </w:rPr>
        <w:t>Cairo, Alexandria, Giza, Mansoura, Tanta, Zagazig, and Assiut.</w:t>
      </w:r>
    </w:p>
    <w:p>
      <w:pPr>
        <w:pStyle w:val="ListBullet"/>
        <w:spacing w:after="80"/>
      </w:pPr>
      <w:r>
        <w:rPr>
          <w:rFonts w:ascii="Calibri" w:hAnsi="Calibri"/>
          <w:b/>
          <w:color w:val="1F2937"/>
          <w:sz w:val="22"/>
        </w:rPr>
        <w:t xml:space="preserve">Temporal Segments: </w:t>
      </w:r>
      <w:r>
        <w:rPr>
          <w:rFonts w:ascii="Calibri" w:hAnsi="Calibri"/>
          <w:color w:val="1F2937"/>
          <w:sz w:val="22"/>
        </w:rPr>
        <w:t>Early Morning (00:00–04:00), Morning (04:00–08:00), Afternoon (08:00–12:00), Evening (12:00–16:00), Night (16:00–20:00), and Late Night (20:00–24:00).</w:t>
      </w:r>
    </w:p>
    <w:p>
      <w:pPr>
        <w:pStyle w:val="ListBullet"/>
        <w:spacing w:after="80"/>
      </w:pPr>
      <w:r>
        <w:rPr>
          <w:rFonts w:ascii="Calibri" w:hAnsi="Calibri"/>
          <w:b/>
          <w:color w:val="1F2937"/>
          <w:sz w:val="22"/>
        </w:rPr>
        <w:t xml:space="preserve">Fleet Vehicle Modes: </w:t>
      </w:r>
      <w:r>
        <w:rPr>
          <w:rFonts w:ascii="Calibri" w:hAnsi="Calibri"/>
          <w:color w:val="1F2937"/>
          <w:sz w:val="22"/>
        </w:rPr>
        <w:t>Bicycle, Motorbike, and Car.</w:t>
      </w:r>
    </w:p>
    <w:p>
      <w:pPr>
        <w:keepNext/>
        <w:spacing w:before="320" w:after="120"/>
      </w:pPr>
      <w:r>
        <w:rPr>
          <w:rFonts w:ascii="Calibri" w:hAnsi="Calibri"/>
          <w:b/>
          <w:color w:val="1E3A8A"/>
          <w:sz w:val="36"/>
        </w:rPr>
        <w:t>6. DATA DICTIONARY</w:t>
      </w:r>
    </w:p>
    <w:p>
      <w:r>
        <w:rPr>
          <w:rFonts w:ascii="Calibri" w:hAnsi="Calibri"/>
          <w:color w:val="1F2937"/>
          <w:sz w:val="22"/>
        </w:rPr>
        <w:t>Table 6.1 details 20 primary fields from the 55-column analytical dataset, outlining data types, domain descriptions, and operational roles.</w:t>
      </w:r>
    </w:p>
    <w:tbl>
      <w:tblPr>
        <w:tblW w:type="auto" w:w="0"/>
        <w:jc w:val="center"/>
        <w:tblLook w:firstColumn="1" w:firstRow="1" w:lastColumn="0" w:lastRow="0" w:noHBand="0" w:noVBand="1" w:val="04A0"/>
        <w:tblBorders>
          <w:top w:val="single" w:sz="4" w:space="0" w:color="CBD5E1"/>
          <w:bottom w:val="single" w:sz="6" w:space="0" w:color="1E3A8A"/>
          <w:insideH w:val="single" w:sz="4" w:space="0" w:color="CBD5E1"/>
          <w:insideV w:val="none"/>
          <w:left w:val="none"/>
          <w:right w:val="none"/>
        </w:tblBorders>
      </w:tblPr>
      <w:tblGrid>
        <w:gridCol w:w="2340"/>
        <w:gridCol w:w="2340"/>
        <w:gridCol w:w="2340"/>
        <w:gridCol w:w="2340"/>
      </w:tblGrid>
      <w:tr>
        <w:tc>
          <w:tcPr>
            <w:tcW w:type="dxa" w:w="2592"/>
            <w:shd w:fill="1E3A8A"/>
            <w:tcMar>
              <w:top w:w="80" w:type="dxa"/>
              <w:bottom w:w="80" w:type="dxa"/>
              <w:left w:w="120" w:type="dxa"/>
              <w:right w:w="120" w:type="dxa"/>
            </w:tcMar>
          </w:tcPr>
          <w:p>
            <w:pPr>
              <w:jc w:val="left"/>
            </w:pPr>
            <w:r>
              <w:rPr>
                <w:rFonts w:ascii="Calibri" w:hAnsi="Calibri"/>
                <w:b/>
                <w:color w:val="FFFFFF"/>
                <w:sz w:val="20"/>
              </w:rPr>
              <w:t>Field Name</w:t>
            </w:r>
          </w:p>
        </w:tc>
        <w:tc>
          <w:tcPr>
            <w:tcW w:type="dxa" w:w="1440"/>
            <w:shd w:fill="1E3A8A"/>
            <w:tcMar>
              <w:top w:w="80" w:type="dxa"/>
              <w:bottom w:w="80" w:type="dxa"/>
              <w:left w:w="120" w:type="dxa"/>
              <w:right w:w="120" w:type="dxa"/>
            </w:tcMar>
          </w:tcPr>
          <w:p>
            <w:pPr>
              <w:jc w:val="left"/>
            </w:pPr>
            <w:r>
              <w:rPr>
                <w:rFonts w:ascii="Calibri" w:hAnsi="Calibri"/>
                <w:b/>
                <w:color w:val="FFFFFF"/>
                <w:sz w:val="20"/>
              </w:rPr>
              <w:t>Data Type</w:t>
            </w:r>
          </w:p>
        </w:tc>
        <w:tc>
          <w:tcPr>
            <w:tcW w:type="dxa" w:w="3600"/>
            <w:shd w:fill="1E3A8A"/>
            <w:tcMar>
              <w:top w:w="80" w:type="dxa"/>
              <w:bottom w:w="80" w:type="dxa"/>
              <w:left w:w="120" w:type="dxa"/>
              <w:right w:w="120" w:type="dxa"/>
            </w:tcMar>
          </w:tcPr>
          <w:p>
            <w:pPr>
              <w:jc w:val="left"/>
            </w:pPr>
            <w:r>
              <w:rPr>
                <w:rFonts w:ascii="Calibri" w:hAnsi="Calibri"/>
                <w:b/>
                <w:color w:val="FFFFFF"/>
                <w:sz w:val="20"/>
              </w:rPr>
              <w:t>Description</w:t>
            </w:r>
          </w:p>
        </w:tc>
        <w:tc>
          <w:tcPr>
            <w:tcW w:type="dxa" w:w="1728"/>
            <w:shd w:fill="1E3A8A"/>
            <w:tcMar>
              <w:top w:w="80" w:type="dxa"/>
              <w:bottom w:w="80" w:type="dxa"/>
              <w:left w:w="120" w:type="dxa"/>
              <w:right w:w="120" w:type="dxa"/>
            </w:tcMar>
          </w:tcPr>
          <w:p>
            <w:pPr>
              <w:jc w:val="left"/>
            </w:pPr>
            <w:r>
              <w:rPr>
                <w:rFonts w:ascii="Calibri" w:hAnsi="Calibri"/>
                <w:b/>
                <w:color w:val="FFFFFF"/>
                <w:sz w:val="20"/>
              </w:rPr>
              <w:t>Role in Analysis</w:t>
            </w:r>
          </w:p>
        </w:tc>
      </w:tr>
      <w:tr>
        <w:tc>
          <w:tcPr>
            <w:tcW w:type="dxa" w:w="2592"/>
            <w:shd w:fill="FFFFFF"/>
            <w:tcMar>
              <w:top w:w="80" w:type="dxa"/>
              <w:bottom w:w="80" w:type="dxa"/>
              <w:left w:w="120" w:type="dxa"/>
              <w:right w:w="120" w:type="dxa"/>
            </w:tcMar>
          </w:tcPr>
          <w:p>
            <w:pPr>
              <w:jc w:val="left"/>
            </w:pPr>
            <w:r>
              <w:rPr>
                <w:rFonts w:ascii="Calibri" w:hAnsi="Calibri"/>
                <w:color w:val="1F2937"/>
                <w:sz w:val="19"/>
              </w:rPr>
              <w:t>Order_ID</w:t>
            </w:r>
          </w:p>
        </w:tc>
        <w:tc>
          <w:tcPr>
            <w:tcW w:type="dxa" w:w="1440"/>
            <w:shd w:fill="FFFFFF"/>
            <w:tcMar>
              <w:top w:w="80" w:type="dxa"/>
              <w:bottom w:w="80" w:type="dxa"/>
              <w:left w:w="120" w:type="dxa"/>
              <w:right w:w="120" w:type="dxa"/>
            </w:tcMar>
          </w:tcPr>
          <w:p>
            <w:pPr>
              <w:jc w:val="left"/>
            </w:pPr>
            <w:r>
              <w:rPr>
                <w:rFonts w:ascii="Calibri" w:hAnsi="Calibri"/>
                <w:color w:val="1F2937"/>
                <w:sz w:val="19"/>
              </w:rPr>
              <w:t>Int64</w:t>
            </w:r>
          </w:p>
        </w:tc>
        <w:tc>
          <w:tcPr>
            <w:tcW w:type="dxa" w:w="3600"/>
            <w:shd w:fill="FFFFFF"/>
            <w:tcMar>
              <w:top w:w="80" w:type="dxa"/>
              <w:bottom w:w="80" w:type="dxa"/>
              <w:left w:w="120" w:type="dxa"/>
              <w:right w:w="120" w:type="dxa"/>
            </w:tcMar>
          </w:tcPr>
          <w:p>
            <w:pPr>
              <w:jc w:val="left"/>
            </w:pPr>
            <w:r>
              <w:rPr>
                <w:rFonts w:ascii="Calibri" w:hAnsi="Calibri"/>
                <w:color w:val="1F2937"/>
                <w:sz w:val="19"/>
              </w:rPr>
              <w:t>Unique sequential order identifier</w:t>
            </w:r>
          </w:p>
        </w:tc>
        <w:tc>
          <w:tcPr>
            <w:tcW w:type="dxa" w:w="1728"/>
            <w:shd w:fill="FFFFFF"/>
            <w:tcMar>
              <w:top w:w="80" w:type="dxa"/>
              <w:bottom w:w="80" w:type="dxa"/>
              <w:left w:w="120" w:type="dxa"/>
              <w:right w:w="120" w:type="dxa"/>
            </w:tcMar>
          </w:tcPr>
          <w:p>
            <w:pPr>
              <w:jc w:val="left"/>
            </w:pPr>
            <w:r>
              <w:rPr>
                <w:rFonts w:ascii="Calibri" w:hAnsi="Calibri"/>
                <w:color w:val="1F2937"/>
                <w:sz w:val="19"/>
              </w:rPr>
              <w:t>Primary Key</w:t>
            </w:r>
          </w:p>
        </w:tc>
      </w:tr>
      <w:tr>
        <w:tc>
          <w:tcPr>
            <w:tcW w:type="dxa" w:w="2592"/>
            <w:shd w:fill="F8FAFC"/>
            <w:tcMar>
              <w:top w:w="80" w:type="dxa"/>
              <w:bottom w:w="80" w:type="dxa"/>
              <w:left w:w="120" w:type="dxa"/>
              <w:right w:w="120" w:type="dxa"/>
            </w:tcMar>
          </w:tcPr>
          <w:p>
            <w:pPr>
              <w:jc w:val="left"/>
            </w:pPr>
            <w:r>
              <w:rPr>
                <w:rFonts w:ascii="Calibri" w:hAnsi="Calibri"/>
                <w:color w:val="1F2937"/>
                <w:sz w:val="19"/>
              </w:rPr>
              <w:t>User_ID</w:t>
            </w:r>
          </w:p>
        </w:tc>
        <w:tc>
          <w:tcPr>
            <w:tcW w:type="dxa" w:w="1440"/>
            <w:shd w:fill="F8FAFC"/>
            <w:tcMar>
              <w:top w:w="80" w:type="dxa"/>
              <w:bottom w:w="80" w:type="dxa"/>
              <w:left w:w="120" w:type="dxa"/>
              <w:right w:w="120" w:type="dxa"/>
            </w:tcMar>
          </w:tcPr>
          <w:p>
            <w:pPr>
              <w:jc w:val="left"/>
            </w:pPr>
            <w:r>
              <w:rPr>
                <w:rFonts w:ascii="Calibri" w:hAnsi="Calibri"/>
                <w:color w:val="1F2937"/>
                <w:sz w:val="19"/>
              </w:rPr>
              <w:t>String</w:t>
            </w:r>
          </w:p>
        </w:tc>
        <w:tc>
          <w:tcPr>
            <w:tcW w:type="dxa" w:w="3600"/>
            <w:shd w:fill="F8FAFC"/>
            <w:tcMar>
              <w:top w:w="80" w:type="dxa"/>
              <w:bottom w:w="80" w:type="dxa"/>
              <w:left w:w="120" w:type="dxa"/>
              <w:right w:w="120" w:type="dxa"/>
            </w:tcMar>
          </w:tcPr>
          <w:p>
            <w:pPr>
              <w:jc w:val="left"/>
            </w:pPr>
            <w:r>
              <w:rPr>
                <w:rFonts w:ascii="Calibri" w:hAnsi="Calibri"/>
                <w:color w:val="1F2937"/>
                <w:sz w:val="19"/>
              </w:rPr>
              <w:t>Customer identifier (Format U####)</w:t>
            </w:r>
          </w:p>
        </w:tc>
        <w:tc>
          <w:tcPr>
            <w:tcW w:type="dxa" w:w="1728"/>
            <w:shd w:fill="F8FAFC"/>
            <w:tcMar>
              <w:top w:w="80" w:type="dxa"/>
              <w:bottom w:w="80" w:type="dxa"/>
              <w:left w:w="120" w:type="dxa"/>
              <w:right w:w="120" w:type="dxa"/>
            </w:tcMar>
          </w:tcPr>
          <w:p>
            <w:pPr>
              <w:jc w:val="left"/>
            </w:pPr>
            <w:r>
              <w:rPr>
                <w:rFonts w:ascii="Calibri" w:hAnsi="Calibri"/>
                <w:color w:val="1F2937"/>
                <w:sz w:val="19"/>
              </w:rPr>
              <w:t>Customer Tracking</w:t>
            </w:r>
          </w:p>
        </w:tc>
      </w:tr>
      <w:tr>
        <w:tc>
          <w:tcPr>
            <w:tcW w:type="dxa" w:w="2592"/>
            <w:shd w:fill="FFFFFF"/>
            <w:tcMar>
              <w:top w:w="80" w:type="dxa"/>
              <w:bottom w:w="80" w:type="dxa"/>
              <w:left w:w="120" w:type="dxa"/>
              <w:right w:w="120" w:type="dxa"/>
            </w:tcMar>
          </w:tcPr>
          <w:p>
            <w:pPr>
              <w:jc w:val="left"/>
            </w:pPr>
            <w:r>
              <w:rPr>
                <w:rFonts w:ascii="Calibri" w:hAnsi="Calibri"/>
                <w:color w:val="1F2937"/>
                <w:sz w:val="19"/>
              </w:rPr>
              <w:t>Restaurant_ID</w:t>
            </w:r>
          </w:p>
        </w:tc>
        <w:tc>
          <w:tcPr>
            <w:tcW w:type="dxa" w:w="1440"/>
            <w:shd w:fill="FFFFFF"/>
            <w:tcMar>
              <w:top w:w="80" w:type="dxa"/>
              <w:bottom w:w="80" w:type="dxa"/>
              <w:left w:w="120" w:type="dxa"/>
              <w:right w:w="120" w:type="dxa"/>
            </w:tcMar>
          </w:tcPr>
          <w:p>
            <w:pPr>
              <w:jc w:val="left"/>
            </w:pPr>
            <w:r>
              <w:rPr>
                <w:rFonts w:ascii="Calibri" w:hAnsi="Calibri"/>
                <w:color w:val="1F2937"/>
                <w:sz w:val="19"/>
              </w:rPr>
              <w:t>Int64</w:t>
            </w:r>
          </w:p>
        </w:tc>
        <w:tc>
          <w:tcPr>
            <w:tcW w:type="dxa" w:w="3600"/>
            <w:shd w:fill="FFFFFF"/>
            <w:tcMar>
              <w:top w:w="80" w:type="dxa"/>
              <w:bottom w:w="80" w:type="dxa"/>
              <w:left w:w="120" w:type="dxa"/>
              <w:right w:w="120" w:type="dxa"/>
            </w:tcMar>
          </w:tcPr>
          <w:p>
            <w:pPr>
              <w:jc w:val="left"/>
            </w:pPr>
            <w:r>
              <w:rPr>
                <w:rFonts w:ascii="Calibri" w:hAnsi="Calibri"/>
                <w:color w:val="1F2937"/>
                <w:sz w:val="19"/>
              </w:rPr>
              <w:t>Restaurant identifier</w:t>
            </w:r>
          </w:p>
        </w:tc>
        <w:tc>
          <w:tcPr>
            <w:tcW w:type="dxa" w:w="1728"/>
            <w:shd w:fill="FFFFFF"/>
            <w:tcMar>
              <w:top w:w="80" w:type="dxa"/>
              <w:bottom w:w="80" w:type="dxa"/>
              <w:left w:w="120" w:type="dxa"/>
              <w:right w:w="120" w:type="dxa"/>
            </w:tcMar>
          </w:tcPr>
          <w:p>
            <w:pPr>
              <w:jc w:val="left"/>
            </w:pPr>
            <w:r>
              <w:rPr>
                <w:rFonts w:ascii="Calibri" w:hAnsi="Calibri"/>
                <w:color w:val="1F2937"/>
                <w:sz w:val="19"/>
              </w:rPr>
              <w:t>Merchant Entity</w:t>
            </w:r>
          </w:p>
        </w:tc>
      </w:tr>
      <w:tr>
        <w:tc>
          <w:tcPr>
            <w:tcW w:type="dxa" w:w="2592"/>
            <w:shd w:fill="F8FAFC"/>
            <w:tcMar>
              <w:top w:w="80" w:type="dxa"/>
              <w:bottom w:w="80" w:type="dxa"/>
              <w:left w:w="120" w:type="dxa"/>
              <w:right w:w="120" w:type="dxa"/>
            </w:tcMar>
          </w:tcPr>
          <w:p>
            <w:pPr>
              <w:jc w:val="left"/>
            </w:pPr>
            <w:r>
              <w:rPr>
                <w:rFonts w:ascii="Calibri" w:hAnsi="Calibri"/>
                <w:color w:val="1F2937"/>
                <w:sz w:val="19"/>
              </w:rPr>
              <w:t>Driver_ID</w:t>
            </w:r>
          </w:p>
        </w:tc>
        <w:tc>
          <w:tcPr>
            <w:tcW w:type="dxa" w:w="1440"/>
            <w:shd w:fill="F8FAFC"/>
            <w:tcMar>
              <w:top w:w="80" w:type="dxa"/>
              <w:bottom w:w="80" w:type="dxa"/>
              <w:left w:w="120" w:type="dxa"/>
              <w:right w:w="120" w:type="dxa"/>
            </w:tcMar>
          </w:tcPr>
          <w:p>
            <w:pPr>
              <w:jc w:val="left"/>
            </w:pPr>
            <w:r>
              <w:rPr>
                <w:rFonts w:ascii="Calibri" w:hAnsi="Calibri"/>
                <w:color w:val="1F2937"/>
                <w:sz w:val="19"/>
              </w:rPr>
              <w:t>Int64</w:t>
            </w:r>
          </w:p>
        </w:tc>
        <w:tc>
          <w:tcPr>
            <w:tcW w:type="dxa" w:w="3600"/>
            <w:shd w:fill="F8FAFC"/>
            <w:tcMar>
              <w:top w:w="80" w:type="dxa"/>
              <w:bottom w:w="80" w:type="dxa"/>
              <w:left w:w="120" w:type="dxa"/>
              <w:right w:w="120" w:type="dxa"/>
            </w:tcMar>
          </w:tcPr>
          <w:p>
            <w:pPr>
              <w:jc w:val="left"/>
            </w:pPr>
            <w:r>
              <w:rPr>
                <w:rFonts w:ascii="Calibri" w:hAnsi="Calibri"/>
                <w:color w:val="1F2937"/>
                <w:sz w:val="19"/>
              </w:rPr>
              <w:t>Courier driver identifier</w:t>
            </w:r>
          </w:p>
        </w:tc>
        <w:tc>
          <w:tcPr>
            <w:tcW w:type="dxa" w:w="1728"/>
            <w:shd w:fill="F8FAFC"/>
            <w:tcMar>
              <w:top w:w="80" w:type="dxa"/>
              <w:bottom w:w="80" w:type="dxa"/>
              <w:left w:w="120" w:type="dxa"/>
              <w:right w:w="120" w:type="dxa"/>
            </w:tcMar>
          </w:tcPr>
          <w:p>
            <w:pPr>
              <w:jc w:val="left"/>
            </w:pPr>
            <w:r>
              <w:rPr>
                <w:rFonts w:ascii="Calibri" w:hAnsi="Calibri"/>
                <w:color w:val="1F2937"/>
                <w:sz w:val="19"/>
              </w:rPr>
              <w:t>Fleet Entity</w:t>
            </w:r>
          </w:p>
        </w:tc>
      </w:tr>
      <w:tr>
        <w:tc>
          <w:tcPr>
            <w:tcW w:type="dxa" w:w="2592"/>
            <w:shd w:fill="FFFFFF"/>
            <w:tcMar>
              <w:top w:w="80" w:type="dxa"/>
              <w:bottom w:w="80" w:type="dxa"/>
              <w:left w:w="120" w:type="dxa"/>
              <w:right w:w="120" w:type="dxa"/>
            </w:tcMar>
          </w:tcPr>
          <w:p>
            <w:pPr>
              <w:jc w:val="left"/>
            </w:pPr>
            <w:r>
              <w:rPr>
                <w:rFonts w:ascii="Calibri" w:hAnsi="Calibri"/>
                <w:color w:val="1F2937"/>
                <w:sz w:val="19"/>
              </w:rPr>
              <w:t>City</w:t>
            </w:r>
          </w:p>
        </w:tc>
        <w:tc>
          <w:tcPr>
            <w:tcW w:type="dxa" w:w="1440"/>
            <w:shd w:fill="FFFFFF"/>
            <w:tcMar>
              <w:top w:w="80" w:type="dxa"/>
              <w:bottom w:w="80" w:type="dxa"/>
              <w:left w:w="120" w:type="dxa"/>
              <w:right w:w="120" w:type="dxa"/>
            </w:tcMar>
          </w:tcPr>
          <w:p>
            <w:pPr>
              <w:jc w:val="left"/>
            </w:pPr>
            <w:r>
              <w:rPr>
                <w:rFonts w:ascii="Calibri" w:hAnsi="Calibri"/>
                <w:color w:val="1F2937"/>
                <w:sz w:val="19"/>
              </w:rPr>
              <w:t>String</w:t>
            </w:r>
          </w:p>
        </w:tc>
        <w:tc>
          <w:tcPr>
            <w:tcW w:type="dxa" w:w="3600"/>
            <w:shd w:fill="FFFFFF"/>
            <w:tcMar>
              <w:top w:w="80" w:type="dxa"/>
              <w:bottom w:w="80" w:type="dxa"/>
              <w:left w:w="120" w:type="dxa"/>
              <w:right w:w="120" w:type="dxa"/>
            </w:tcMar>
          </w:tcPr>
          <w:p>
            <w:pPr>
              <w:jc w:val="left"/>
            </w:pPr>
            <w:r>
              <w:rPr>
                <w:rFonts w:ascii="Calibri" w:hAnsi="Calibri"/>
                <w:color w:val="1F2937"/>
                <w:sz w:val="19"/>
              </w:rPr>
              <w:t>Egyptian municipality name (7 cities)</w:t>
            </w:r>
          </w:p>
        </w:tc>
        <w:tc>
          <w:tcPr>
            <w:tcW w:type="dxa" w:w="1728"/>
            <w:shd w:fill="FFFFFF"/>
            <w:tcMar>
              <w:top w:w="80" w:type="dxa"/>
              <w:bottom w:w="80" w:type="dxa"/>
              <w:left w:w="120" w:type="dxa"/>
              <w:right w:w="120" w:type="dxa"/>
            </w:tcMar>
          </w:tcPr>
          <w:p>
            <w:pPr>
              <w:jc w:val="left"/>
            </w:pPr>
            <w:r>
              <w:rPr>
                <w:rFonts w:ascii="Calibri" w:hAnsi="Calibri"/>
                <w:color w:val="1F2937"/>
                <w:sz w:val="19"/>
              </w:rPr>
              <w:t>Geographic Dimension</w:t>
            </w:r>
          </w:p>
        </w:tc>
      </w:tr>
      <w:tr>
        <w:tc>
          <w:tcPr>
            <w:tcW w:type="dxa" w:w="2592"/>
            <w:shd w:fill="F8FAFC"/>
            <w:tcMar>
              <w:top w:w="80" w:type="dxa"/>
              <w:bottom w:w="80" w:type="dxa"/>
              <w:left w:w="120" w:type="dxa"/>
              <w:right w:w="120" w:type="dxa"/>
            </w:tcMar>
          </w:tcPr>
          <w:p>
            <w:pPr>
              <w:jc w:val="left"/>
            </w:pPr>
            <w:r>
              <w:rPr>
                <w:rFonts w:ascii="Calibri" w:hAnsi="Calibri"/>
                <w:color w:val="1F2937"/>
                <w:sz w:val="19"/>
              </w:rPr>
              <w:t>Order_Status</w:t>
            </w:r>
          </w:p>
        </w:tc>
        <w:tc>
          <w:tcPr>
            <w:tcW w:type="dxa" w:w="1440"/>
            <w:shd w:fill="F8FAFC"/>
            <w:tcMar>
              <w:top w:w="80" w:type="dxa"/>
              <w:bottom w:w="80" w:type="dxa"/>
              <w:left w:w="120" w:type="dxa"/>
              <w:right w:w="120" w:type="dxa"/>
            </w:tcMar>
          </w:tcPr>
          <w:p>
            <w:pPr>
              <w:jc w:val="left"/>
            </w:pPr>
            <w:r>
              <w:rPr>
                <w:rFonts w:ascii="Calibri" w:hAnsi="Calibri"/>
                <w:color w:val="1F2937"/>
                <w:sz w:val="19"/>
              </w:rPr>
              <w:t>String</w:t>
            </w:r>
          </w:p>
        </w:tc>
        <w:tc>
          <w:tcPr>
            <w:tcW w:type="dxa" w:w="3600"/>
            <w:shd w:fill="F8FAFC"/>
            <w:tcMar>
              <w:top w:w="80" w:type="dxa"/>
              <w:bottom w:w="80" w:type="dxa"/>
              <w:left w:w="120" w:type="dxa"/>
              <w:right w:w="120" w:type="dxa"/>
            </w:tcMar>
          </w:tcPr>
          <w:p>
            <w:pPr>
              <w:jc w:val="left"/>
            </w:pPr>
            <w:r>
              <w:rPr>
                <w:rFonts w:ascii="Calibri" w:hAnsi="Calibri"/>
                <w:color w:val="1F2937"/>
                <w:sz w:val="19"/>
              </w:rPr>
              <w:t>Delivered / Cancelled / In Transit</w:t>
            </w:r>
          </w:p>
        </w:tc>
        <w:tc>
          <w:tcPr>
            <w:tcW w:type="dxa" w:w="1728"/>
            <w:shd w:fill="F8FAFC"/>
            <w:tcMar>
              <w:top w:w="80" w:type="dxa"/>
              <w:bottom w:w="80" w:type="dxa"/>
              <w:left w:w="120" w:type="dxa"/>
              <w:right w:w="120" w:type="dxa"/>
            </w:tcMar>
          </w:tcPr>
          <w:p>
            <w:pPr>
              <w:jc w:val="left"/>
            </w:pPr>
            <w:r>
              <w:rPr>
                <w:rFonts w:ascii="Calibri" w:hAnsi="Calibri"/>
                <w:color w:val="1F2937"/>
                <w:sz w:val="19"/>
              </w:rPr>
              <w:t>Status Partition</w:t>
            </w:r>
          </w:p>
        </w:tc>
      </w:tr>
      <w:tr>
        <w:tc>
          <w:tcPr>
            <w:tcW w:type="dxa" w:w="2592"/>
            <w:shd w:fill="FFFFFF"/>
            <w:tcMar>
              <w:top w:w="80" w:type="dxa"/>
              <w:bottom w:w="80" w:type="dxa"/>
              <w:left w:w="120" w:type="dxa"/>
              <w:right w:w="120" w:type="dxa"/>
            </w:tcMar>
          </w:tcPr>
          <w:p>
            <w:pPr>
              <w:jc w:val="left"/>
            </w:pPr>
            <w:r>
              <w:rPr>
                <w:rFonts w:ascii="Calibri" w:hAnsi="Calibri"/>
                <w:color w:val="1F2937"/>
                <w:sz w:val="19"/>
              </w:rPr>
              <w:t>Order_Time</w:t>
            </w:r>
          </w:p>
        </w:tc>
        <w:tc>
          <w:tcPr>
            <w:tcW w:type="dxa" w:w="1440"/>
            <w:shd w:fill="FFFFFF"/>
            <w:tcMar>
              <w:top w:w="80" w:type="dxa"/>
              <w:bottom w:w="80" w:type="dxa"/>
              <w:left w:w="120" w:type="dxa"/>
              <w:right w:w="120" w:type="dxa"/>
            </w:tcMar>
          </w:tcPr>
          <w:p>
            <w:pPr>
              <w:jc w:val="left"/>
            </w:pPr>
            <w:r>
              <w:rPr>
                <w:rFonts w:ascii="Calibri" w:hAnsi="Calibri"/>
                <w:color w:val="1F2937"/>
                <w:sz w:val="19"/>
              </w:rPr>
              <w:t>Datetime</w:t>
            </w:r>
          </w:p>
        </w:tc>
        <w:tc>
          <w:tcPr>
            <w:tcW w:type="dxa" w:w="3600"/>
            <w:shd w:fill="FFFFFF"/>
            <w:tcMar>
              <w:top w:w="80" w:type="dxa"/>
              <w:bottom w:w="80" w:type="dxa"/>
              <w:left w:w="120" w:type="dxa"/>
              <w:right w:w="120" w:type="dxa"/>
            </w:tcMar>
          </w:tcPr>
          <w:p>
            <w:pPr>
              <w:jc w:val="left"/>
            </w:pPr>
            <w:r>
              <w:rPr>
                <w:rFonts w:ascii="Calibri" w:hAnsi="Calibri"/>
                <w:color w:val="1F2937"/>
                <w:sz w:val="19"/>
              </w:rPr>
              <w:t>Order placement timestamp</w:t>
            </w:r>
          </w:p>
        </w:tc>
        <w:tc>
          <w:tcPr>
            <w:tcW w:type="dxa" w:w="1728"/>
            <w:shd w:fill="FFFFFF"/>
            <w:tcMar>
              <w:top w:w="80" w:type="dxa"/>
              <w:bottom w:w="80" w:type="dxa"/>
              <w:left w:w="120" w:type="dxa"/>
              <w:right w:w="120" w:type="dxa"/>
            </w:tcMar>
          </w:tcPr>
          <w:p>
            <w:pPr>
              <w:jc w:val="left"/>
            </w:pPr>
            <w:r>
              <w:rPr>
                <w:rFonts w:ascii="Calibri" w:hAnsi="Calibri"/>
                <w:color w:val="1F2937"/>
                <w:sz w:val="19"/>
              </w:rPr>
              <w:t>Temporal Baseline</w:t>
            </w:r>
          </w:p>
        </w:tc>
      </w:tr>
      <w:tr>
        <w:tc>
          <w:tcPr>
            <w:tcW w:type="dxa" w:w="2592"/>
            <w:shd w:fill="F8FAFC"/>
            <w:tcMar>
              <w:top w:w="80" w:type="dxa"/>
              <w:bottom w:w="80" w:type="dxa"/>
              <w:left w:w="120" w:type="dxa"/>
              <w:right w:w="120" w:type="dxa"/>
            </w:tcMar>
          </w:tcPr>
          <w:p>
            <w:pPr>
              <w:jc w:val="left"/>
            </w:pPr>
            <w:r>
              <w:rPr>
                <w:rFonts w:ascii="Calibri" w:hAnsi="Calibri"/>
                <w:color w:val="1F2937"/>
                <w:sz w:val="19"/>
              </w:rPr>
              <w:t>Delivery_Time</w:t>
            </w:r>
          </w:p>
        </w:tc>
        <w:tc>
          <w:tcPr>
            <w:tcW w:type="dxa" w:w="1440"/>
            <w:shd w:fill="F8FAFC"/>
            <w:tcMar>
              <w:top w:w="80" w:type="dxa"/>
              <w:bottom w:w="80" w:type="dxa"/>
              <w:left w:w="120" w:type="dxa"/>
              <w:right w:w="120" w:type="dxa"/>
            </w:tcMar>
          </w:tcPr>
          <w:p>
            <w:pPr>
              <w:jc w:val="left"/>
            </w:pPr>
            <w:r>
              <w:rPr>
                <w:rFonts w:ascii="Calibri" w:hAnsi="Calibri"/>
                <w:color w:val="1F2937"/>
                <w:sz w:val="19"/>
              </w:rPr>
              <w:t>Datetime</w:t>
            </w:r>
          </w:p>
        </w:tc>
        <w:tc>
          <w:tcPr>
            <w:tcW w:type="dxa" w:w="3600"/>
            <w:shd w:fill="F8FAFC"/>
            <w:tcMar>
              <w:top w:w="80" w:type="dxa"/>
              <w:bottom w:w="80" w:type="dxa"/>
              <w:left w:w="120" w:type="dxa"/>
              <w:right w:w="120" w:type="dxa"/>
            </w:tcMar>
          </w:tcPr>
          <w:p>
            <w:pPr>
              <w:jc w:val="left"/>
            </w:pPr>
            <w:r>
              <w:rPr>
                <w:rFonts w:ascii="Calibri" w:hAnsi="Calibri"/>
                <w:color w:val="1F2937"/>
                <w:sz w:val="19"/>
              </w:rPr>
              <w:t>Order completion timestamp</w:t>
            </w:r>
          </w:p>
        </w:tc>
        <w:tc>
          <w:tcPr>
            <w:tcW w:type="dxa" w:w="1728"/>
            <w:shd w:fill="F8FAFC"/>
            <w:tcMar>
              <w:top w:w="80" w:type="dxa"/>
              <w:bottom w:w="80" w:type="dxa"/>
              <w:left w:w="120" w:type="dxa"/>
              <w:right w:w="120" w:type="dxa"/>
            </w:tcMar>
          </w:tcPr>
          <w:p>
            <w:pPr>
              <w:jc w:val="left"/>
            </w:pPr>
            <w:r>
              <w:rPr>
                <w:rFonts w:ascii="Calibri" w:hAnsi="Calibri"/>
                <w:color w:val="1F2937"/>
                <w:sz w:val="19"/>
              </w:rPr>
              <w:t>Completion Boundary</w:t>
            </w:r>
          </w:p>
        </w:tc>
      </w:tr>
      <w:tr>
        <w:tc>
          <w:tcPr>
            <w:tcW w:type="dxa" w:w="2592"/>
            <w:shd w:fill="FFFFFF"/>
            <w:tcMar>
              <w:top w:w="80" w:type="dxa"/>
              <w:bottom w:w="80" w:type="dxa"/>
              <w:left w:w="120" w:type="dxa"/>
              <w:right w:w="120" w:type="dxa"/>
            </w:tcMar>
          </w:tcPr>
          <w:p>
            <w:pPr>
              <w:jc w:val="left"/>
            </w:pPr>
            <w:r>
              <w:rPr>
                <w:rFonts w:ascii="Calibri" w:hAnsi="Calibri"/>
                <w:color w:val="1F2937"/>
                <w:sz w:val="19"/>
              </w:rPr>
              <w:t>Delivery_Duration_Minutes</w:t>
            </w:r>
          </w:p>
        </w:tc>
        <w:tc>
          <w:tcPr>
            <w:tcW w:type="dxa" w:w="1440"/>
            <w:shd w:fill="FFFFFF"/>
            <w:tcMar>
              <w:top w:w="80" w:type="dxa"/>
              <w:bottom w:w="80" w:type="dxa"/>
              <w:left w:w="120" w:type="dxa"/>
              <w:right w:w="120" w:type="dxa"/>
            </w:tcMar>
          </w:tcPr>
          <w:p>
            <w:pPr>
              <w:jc w:val="left"/>
            </w:pPr>
            <w:r>
              <w:rPr>
                <w:rFonts w:ascii="Calibri" w:hAnsi="Calibri"/>
                <w:color w:val="1F2937"/>
                <w:sz w:val="19"/>
              </w:rPr>
              <w:t>Float64</w:t>
            </w:r>
          </w:p>
        </w:tc>
        <w:tc>
          <w:tcPr>
            <w:tcW w:type="dxa" w:w="3600"/>
            <w:shd w:fill="FFFFFF"/>
            <w:tcMar>
              <w:top w:w="80" w:type="dxa"/>
              <w:bottom w:w="80" w:type="dxa"/>
              <w:left w:w="120" w:type="dxa"/>
              <w:right w:w="120" w:type="dxa"/>
            </w:tcMar>
          </w:tcPr>
          <w:p>
            <w:pPr>
              <w:jc w:val="left"/>
            </w:pPr>
            <w:r>
              <w:rPr>
                <w:rFonts w:ascii="Calibri" w:hAnsi="Calibri"/>
                <w:color w:val="1F2937"/>
                <w:sz w:val="19"/>
              </w:rPr>
              <w:t>Total turnaround duration (15–60m)</w:t>
            </w:r>
          </w:p>
        </w:tc>
        <w:tc>
          <w:tcPr>
            <w:tcW w:type="dxa" w:w="1728"/>
            <w:shd w:fill="FFFFFF"/>
            <w:tcMar>
              <w:top w:w="80" w:type="dxa"/>
              <w:bottom w:w="80" w:type="dxa"/>
              <w:left w:w="120" w:type="dxa"/>
              <w:right w:w="120" w:type="dxa"/>
            </w:tcMar>
          </w:tcPr>
          <w:p>
            <w:pPr>
              <w:jc w:val="left"/>
            </w:pPr>
            <w:r>
              <w:rPr>
                <w:rFonts w:ascii="Calibri" w:hAnsi="Calibri"/>
                <w:color w:val="1F2937"/>
                <w:sz w:val="19"/>
              </w:rPr>
              <w:t>Primary Metric</w:t>
            </w:r>
          </w:p>
        </w:tc>
      </w:tr>
      <w:tr>
        <w:tc>
          <w:tcPr>
            <w:tcW w:type="dxa" w:w="2592"/>
            <w:shd w:fill="F8FAFC"/>
            <w:tcMar>
              <w:top w:w="80" w:type="dxa"/>
              <w:bottom w:w="80" w:type="dxa"/>
              <w:left w:w="120" w:type="dxa"/>
              <w:right w:w="120" w:type="dxa"/>
            </w:tcMar>
          </w:tcPr>
          <w:p>
            <w:pPr>
              <w:jc w:val="left"/>
            </w:pPr>
            <w:r>
              <w:rPr>
                <w:rFonts w:ascii="Calibri" w:hAnsi="Calibri"/>
                <w:color w:val="1F2937"/>
                <w:sz w:val="19"/>
              </w:rPr>
              <w:t>Quantity</w:t>
            </w:r>
          </w:p>
        </w:tc>
        <w:tc>
          <w:tcPr>
            <w:tcW w:type="dxa" w:w="1440"/>
            <w:shd w:fill="F8FAFC"/>
            <w:tcMar>
              <w:top w:w="80" w:type="dxa"/>
              <w:bottom w:w="80" w:type="dxa"/>
              <w:left w:w="120" w:type="dxa"/>
              <w:right w:w="120" w:type="dxa"/>
            </w:tcMar>
          </w:tcPr>
          <w:p>
            <w:pPr>
              <w:jc w:val="left"/>
            </w:pPr>
            <w:r>
              <w:rPr>
                <w:rFonts w:ascii="Calibri" w:hAnsi="Calibri"/>
                <w:color w:val="1F2937"/>
                <w:sz w:val="19"/>
              </w:rPr>
              <w:t>Int64</w:t>
            </w:r>
          </w:p>
        </w:tc>
        <w:tc>
          <w:tcPr>
            <w:tcW w:type="dxa" w:w="3600"/>
            <w:shd w:fill="F8FAFC"/>
            <w:tcMar>
              <w:top w:w="80" w:type="dxa"/>
              <w:bottom w:w="80" w:type="dxa"/>
              <w:left w:w="120" w:type="dxa"/>
              <w:right w:w="120" w:type="dxa"/>
            </w:tcMar>
          </w:tcPr>
          <w:p>
            <w:pPr>
              <w:jc w:val="left"/>
            </w:pPr>
            <w:r>
              <w:rPr>
                <w:rFonts w:ascii="Calibri" w:hAnsi="Calibri"/>
                <w:color w:val="1F2937"/>
                <w:sz w:val="19"/>
              </w:rPr>
              <w:t>Number of food items ordered (1–5)</w:t>
            </w:r>
          </w:p>
        </w:tc>
        <w:tc>
          <w:tcPr>
            <w:tcW w:type="dxa" w:w="1728"/>
            <w:shd w:fill="F8FAFC"/>
            <w:tcMar>
              <w:top w:w="80" w:type="dxa"/>
              <w:bottom w:w="80" w:type="dxa"/>
              <w:left w:w="120" w:type="dxa"/>
              <w:right w:w="120" w:type="dxa"/>
            </w:tcMar>
          </w:tcPr>
          <w:p>
            <w:pPr>
              <w:jc w:val="left"/>
            </w:pPr>
            <w:r>
              <w:rPr>
                <w:rFonts w:ascii="Calibri" w:hAnsi="Calibri"/>
                <w:color w:val="1F2937"/>
                <w:sz w:val="19"/>
              </w:rPr>
              <w:t>Basket Size Feature</w:t>
            </w:r>
          </w:p>
        </w:tc>
      </w:tr>
      <w:tr>
        <w:tc>
          <w:tcPr>
            <w:tcW w:type="dxa" w:w="2592"/>
            <w:shd w:fill="FFFFFF"/>
            <w:tcMar>
              <w:top w:w="80" w:type="dxa"/>
              <w:bottom w:w="80" w:type="dxa"/>
              <w:left w:w="120" w:type="dxa"/>
              <w:right w:w="120" w:type="dxa"/>
            </w:tcMar>
          </w:tcPr>
          <w:p>
            <w:pPr>
              <w:jc w:val="left"/>
            </w:pPr>
            <w:r>
              <w:rPr>
                <w:rFonts w:ascii="Calibri" w:hAnsi="Calibri"/>
                <w:color w:val="1F2937"/>
                <w:sz w:val="19"/>
              </w:rPr>
              <w:t>Total_Price</w:t>
            </w:r>
          </w:p>
        </w:tc>
        <w:tc>
          <w:tcPr>
            <w:tcW w:type="dxa" w:w="1440"/>
            <w:shd w:fill="FFFFFF"/>
            <w:tcMar>
              <w:top w:w="80" w:type="dxa"/>
              <w:bottom w:w="80" w:type="dxa"/>
              <w:left w:w="120" w:type="dxa"/>
              <w:right w:w="120" w:type="dxa"/>
            </w:tcMar>
          </w:tcPr>
          <w:p>
            <w:pPr>
              <w:jc w:val="left"/>
            </w:pPr>
            <w:r>
              <w:rPr>
                <w:rFonts w:ascii="Calibri" w:hAnsi="Calibri"/>
                <w:color w:val="1F2937"/>
                <w:sz w:val="19"/>
              </w:rPr>
              <w:t>Float64</w:t>
            </w:r>
          </w:p>
        </w:tc>
        <w:tc>
          <w:tcPr>
            <w:tcW w:type="dxa" w:w="3600"/>
            <w:shd w:fill="FFFFFF"/>
            <w:tcMar>
              <w:top w:w="80" w:type="dxa"/>
              <w:bottom w:w="80" w:type="dxa"/>
              <w:left w:w="120" w:type="dxa"/>
              <w:right w:w="120" w:type="dxa"/>
            </w:tcMar>
          </w:tcPr>
          <w:p>
            <w:pPr>
              <w:jc w:val="left"/>
            </w:pPr>
            <w:r>
              <w:rPr>
                <w:rFonts w:ascii="Calibri" w:hAnsi="Calibri"/>
                <w:color w:val="1F2937"/>
                <w:sz w:val="19"/>
              </w:rPr>
              <w:t>Order value in Egyptian Pounds (EGP)</w:t>
            </w:r>
          </w:p>
        </w:tc>
        <w:tc>
          <w:tcPr>
            <w:tcW w:type="dxa" w:w="1728"/>
            <w:shd w:fill="FFFFFF"/>
            <w:tcMar>
              <w:top w:w="80" w:type="dxa"/>
              <w:bottom w:w="80" w:type="dxa"/>
              <w:left w:w="120" w:type="dxa"/>
              <w:right w:w="120" w:type="dxa"/>
            </w:tcMar>
          </w:tcPr>
          <w:p>
            <w:pPr>
              <w:jc w:val="left"/>
            </w:pPr>
            <w:r>
              <w:rPr>
                <w:rFonts w:ascii="Calibri" w:hAnsi="Calibri"/>
                <w:color w:val="1F2937"/>
                <w:sz w:val="19"/>
              </w:rPr>
              <w:t>Financial Feature</w:t>
            </w:r>
          </w:p>
        </w:tc>
      </w:tr>
      <w:tr>
        <w:tc>
          <w:tcPr>
            <w:tcW w:type="dxa" w:w="2592"/>
            <w:shd w:fill="F8FAFC"/>
            <w:tcMar>
              <w:top w:w="80" w:type="dxa"/>
              <w:bottom w:w="80" w:type="dxa"/>
              <w:left w:w="120" w:type="dxa"/>
              <w:right w:w="120" w:type="dxa"/>
            </w:tcMar>
          </w:tcPr>
          <w:p>
            <w:pPr>
              <w:jc w:val="left"/>
            </w:pPr>
            <w:r>
              <w:rPr>
                <w:rFonts w:ascii="Calibri" w:hAnsi="Calibri"/>
                <w:color w:val="1F2937"/>
                <w:sz w:val="19"/>
              </w:rPr>
              <w:t>Driver_Vehicle</w:t>
            </w:r>
          </w:p>
        </w:tc>
        <w:tc>
          <w:tcPr>
            <w:tcW w:type="dxa" w:w="1440"/>
            <w:shd w:fill="F8FAFC"/>
            <w:tcMar>
              <w:top w:w="80" w:type="dxa"/>
              <w:bottom w:w="80" w:type="dxa"/>
              <w:left w:w="120" w:type="dxa"/>
              <w:right w:w="120" w:type="dxa"/>
            </w:tcMar>
          </w:tcPr>
          <w:p>
            <w:pPr>
              <w:jc w:val="left"/>
            </w:pPr>
            <w:r>
              <w:rPr>
                <w:rFonts w:ascii="Calibri" w:hAnsi="Calibri"/>
                <w:color w:val="1F2937"/>
                <w:sz w:val="19"/>
              </w:rPr>
              <w:t>String</w:t>
            </w:r>
          </w:p>
        </w:tc>
        <w:tc>
          <w:tcPr>
            <w:tcW w:type="dxa" w:w="3600"/>
            <w:shd w:fill="F8FAFC"/>
            <w:tcMar>
              <w:top w:w="80" w:type="dxa"/>
              <w:bottom w:w="80" w:type="dxa"/>
              <w:left w:w="120" w:type="dxa"/>
              <w:right w:w="120" w:type="dxa"/>
            </w:tcMar>
          </w:tcPr>
          <w:p>
            <w:pPr>
              <w:jc w:val="left"/>
            </w:pPr>
            <w:r>
              <w:rPr>
                <w:rFonts w:ascii="Calibri" w:hAnsi="Calibri"/>
                <w:color w:val="1F2937"/>
                <w:sz w:val="19"/>
              </w:rPr>
              <w:t>Courier vehicle mode (Bicycle/Car/Motorbike)</w:t>
            </w:r>
          </w:p>
        </w:tc>
        <w:tc>
          <w:tcPr>
            <w:tcW w:type="dxa" w:w="1728"/>
            <w:shd w:fill="F8FAFC"/>
            <w:tcMar>
              <w:top w:w="80" w:type="dxa"/>
              <w:bottom w:w="80" w:type="dxa"/>
              <w:left w:w="120" w:type="dxa"/>
              <w:right w:w="120" w:type="dxa"/>
            </w:tcMar>
          </w:tcPr>
          <w:p>
            <w:pPr>
              <w:jc w:val="left"/>
            </w:pPr>
            <w:r>
              <w:rPr>
                <w:rFonts w:ascii="Calibri" w:hAnsi="Calibri"/>
                <w:color w:val="1F2937"/>
                <w:sz w:val="19"/>
              </w:rPr>
              <w:t>Fleet Mobility Feature</w:t>
            </w:r>
          </w:p>
        </w:tc>
      </w:tr>
      <w:tr>
        <w:tc>
          <w:tcPr>
            <w:tcW w:type="dxa" w:w="2592"/>
            <w:shd w:fill="FFFFFF"/>
            <w:tcMar>
              <w:top w:w="80" w:type="dxa"/>
              <w:bottom w:w="80" w:type="dxa"/>
              <w:left w:w="120" w:type="dxa"/>
              <w:right w:w="120" w:type="dxa"/>
            </w:tcMar>
          </w:tcPr>
          <w:p>
            <w:pPr>
              <w:jc w:val="left"/>
            </w:pPr>
            <w:r>
              <w:rPr>
                <w:rFonts w:ascii="Calibri" w:hAnsi="Calibri"/>
                <w:color w:val="1F2937"/>
                <w:sz w:val="19"/>
              </w:rPr>
              <w:t>Traffic_Level</w:t>
            </w:r>
          </w:p>
        </w:tc>
        <w:tc>
          <w:tcPr>
            <w:tcW w:type="dxa" w:w="1440"/>
            <w:shd w:fill="FFFFFF"/>
            <w:tcMar>
              <w:top w:w="80" w:type="dxa"/>
              <w:bottom w:w="80" w:type="dxa"/>
              <w:left w:w="120" w:type="dxa"/>
              <w:right w:w="120" w:type="dxa"/>
            </w:tcMar>
          </w:tcPr>
          <w:p>
            <w:pPr>
              <w:jc w:val="left"/>
            </w:pPr>
            <w:r>
              <w:rPr>
                <w:rFonts w:ascii="Calibri" w:hAnsi="Calibri"/>
                <w:color w:val="1F2937"/>
                <w:sz w:val="19"/>
              </w:rPr>
              <w:t>String</w:t>
            </w:r>
          </w:p>
        </w:tc>
        <w:tc>
          <w:tcPr>
            <w:tcW w:type="dxa" w:w="3600"/>
            <w:shd w:fill="FFFFFF"/>
            <w:tcMar>
              <w:top w:w="80" w:type="dxa"/>
              <w:bottom w:w="80" w:type="dxa"/>
              <w:left w:w="120" w:type="dxa"/>
              <w:right w:w="120" w:type="dxa"/>
            </w:tcMar>
          </w:tcPr>
          <w:p>
            <w:pPr>
              <w:jc w:val="left"/>
            </w:pPr>
            <w:r>
              <w:rPr>
                <w:rFonts w:ascii="Calibri" w:hAnsi="Calibri"/>
                <w:color w:val="1F2937"/>
                <w:sz w:val="19"/>
              </w:rPr>
              <w:t>Traffic congestion status (Low/Medium/High)</w:t>
            </w:r>
          </w:p>
        </w:tc>
        <w:tc>
          <w:tcPr>
            <w:tcW w:type="dxa" w:w="1728"/>
            <w:shd w:fill="FFFFFF"/>
            <w:tcMar>
              <w:top w:w="80" w:type="dxa"/>
              <w:bottom w:w="80" w:type="dxa"/>
              <w:left w:w="120" w:type="dxa"/>
              <w:right w:w="120" w:type="dxa"/>
            </w:tcMar>
          </w:tcPr>
          <w:p>
            <w:pPr>
              <w:jc w:val="left"/>
            </w:pPr>
            <w:r>
              <w:rPr>
                <w:rFonts w:ascii="Calibri" w:hAnsi="Calibri"/>
                <w:color w:val="1F2937"/>
                <w:sz w:val="19"/>
              </w:rPr>
              <w:t>Environmental Feature</w:t>
            </w:r>
          </w:p>
        </w:tc>
      </w:tr>
      <w:tr>
        <w:tc>
          <w:tcPr>
            <w:tcW w:type="dxa" w:w="2592"/>
            <w:shd w:fill="F8FAFC"/>
            <w:tcMar>
              <w:top w:w="80" w:type="dxa"/>
              <w:bottom w:w="80" w:type="dxa"/>
              <w:left w:w="120" w:type="dxa"/>
              <w:right w:w="120" w:type="dxa"/>
            </w:tcMar>
          </w:tcPr>
          <w:p>
            <w:pPr>
              <w:jc w:val="left"/>
            </w:pPr>
            <w:r>
              <w:rPr>
                <w:rFonts w:ascii="Calibri" w:hAnsi="Calibri"/>
                <w:color w:val="1F2937"/>
                <w:sz w:val="19"/>
              </w:rPr>
              <w:t>Delivery_Distance_km</w:t>
            </w:r>
          </w:p>
        </w:tc>
        <w:tc>
          <w:tcPr>
            <w:tcW w:type="dxa" w:w="1440"/>
            <w:shd w:fill="F8FAFC"/>
            <w:tcMar>
              <w:top w:w="80" w:type="dxa"/>
              <w:bottom w:w="80" w:type="dxa"/>
              <w:left w:w="120" w:type="dxa"/>
              <w:right w:w="120" w:type="dxa"/>
            </w:tcMar>
          </w:tcPr>
          <w:p>
            <w:pPr>
              <w:jc w:val="left"/>
            </w:pPr>
            <w:r>
              <w:rPr>
                <w:rFonts w:ascii="Calibri" w:hAnsi="Calibri"/>
                <w:color w:val="1F2937"/>
                <w:sz w:val="19"/>
              </w:rPr>
              <w:t>Float64</w:t>
            </w:r>
          </w:p>
        </w:tc>
        <w:tc>
          <w:tcPr>
            <w:tcW w:type="dxa" w:w="3600"/>
            <w:shd w:fill="F8FAFC"/>
            <w:tcMar>
              <w:top w:w="80" w:type="dxa"/>
              <w:bottom w:w="80" w:type="dxa"/>
              <w:left w:w="120" w:type="dxa"/>
              <w:right w:w="120" w:type="dxa"/>
            </w:tcMar>
          </w:tcPr>
          <w:p>
            <w:pPr>
              <w:jc w:val="left"/>
            </w:pPr>
            <w:r>
              <w:rPr>
                <w:rFonts w:ascii="Calibri" w:hAnsi="Calibri"/>
                <w:color w:val="1F2937"/>
                <w:sz w:val="19"/>
              </w:rPr>
              <w:t>Restaurant-to-customer distance (km)</w:t>
            </w:r>
          </w:p>
        </w:tc>
        <w:tc>
          <w:tcPr>
            <w:tcW w:type="dxa" w:w="1728"/>
            <w:shd w:fill="F8FAFC"/>
            <w:tcMar>
              <w:top w:w="80" w:type="dxa"/>
              <w:bottom w:w="80" w:type="dxa"/>
              <w:left w:w="120" w:type="dxa"/>
              <w:right w:w="120" w:type="dxa"/>
            </w:tcMar>
          </w:tcPr>
          <w:p>
            <w:pPr>
              <w:jc w:val="left"/>
            </w:pPr>
            <w:r>
              <w:rPr>
                <w:rFonts w:ascii="Calibri" w:hAnsi="Calibri"/>
                <w:color w:val="1F2937"/>
                <w:sz w:val="19"/>
              </w:rPr>
              <w:t>Spatial Metric</w:t>
            </w:r>
          </w:p>
        </w:tc>
      </w:tr>
      <w:tr>
        <w:tc>
          <w:tcPr>
            <w:tcW w:type="dxa" w:w="2592"/>
            <w:shd w:fill="FFFFFF"/>
            <w:tcMar>
              <w:top w:w="80" w:type="dxa"/>
              <w:bottom w:w="80" w:type="dxa"/>
              <w:left w:w="120" w:type="dxa"/>
              <w:right w:w="120" w:type="dxa"/>
            </w:tcMar>
          </w:tcPr>
          <w:p>
            <w:pPr>
              <w:jc w:val="left"/>
            </w:pPr>
            <w:r>
              <w:rPr>
                <w:rFonts w:ascii="Calibri" w:hAnsi="Calibri"/>
                <w:color w:val="1F2937"/>
                <w:sz w:val="19"/>
              </w:rPr>
              <w:t>Is_Delayed_TARGET</w:t>
            </w:r>
          </w:p>
        </w:tc>
        <w:tc>
          <w:tcPr>
            <w:tcW w:type="dxa" w:w="1440"/>
            <w:shd w:fill="FFFFFF"/>
            <w:tcMar>
              <w:top w:w="80" w:type="dxa"/>
              <w:bottom w:w="80" w:type="dxa"/>
              <w:left w:w="120" w:type="dxa"/>
              <w:right w:w="120" w:type="dxa"/>
            </w:tcMar>
          </w:tcPr>
          <w:p>
            <w:pPr>
              <w:jc w:val="left"/>
            </w:pPr>
            <w:r>
              <w:rPr>
                <w:rFonts w:ascii="Calibri" w:hAnsi="Calibri"/>
                <w:color w:val="1F2937"/>
                <w:sz w:val="19"/>
              </w:rPr>
              <w:t>Int64</w:t>
            </w:r>
          </w:p>
        </w:tc>
        <w:tc>
          <w:tcPr>
            <w:tcW w:type="dxa" w:w="3600"/>
            <w:shd w:fill="FFFFFF"/>
            <w:tcMar>
              <w:top w:w="80" w:type="dxa"/>
              <w:bottom w:w="80" w:type="dxa"/>
              <w:left w:w="120" w:type="dxa"/>
              <w:right w:w="120" w:type="dxa"/>
            </w:tcMar>
          </w:tcPr>
          <w:p>
            <w:pPr>
              <w:jc w:val="left"/>
            </w:pPr>
            <w:r>
              <w:rPr>
                <w:rFonts w:ascii="Calibri" w:hAnsi="Calibri"/>
                <w:color w:val="1F2937"/>
                <w:sz w:val="19"/>
              </w:rPr>
              <w:t>Binary flag (1 if duration &gt; 45m, 0 else)</w:t>
            </w:r>
          </w:p>
        </w:tc>
        <w:tc>
          <w:tcPr>
            <w:tcW w:type="dxa" w:w="1728"/>
            <w:shd w:fill="FFFFFF"/>
            <w:tcMar>
              <w:top w:w="80" w:type="dxa"/>
              <w:bottom w:w="80" w:type="dxa"/>
              <w:left w:w="120" w:type="dxa"/>
              <w:right w:w="120" w:type="dxa"/>
            </w:tcMar>
          </w:tcPr>
          <w:p>
            <w:pPr>
              <w:jc w:val="left"/>
            </w:pPr>
            <w:r>
              <w:rPr>
                <w:rFonts w:ascii="Calibri" w:hAnsi="Calibri"/>
                <w:color w:val="1F2937"/>
                <w:sz w:val="19"/>
              </w:rPr>
              <w:t>Primary Target</w:t>
            </w:r>
          </w:p>
        </w:tc>
      </w:tr>
      <w:tr>
        <w:tc>
          <w:tcPr>
            <w:tcW w:type="dxa" w:w="2592"/>
            <w:shd w:fill="F8FAFC"/>
            <w:tcMar>
              <w:top w:w="80" w:type="dxa"/>
              <w:bottom w:w="80" w:type="dxa"/>
              <w:left w:w="120" w:type="dxa"/>
              <w:right w:w="120" w:type="dxa"/>
            </w:tcMar>
          </w:tcPr>
          <w:p>
            <w:pPr>
              <w:jc w:val="left"/>
            </w:pPr>
            <w:r>
              <w:rPr>
                <w:rFonts w:ascii="Calibri" w:hAnsi="Calibri"/>
                <w:color w:val="1F2937"/>
                <w:sz w:val="19"/>
              </w:rPr>
              <w:t>Delay_Minutes_TARGET</w:t>
            </w:r>
          </w:p>
        </w:tc>
        <w:tc>
          <w:tcPr>
            <w:tcW w:type="dxa" w:w="1440"/>
            <w:shd w:fill="F8FAFC"/>
            <w:tcMar>
              <w:top w:w="80" w:type="dxa"/>
              <w:bottom w:w="80" w:type="dxa"/>
              <w:left w:w="120" w:type="dxa"/>
              <w:right w:w="120" w:type="dxa"/>
            </w:tcMar>
          </w:tcPr>
          <w:p>
            <w:pPr>
              <w:jc w:val="left"/>
            </w:pPr>
            <w:r>
              <w:rPr>
                <w:rFonts w:ascii="Calibri" w:hAnsi="Calibri"/>
                <w:color w:val="1F2937"/>
                <w:sz w:val="19"/>
              </w:rPr>
              <w:t>Float64</w:t>
            </w:r>
          </w:p>
        </w:tc>
        <w:tc>
          <w:tcPr>
            <w:tcW w:type="dxa" w:w="3600"/>
            <w:shd w:fill="F8FAFC"/>
            <w:tcMar>
              <w:top w:w="80" w:type="dxa"/>
              <w:bottom w:w="80" w:type="dxa"/>
              <w:left w:w="120" w:type="dxa"/>
              <w:right w:w="120" w:type="dxa"/>
            </w:tcMar>
          </w:tcPr>
          <w:p>
            <w:pPr>
              <w:jc w:val="left"/>
            </w:pPr>
            <w:r>
              <w:rPr>
                <w:rFonts w:ascii="Calibri" w:hAnsi="Calibri"/>
                <w:color w:val="1F2937"/>
                <w:sz w:val="19"/>
              </w:rPr>
              <w:t>Excess duration beyond 45m threshold</w:t>
            </w:r>
          </w:p>
        </w:tc>
        <w:tc>
          <w:tcPr>
            <w:tcW w:type="dxa" w:w="1728"/>
            <w:shd w:fill="F8FAFC"/>
            <w:tcMar>
              <w:top w:w="80" w:type="dxa"/>
              <w:bottom w:w="80" w:type="dxa"/>
              <w:left w:w="120" w:type="dxa"/>
              <w:right w:w="120" w:type="dxa"/>
            </w:tcMar>
          </w:tcPr>
          <w:p>
            <w:pPr>
              <w:jc w:val="left"/>
            </w:pPr>
            <w:r>
              <w:rPr>
                <w:rFonts w:ascii="Calibri" w:hAnsi="Calibri"/>
                <w:color w:val="1F2937"/>
                <w:sz w:val="19"/>
              </w:rPr>
              <w:t>Regression Metric</w:t>
            </w:r>
          </w:p>
        </w:tc>
      </w:tr>
      <w:tr>
        <w:tc>
          <w:tcPr>
            <w:tcW w:type="dxa" w:w="2592"/>
            <w:shd w:fill="FFFFFF"/>
            <w:tcMar>
              <w:top w:w="80" w:type="dxa"/>
              <w:bottom w:w="80" w:type="dxa"/>
              <w:left w:w="120" w:type="dxa"/>
              <w:right w:w="120" w:type="dxa"/>
            </w:tcMar>
          </w:tcPr>
          <w:p>
            <w:pPr>
              <w:jc w:val="left"/>
            </w:pPr>
            <w:r>
              <w:rPr>
                <w:rFonts w:ascii="Calibri" w:hAnsi="Calibri"/>
                <w:color w:val="1F2937"/>
                <w:sz w:val="19"/>
              </w:rPr>
              <w:t>Time_Of_Day_Segment</w:t>
            </w:r>
          </w:p>
        </w:tc>
        <w:tc>
          <w:tcPr>
            <w:tcW w:type="dxa" w:w="1440"/>
            <w:shd w:fill="FFFFFF"/>
            <w:tcMar>
              <w:top w:w="80" w:type="dxa"/>
              <w:bottom w:w="80" w:type="dxa"/>
              <w:left w:w="120" w:type="dxa"/>
              <w:right w:w="120" w:type="dxa"/>
            </w:tcMar>
          </w:tcPr>
          <w:p>
            <w:pPr>
              <w:jc w:val="left"/>
            </w:pPr>
            <w:r>
              <w:rPr>
                <w:rFonts w:ascii="Calibri" w:hAnsi="Calibri"/>
                <w:color w:val="1F2937"/>
                <w:sz w:val="19"/>
              </w:rPr>
              <w:t>String</w:t>
            </w:r>
          </w:p>
        </w:tc>
        <w:tc>
          <w:tcPr>
            <w:tcW w:type="dxa" w:w="3600"/>
            <w:shd w:fill="FFFFFF"/>
            <w:tcMar>
              <w:top w:w="80" w:type="dxa"/>
              <w:bottom w:w="80" w:type="dxa"/>
              <w:left w:w="120" w:type="dxa"/>
              <w:right w:w="120" w:type="dxa"/>
            </w:tcMar>
          </w:tcPr>
          <w:p>
            <w:pPr>
              <w:jc w:val="left"/>
            </w:pPr>
            <w:r>
              <w:rPr>
                <w:rFonts w:ascii="Calibri" w:hAnsi="Calibri"/>
                <w:color w:val="1F2937"/>
                <w:sz w:val="19"/>
              </w:rPr>
              <w:t>4-hour time of day segment (6 bands)</w:t>
            </w:r>
          </w:p>
        </w:tc>
        <w:tc>
          <w:tcPr>
            <w:tcW w:type="dxa" w:w="1728"/>
            <w:shd w:fill="FFFFFF"/>
            <w:tcMar>
              <w:top w:w="80" w:type="dxa"/>
              <w:bottom w:w="80" w:type="dxa"/>
              <w:left w:w="120" w:type="dxa"/>
              <w:right w:w="120" w:type="dxa"/>
            </w:tcMar>
          </w:tcPr>
          <w:p>
            <w:pPr>
              <w:jc w:val="left"/>
            </w:pPr>
            <w:r>
              <w:rPr>
                <w:rFonts w:ascii="Calibri" w:hAnsi="Calibri"/>
                <w:color w:val="1F2937"/>
                <w:sz w:val="19"/>
              </w:rPr>
              <w:t>Temporal Dimension</w:t>
            </w:r>
          </w:p>
        </w:tc>
      </w:tr>
      <w:tr>
        <w:tc>
          <w:tcPr>
            <w:tcW w:type="dxa" w:w="2592"/>
            <w:shd w:fill="F8FAFC"/>
            <w:tcMar>
              <w:top w:w="80" w:type="dxa"/>
              <w:bottom w:w="80" w:type="dxa"/>
              <w:left w:w="120" w:type="dxa"/>
              <w:right w:w="120" w:type="dxa"/>
            </w:tcMar>
          </w:tcPr>
          <w:p>
            <w:pPr>
              <w:jc w:val="left"/>
            </w:pPr>
            <w:r>
              <w:rPr>
                <w:rFonts w:ascii="Calibri" w:hAnsi="Calibri"/>
                <w:color w:val="1F2937"/>
                <w:sz w:val="19"/>
              </w:rPr>
              <w:t>Order_DayName</w:t>
            </w:r>
          </w:p>
        </w:tc>
        <w:tc>
          <w:tcPr>
            <w:tcW w:type="dxa" w:w="1440"/>
            <w:shd w:fill="F8FAFC"/>
            <w:tcMar>
              <w:top w:w="80" w:type="dxa"/>
              <w:bottom w:w="80" w:type="dxa"/>
              <w:left w:w="120" w:type="dxa"/>
              <w:right w:w="120" w:type="dxa"/>
            </w:tcMar>
          </w:tcPr>
          <w:p>
            <w:pPr>
              <w:jc w:val="left"/>
            </w:pPr>
            <w:r>
              <w:rPr>
                <w:rFonts w:ascii="Calibri" w:hAnsi="Calibri"/>
                <w:color w:val="1F2937"/>
                <w:sz w:val="19"/>
              </w:rPr>
              <w:t>String</w:t>
            </w:r>
          </w:p>
        </w:tc>
        <w:tc>
          <w:tcPr>
            <w:tcW w:type="dxa" w:w="3600"/>
            <w:shd w:fill="F8FAFC"/>
            <w:tcMar>
              <w:top w:w="80" w:type="dxa"/>
              <w:bottom w:w="80" w:type="dxa"/>
              <w:left w:w="120" w:type="dxa"/>
              <w:right w:w="120" w:type="dxa"/>
            </w:tcMar>
          </w:tcPr>
          <w:p>
            <w:pPr>
              <w:jc w:val="left"/>
            </w:pPr>
            <w:r>
              <w:rPr>
                <w:rFonts w:ascii="Calibri" w:hAnsi="Calibri"/>
                <w:color w:val="1F2937"/>
                <w:sz w:val="19"/>
              </w:rPr>
              <w:t>Day of week name (Monday–Sunday)</w:t>
            </w:r>
          </w:p>
        </w:tc>
        <w:tc>
          <w:tcPr>
            <w:tcW w:type="dxa" w:w="1728"/>
            <w:shd w:fill="F8FAFC"/>
            <w:tcMar>
              <w:top w:w="80" w:type="dxa"/>
              <w:bottom w:w="80" w:type="dxa"/>
              <w:left w:w="120" w:type="dxa"/>
              <w:right w:w="120" w:type="dxa"/>
            </w:tcMar>
          </w:tcPr>
          <w:p>
            <w:pPr>
              <w:jc w:val="left"/>
            </w:pPr>
            <w:r>
              <w:rPr>
                <w:rFonts w:ascii="Calibri" w:hAnsi="Calibri"/>
                <w:color w:val="1F2937"/>
                <w:sz w:val="19"/>
              </w:rPr>
              <w:t>Weekly Dimension</w:t>
            </w:r>
          </w:p>
        </w:tc>
      </w:tr>
      <w:tr>
        <w:tc>
          <w:tcPr>
            <w:tcW w:type="dxa" w:w="2592"/>
            <w:shd w:fill="FFFFFF"/>
            <w:tcMar>
              <w:top w:w="80" w:type="dxa"/>
              <w:bottom w:w="80" w:type="dxa"/>
              <w:left w:w="120" w:type="dxa"/>
              <w:right w:w="120" w:type="dxa"/>
            </w:tcMar>
          </w:tcPr>
          <w:p>
            <w:pPr>
              <w:jc w:val="left"/>
            </w:pPr>
            <w:r>
              <w:rPr>
                <w:rFonts w:ascii="Calibri" w:hAnsi="Calibri"/>
                <w:color w:val="1F2937"/>
                <w:sz w:val="19"/>
              </w:rPr>
              <w:t>Distance_Bin</w:t>
            </w:r>
          </w:p>
        </w:tc>
        <w:tc>
          <w:tcPr>
            <w:tcW w:type="dxa" w:w="1440"/>
            <w:shd w:fill="FFFFFF"/>
            <w:tcMar>
              <w:top w:w="80" w:type="dxa"/>
              <w:bottom w:w="80" w:type="dxa"/>
              <w:left w:w="120" w:type="dxa"/>
              <w:right w:w="120" w:type="dxa"/>
            </w:tcMar>
          </w:tcPr>
          <w:p>
            <w:pPr>
              <w:jc w:val="left"/>
            </w:pPr>
            <w:r>
              <w:rPr>
                <w:rFonts w:ascii="Calibri" w:hAnsi="Calibri"/>
                <w:color w:val="1F2937"/>
                <w:sz w:val="19"/>
              </w:rPr>
              <w:t>String</w:t>
            </w:r>
          </w:p>
        </w:tc>
        <w:tc>
          <w:tcPr>
            <w:tcW w:type="dxa" w:w="3600"/>
            <w:shd w:fill="FFFFFF"/>
            <w:tcMar>
              <w:top w:w="80" w:type="dxa"/>
              <w:bottom w:w="80" w:type="dxa"/>
              <w:left w:w="120" w:type="dxa"/>
              <w:right w:w="120" w:type="dxa"/>
            </w:tcMar>
          </w:tcPr>
          <w:p>
            <w:pPr>
              <w:jc w:val="left"/>
            </w:pPr>
            <w:r>
              <w:rPr>
                <w:rFonts w:ascii="Calibri" w:hAnsi="Calibri"/>
                <w:color w:val="1F2937"/>
                <w:sz w:val="19"/>
              </w:rPr>
              <w:t>Distance bucket (&lt;1km, 1-3km, 3-5km, &gt;5km)</w:t>
            </w:r>
          </w:p>
        </w:tc>
        <w:tc>
          <w:tcPr>
            <w:tcW w:type="dxa" w:w="1728"/>
            <w:shd w:fill="FFFFFF"/>
            <w:tcMar>
              <w:top w:w="80" w:type="dxa"/>
              <w:bottom w:w="80" w:type="dxa"/>
              <w:left w:w="120" w:type="dxa"/>
              <w:right w:w="120" w:type="dxa"/>
            </w:tcMar>
          </w:tcPr>
          <w:p>
            <w:pPr>
              <w:jc w:val="left"/>
            </w:pPr>
            <w:r>
              <w:rPr>
                <w:rFonts w:ascii="Calibri" w:hAnsi="Calibri"/>
                <w:color w:val="1F2937"/>
                <w:sz w:val="19"/>
              </w:rPr>
              <w:t>Spatial Dimension</w:t>
            </w:r>
          </w:p>
        </w:tc>
      </w:tr>
      <w:tr>
        <w:tc>
          <w:tcPr>
            <w:tcW w:type="dxa" w:w="2592"/>
            <w:shd w:fill="F8FAFC"/>
            <w:tcMar>
              <w:top w:w="80" w:type="dxa"/>
              <w:bottom w:w="80" w:type="dxa"/>
              <w:left w:w="120" w:type="dxa"/>
              <w:right w:w="120" w:type="dxa"/>
            </w:tcMar>
          </w:tcPr>
          <w:p>
            <w:pPr>
              <w:jc w:val="left"/>
            </w:pPr>
            <w:r>
              <w:rPr>
                <w:rFonts w:ascii="Calibri" w:hAnsi="Calibri"/>
                <w:color w:val="1F2937"/>
                <w:sz w:val="19"/>
              </w:rPr>
              <w:t>Order_Value_Tier</w:t>
            </w:r>
          </w:p>
        </w:tc>
        <w:tc>
          <w:tcPr>
            <w:tcW w:type="dxa" w:w="1440"/>
            <w:shd w:fill="F8FAFC"/>
            <w:tcMar>
              <w:top w:w="80" w:type="dxa"/>
              <w:bottom w:w="80" w:type="dxa"/>
              <w:left w:w="120" w:type="dxa"/>
              <w:right w:w="120" w:type="dxa"/>
            </w:tcMar>
          </w:tcPr>
          <w:p>
            <w:pPr>
              <w:jc w:val="left"/>
            </w:pPr>
            <w:r>
              <w:rPr>
                <w:rFonts w:ascii="Calibri" w:hAnsi="Calibri"/>
                <w:color w:val="1F2937"/>
                <w:sz w:val="19"/>
              </w:rPr>
              <w:t>String</w:t>
            </w:r>
          </w:p>
        </w:tc>
        <w:tc>
          <w:tcPr>
            <w:tcW w:type="dxa" w:w="3600"/>
            <w:shd w:fill="F8FAFC"/>
            <w:tcMar>
              <w:top w:w="80" w:type="dxa"/>
              <w:bottom w:w="80" w:type="dxa"/>
              <w:left w:w="120" w:type="dxa"/>
              <w:right w:w="120" w:type="dxa"/>
            </w:tcMar>
          </w:tcPr>
          <w:p>
            <w:pPr>
              <w:jc w:val="left"/>
            </w:pPr>
            <w:r>
              <w:rPr>
                <w:rFonts w:ascii="Calibri" w:hAnsi="Calibri"/>
                <w:color w:val="1F2937"/>
                <w:sz w:val="19"/>
              </w:rPr>
              <w:t>Price tier (Budget, Standard, Premium, Luxury)</w:t>
            </w:r>
          </w:p>
        </w:tc>
        <w:tc>
          <w:tcPr>
            <w:tcW w:type="dxa" w:w="1728"/>
            <w:shd w:fill="F8FAFC"/>
            <w:tcMar>
              <w:top w:w="80" w:type="dxa"/>
              <w:bottom w:w="80" w:type="dxa"/>
              <w:left w:w="120" w:type="dxa"/>
              <w:right w:w="120" w:type="dxa"/>
            </w:tcMar>
          </w:tcPr>
          <w:p>
            <w:pPr>
              <w:jc w:val="left"/>
            </w:pPr>
            <w:r>
              <w:rPr>
                <w:rFonts w:ascii="Calibri" w:hAnsi="Calibri"/>
                <w:color w:val="1F2937"/>
                <w:sz w:val="19"/>
              </w:rPr>
              <w:t>Financial Dimension</w:t>
            </w:r>
          </w:p>
        </w:tc>
      </w:tr>
    </w:tbl>
    <w:p>
      <w:pPr>
        <w:jc w:val="center"/>
      </w:pPr>
      <w:r>
        <w:rPr>
          <w:i/>
          <w:color w:val="64748B"/>
          <w:sz w:val="19"/>
        </w:rPr>
        <w:t>Table 6.1: Primary Data Dictionary for FoodFlow Analytics Dataset.</w:t>
      </w:r>
    </w:p>
    <w:p>
      <w:pPr>
        <w:keepNext/>
        <w:spacing w:before="320" w:after="120"/>
      </w:pPr>
      <w:r>
        <w:rPr>
          <w:rFonts w:ascii="Calibri" w:hAnsi="Calibri"/>
          <w:b/>
          <w:color w:val="1E3A8A"/>
          <w:sz w:val="36"/>
        </w:rPr>
        <w:t>7. DATA PREPROCESSING AND DATA QUALITY</w:t>
      </w:r>
    </w:p>
    <w:p>
      <w:r>
        <w:rPr>
          <w:rFonts w:ascii="Calibri" w:hAnsi="Calibri"/>
          <w:color w:val="1F2937"/>
          <w:sz w:val="22"/>
        </w:rPr>
        <w:t>To ensure data integrity, a systematic multi-step preprocessing and feature engineering pipeline was executed in Phase 1 and Phase 2 (`src/preprocessing/preprocess.py` and `src/preprocessing/feature_engineering.py`).</w:t>
      </w:r>
    </w:p>
    <w:p>
      <w:pPr>
        <w:pStyle w:val="ListBullet"/>
        <w:spacing w:after="80"/>
      </w:pPr>
      <w:r>
        <w:rPr>
          <w:rFonts w:ascii="Calibri" w:hAnsi="Calibri"/>
          <w:b/>
          <w:color w:val="1F2937"/>
          <w:sz w:val="22"/>
        </w:rPr>
        <w:t xml:space="preserve">1. Duplicate Check: </w:t>
      </w:r>
      <w:r>
        <w:rPr>
          <w:rFonts w:ascii="Calibri" w:hAnsi="Calibri"/>
          <w:color w:val="1F2937"/>
          <w:sz w:val="22"/>
        </w:rPr>
        <w:t>Verified zero full-row duplicates and zero duplicate primary keys across Order_ID.</w:t>
      </w:r>
    </w:p>
    <w:p>
      <w:pPr>
        <w:pStyle w:val="ListBullet"/>
        <w:spacing w:after="80"/>
      </w:pPr>
      <w:r>
        <w:rPr>
          <w:rFonts w:ascii="Calibri" w:hAnsi="Calibri"/>
          <w:b/>
          <w:color w:val="1F2937"/>
          <w:sz w:val="22"/>
        </w:rPr>
        <w:t xml:space="preserve">2. Missing Value Audit: </w:t>
      </w:r>
      <w:r>
        <w:rPr>
          <w:rFonts w:ascii="Calibri" w:hAnsi="Calibri"/>
          <w:color w:val="1F2937"/>
          <w:sz w:val="22"/>
        </w:rPr>
        <w:t>Confirmed 100% complete records across essential telemetric, temporal, spatial, and target columns.</w:t>
      </w:r>
    </w:p>
    <w:p>
      <w:pPr>
        <w:pStyle w:val="ListBullet"/>
        <w:spacing w:after="80"/>
      </w:pPr>
      <w:r>
        <w:rPr>
          <w:rFonts w:ascii="Calibri" w:hAnsi="Calibri"/>
          <w:b/>
          <w:color w:val="1F2937"/>
          <w:sz w:val="22"/>
        </w:rPr>
        <w:t xml:space="preserve">3. Datetime Parsing: </w:t>
      </w:r>
      <w:r>
        <w:rPr>
          <w:rFonts w:ascii="Calibri" w:hAnsi="Calibri"/>
          <w:color w:val="1F2937"/>
          <w:sz w:val="22"/>
        </w:rPr>
        <w:t>Converted string timestamps to ISO datetime64[us] format using `%d-%m-%Y %H:%M` patterns.</w:t>
      </w:r>
    </w:p>
    <w:p>
      <w:pPr>
        <w:pStyle w:val="ListBullet"/>
        <w:spacing w:after="80"/>
      </w:pPr>
      <w:r>
        <w:rPr>
          <w:rFonts w:ascii="Calibri" w:hAnsi="Calibri"/>
          <w:b/>
          <w:color w:val="1F2937"/>
          <w:sz w:val="22"/>
        </w:rPr>
        <w:t xml:space="preserve">4. Duration Validation: </w:t>
      </w:r>
      <w:r>
        <w:rPr>
          <w:rFonts w:ascii="Calibri" w:hAnsi="Calibri"/>
          <w:color w:val="1F2937"/>
          <w:sz w:val="22"/>
        </w:rPr>
        <w:t>Validated `Delivery_Duration_Minutes` against computed `(Delivery_Time - Order_Time)` to ensure absolute mathematical agreement.</w:t>
      </w:r>
    </w:p>
    <w:p>
      <w:pPr>
        <w:pStyle w:val="ListBullet"/>
        <w:spacing w:after="80"/>
      </w:pPr>
      <w:r>
        <w:rPr>
          <w:rFonts w:ascii="Calibri" w:hAnsi="Calibri"/>
          <w:b/>
          <w:color w:val="1F2937"/>
          <w:sz w:val="22"/>
        </w:rPr>
        <w:t xml:space="preserve">5. Feature Engineering: </w:t>
      </w:r>
      <w:r>
        <w:rPr>
          <w:rFonts w:ascii="Calibri" w:hAnsi="Calibri"/>
          <w:color w:val="1F2937"/>
          <w:sz w:val="22"/>
        </w:rPr>
        <w:t>Engineered 32 analytical features including binary SLA delay target flags (`Is_Delayed_TARGET`), excess delay duration (`Delay_Minutes_TARGET`), speed metrics (`Delivery_Speed_kmh_ANALYTICAL`), and ordinal encodings.</w:t>
      </w:r>
    </w:p>
    <w:p>
      <w:pPr>
        <w:keepNext/>
        <w:spacing w:before="320" w:after="120"/>
      </w:pPr>
      <w:r>
        <w:rPr>
          <w:rFonts w:ascii="Calibri" w:hAnsi="Calibri"/>
          <w:b/>
          <w:color w:val="1E3A8A"/>
          <w:sz w:val="36"/>
        </w:rPr>
        <w:t>8. EXPLORATORY DATA ANALYSIS</w:t>
      </w:r>
    </w:p>
    <w:p>
      <w:r>
        <w:rPr>
          <w:rFonts w:ascii="Calibri" w:hAnsi="Calibri"/>
          <w:color w:val="1F2937"/>
          <w:sz w:val="22"/>
        </w:rPr>
        <w:t>Exploratory Data Analysis (EDA) was performed across the 10,000-order benchmark dataset to evaluate operational patterns and SLA delay factors. Below are the key findings organized by analytical dimension.</w:t>
      </w:r>
    </w:p>
    <w:p>
      <w:pPr>
        <w:keepNext/>
        <w:spacing w:before="240" w:after="80"/>
      </w:pPr>
      <w:r>
        <w:rPr>
          <w:rFonts w:ascii="Calibri" w:hAnsi="Calibri"/>
          <w:b/>
          <w:color w:val="2563EB"/>
          <w:sz w:val="28"/>
        </w:rPr>
        <w:t>8.1 Overall Order Performance</w:t>
      </w:r>
    </w:p>
    <w:p>
      <w:r>
        <w:rPr>
          <w:rFonts w:ascii="Calibri" w:hAnsi="Calibri"/>
          <w:color w:val="1F2937"/>
          <w:sz w:val="22"/>
        </w:rPr>
        <w:t>Out of 10,000 total orders, 8,520 orders were successfully delivered (85.20% fulfillment rate), 980 were cancelled (9.80%), and 500 remained in transit (5.00%).</w:t>
      </w:r>
    </w:p>
    <w:p>
      <w:pPr>
        <w:keepNext/>
        <w:spacing w:before="240" w:after="80"/>
      </w:pPr>
      <w:r>
        <w:rPr>
          <w:rFonts w:ascii="Calibri" w:hAnsi="Calibri"/>
          <w:b/>
          <w:color w:val="2563EB"/>
          <w:sz w:val="28"/>
        </w:rPr>
        <w:t>8.2 Delivery Duration Distribution</w:t>
      </w:r>
    </w:p>
    <w:p>
      <w:r>
        <w:rPr>
          <w:rFonts w:ascii="Calibri" w:hAnsi="Calibri"/>
          <w:color w:val="1F2937"/>
          <w:sz w:val="22"/>
        </w:rPr>
        <w:t>Turnaround durations range strictly between 15.0 and 60.0 minutes, with an overall mean of 37.48 minutes (37.50 minutes for delivered orders) and a median of 38.0 minutes.</w:t>
      </w:r>
    </w:p>
    <w:p>
      <w:pPr>
        <w:keepNext/>
        <w:spacing w:before="200" w:after="80"/>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01_delivery_duration_distribution.png"/>
                    <pic:cNvPicPr/>
                  </pic:nvPicPr>
                  <pic:blipFill>
                    <a:blip r:embed="rId11"/>
                    <a:stretch>
                      <a:fillRect/>
                    </a:stretch>
                  </pic:blipFill>
                  <pic:spPr>
                    <a:xfrm>
                      <a:off x="0" y="0"/>
                      <a:ext cx="5029200" cy="3017520"/>
                    </a:xfrm>
                    <a:prstGeom prst="rect"/>
                  </pic:spPr>
                </pic:pic>
              </a:graphicData>
            </a:graphic>
          </wp:inline>
        </w:drawing>
      </w:r>
    </w:p>
    <w:p>
      <w:pPr>
        <w:spacing w:after="240"/>
        <w:jc w:val="center"/>
      </w:pPr>
      <w:r>
        <w:rPr>
          <w:rFonts w:ascii="Calibri" w:hAnsi="Calibri"/>
          <w:i/>
          <w:color w:val="64748B"/>
          <w:sz w:val="19"/>
        </w:rPr>
        <w:t>Figure 8.1: Delivery Duration Distribution with 45-Minute SLA Threshold Marker.</w:t>
      </w:r>
    </w:p>
    <w:p>
      <w:pPr>
        <w:keepNext/>
        <w:spacing w:before="240" w:after="80"/>
      </w:pPr>
      <w:r>
        <w:rPr>
          <w:rFonts w:ascii="Calibri" w:hAnsi="Calibri"/>
          <w:b/>
          <w:color w:val="2563EB"/>
          <w:sz w:val="28"/>
        </w:rPr>
        <w:t>8.3 Delay Analysis</w:t>
      </w:r>
    </w:p>
    <w:p>
      <w:r>
        <w:rPr>
          <w:rFonts w:ascii="Calibri" w:hAnsi="Calibri"/>
          <w:color w:val="1F2937"/>
          <w:sz w:val="22"/>
        </w:rPr>
        <w:t>Orders exceeding 45 minutes are classified as SLA delays. In total, 2,417 orders were delayed (24.17% overall delay rate). Among completed orders, 2,067 were delayed (24.26% delivered delay rate), with an average delay of 5.65 minutes beyond the SLA threshold.</w:t>
      </w:r>
    </w:p>
    <w:p>
      <w:pPr>
        <w:keepNext/>
        <w:spacing w:before="200" w:after="80"/>
        <w:jc w:val="center"/>
      </w:pPr>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02_delay_vs_nondelay_distribution.png"/>
                    <pic:cNvPicPr/>
                  </pic:nvPicPr>
                  <pic:blipFill>
                    <a:blip r:embed="rId12"/>
                    <a:stretch>
                      <a:fillRect/>
                    </a:stretch>
                  </pic:blipFill>
                  <pic:spPr>
                    <a:xfrm>
                      <a:off x="0" y="0"/>
                      <a:ext cx="5029200" cy="3771900"/>
                    </a:xfrm>
                    <a:prstGeom prst="rect"/>
                  </pic:spPr>
                </pic:pic>
              </a:graphicData>
            </a:graphic>
          </wp:inline>
        </w:drawing>
      </w:r>
    </w:p>
    <w:p>
      <w:pPr>
        <w:spacing w:after="240"/>
        <w:jc w:val="center"/>
      </w:pPr>
      <w:r>
        <w:rPr>
          <w:rFonts w:ascii="Calibri" w:hAnsi="Calibri"/>
          <w:i/>
          <w:color w:val="64748B"/>
          <w:sz w:val="19"/>
        </w:rPr>
        <w:t>Figure 8.2: Turnaround Duration Distribution for On-Time vs Delayed Deliveries.</w:t>
      </w:r>
    </w:p>
    <w:p>
      <w:pPr>
        <w:keepNext/>
        <w:spacing w:before="240" w:after="80"/>
      </w:pPr>
      <w:r>
        <w:rPr>
          <w:rFonts w:ascii="Calibri" w:hAnsi="Calibri"/>
          <w:b/>
          <w:color w:val="2563EB"/>
          <w:sz w:val="28"/>
        </w:rPr>
        <w:t>8.4 City Analysis</w:t>
      </w:r>
    </w:p>
    <w:p>
      <w:r>
        <w:rPr>
          <w:rFonts w:ascii="Calibri" w:hAnsi="Calibri"/>
          <w:color w:val="1F2937"/>
          <w:sz w:val="22"/>
        </w:rPr>
        <w:t>Performance across all seven Egyptian cities is remarkably uniform, with mean turnaround times ranging between 37.18 minutes (Giza) and 37.70 minutes (Tanta). Cairo recorded the highest total order volume (1,439 orders).</w:t>
      </w:r>
    </w:p>
    <w:p>
      <w:pPr>
        <w:keepNext/>
        <w:spacing w:before="200" w:after="80"/>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03_delivery_duration_by_city.png"/>
                    <pic:cNvPicPr/>
                  </pic:nvPicPr>
                  <pic:blipFill>
                    <a:blip r:embed="rId13"/>
                    <a:stretch>
                      <a:fillRect/>
                    </a:stretch>
                  </pic:blipFill>
                  <pic:spPr>
                    <a:xfrm>
                      <a:off x="0" y="0"/>
                      <a:ext cx="5029200" cy="3017520"/>
                    </a:xfrm>
                    <a:prstGeom prst="rect"/>
                  </pic:spPr>
                </pic:pic>
              </a:graphicData>
            </a:graphic>
          </wp:inline>
        </w:drawing>
      </w:r>
    </w:p>
    <w:p>
      <w:pPr>
        <w:spacing w:after="240"/>
        <w:jc w:val="center"/>
      </w:pPr>
      <w:r>
        <w:rPr>
          <w:rFonts w:ascii="Calibri" w:hAnsi="Calibri"/>
          <w:i/>
          <w:color w:val="64748B"/>
          <w:sz w:val="19"/>
        </w:rPr>
        <w:t>Figure 8.3: Mean Delivery Duration by City Municipality.</w:t>
      </w:r>
    </w:p>
    <w:p>
      <w:pPr>
        <w:keepNext/>
        <w:spacing w:before="200" w:after="80"/>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04_delay_rate_by_city.png"/>
                    <pic:cNvPicPr/>
                  </pic:nvPicPr>
                  <pic:blipFill>
                    <a:blip r:embed="rId14"/>
                    <a:stretch>
                      <a:fillRect/>
                    </a:stretch>
                  </pic:blipFill>
                  <pic:spPr>
                    <a:xfrm>
                      <a:off x="0" y="0"/>
                      <a:ext cx="5029200" cy="3017520"/>
                    </a:xfrm>
                    <a:prstGeom prst="rect"/>
                  </pic:spPr>
                </pic:pic>
              </a:graphicData>
            </a:graphic>
          </wp:inline>
        </w:drawing>
      </w:r>
    </w:p>
    <w:p>
      <w:pPr>
        <w:spacing w:after="240"/>
        <w:jc w:val="center"/>
      </w:pPr>
      <w:r>
        <w:rPr>
          <w:rFonts w:ascii="Calibri" w:hAnsi="Calibri"/>
          <w:i/>
          <w:color w:val="64748B"/>
          <w:sz w:val="19"/>
        </w:rPr>
        <w:t>Figure 8.4: SLA Delay Rate (%) across Egyptian Cities.</w:t>
      </w:r>
    </w:p>
    <w:p>
      <w:pPr>
        <w:keepNext/>
        <w:spacing w:before="240" w:after="80"/>
      </w:pPr>
      <w:r>
        <w:rPr>
          <w:rFonts w:ascii="Calibri" w:hAnsi="Calibri"/>
          <w:b/>
          <w:color w:val="2563EB"/>
          <w:sz w:val="28"/>
        </w:rPr>
        <w:t>8.5 Traffic Analysis</w:t>
      </w:r>
    </w:p>
    <w:p>
      <w:r>
        <w:rPr>
          <w:rFonts w:ascii="Calibri" w:hAnsi="Calibri"/>
          <w:color w:val="1F2937"/>
          <w:sz w:val="22"/>
        </w:rPr>
        <w:t>Deliveries under Medium traffic recorded a 25.90% SLA delay rate (mean duration 37.89 min), while High traffic recorded 23.03% (37.21 min) and Low traffic recorded 24.14% (37.48 min).</w:t>
      </w:r>
    </w:p>
    <w:p>
      <w:pPr>
        <w:keepNext/>
        <w:spacing w:before="200" w:after="80"/>
        <w:jc w:val="center"/>
      </w:pPr>
      <w:r>
        <w:drawing>
          <wp:inline xmlns:a="http://schemas.openxmlformats.org/drawingml/2006/main" xmlns:pic="http://schemas.openxmlformats.org/drawingml/2006/picture">
            <wp:extent cx="5029200" cy="3352800"/>
            <wp:docPr id="5" name="Picture 5"/>
            <wp:cNvGraphicFramePr>
              <a:graphicFrameLocks noChangeAspect="1"/>
            </wp:cNvGraphicFramePr>
            <a:graphic>
              <a:graphicData uri="http://schemas.openxmlformats.org/drawingml/2006/picture">
                <pic:pic>
                  <pic:nvPicPr>
                    <pic:cNvPr id="0" name="05_delivery_duration_by_traffic.png"/>
                    <pic:cNvPicPr/>
                  </pic:nvPicPr>
                  <pic:blipFill>
                    <a:blip r:embed="rId15"/>
                    <a:stretch>
                      <a:fillRect/>
                    </a:stretch>
                  </pic:blipFill>
                  <pic:spPr>
                    <a:xfrm>
                      <a:off x="0" y="0"/>
                      <a:ext cx="5029200" cy="3352800"/>
                    </a:xfrm>
                    <a:prstGeom prst="rect"/>
                  </pic:spPr>
                </pic:pic>
              </a:graphicData>
            </a:graphic>
          </wp:inline>
        </w:drawing>
      </w:r>
    </w:p>
    <w:p>
      <w:pPr>
        <w:spacing w:after="240"/>
        <w:jc w:val="center"/>
      </w:pPr>
      <w:r>
        <w:rPr>
          <w:rFonts w:ascii="Calibri" w:hAnsi="Calibri"/>
          <w:i/>
          <w:color w:val="64748B"/>
          <w:sz w:val="19"/>
        </w:rPr>
        <w:t>Figure 8.5: Delivery Duration across Traffic Congestion Levels.</w:t>
      </w:r>
    </w:p>
    <w:p>
      <w:pPr>
        <w:keepNext/>
        <w:spacing w:before="200" w:after="80"/>
        <w:jc w:val="center"/>
      </w:pPr>
      <w:r>
        <w:drawing>
          <wp:inline xmlns:a="http://schemas.openxmlformats.org/drawingml/2006/main" xmlns:pic="http://schemas.openxmlformats.org/drawingml/2006/picture">
            <wp:extent cx="5029200" cy="3352800"/>
            <wp:docPr id="6" name="Picture 6"/>
            <wp:cNvGraphicFramePr>
              <a:graphicFrameLocks noChangeAspect="1"/>
            </wp:cNvGraphicFramePr>
            <a:graphic>
              <a:graphicData uri="http://schemas.openxmlformats.org/drawingml/2006/picture">
                <pic:pic>
                  <pic:nvPicPr>
                    <pic:cNvPr id="0" name="06_delay_rate_by_traffic.png"/>
                    <pic:cNvPicPr/>
                  </pic:nvPicPr>
                  <pic:blipFill>
                    <a:blip r:embed="rId16"/>
                    <a:stretch>
                      <a:fillRect/>
                    </a:stretch>
                  </pic:blipFill>
                  <pic:spPr>
                    <a:xfrm>
                      <a:off x="0" y="0"/>
                      <a:ext cx="5029200" cy="3352800"/>
                    </a:xfrm>
                    <a:prstGeom prst="rect"/>
                  </pic:spPr>
                </pic:pic>
              </a:graphicData>
            </a:graphic>
          </wp:inline>
        </w:drawing>
      </w:r>
    </w:p>
    <w:p>
      <w:pPr>
        <w:spacing w:after="240"/>
        <w:jc w:val="center"/>
      </w:pPr>
      <w:r>
        <w:rPr>
          <w:rFonts w:ascii="Calibri" w:hAnsi="Calibri"/>
          <w:i/>
          <w:color w:val="64748B"/>
          <w:sz w:val="19"/>
        </w:rPr>
        <w:t>Figure 8.6: SLA Delay Rate (%) by Traffic Congestion Level.</w:t>
      </w:r>
    </w:p>
    <w:p>
      <w:pPr>
        <w:keepNext/>
        <w:spacing w:before="240" w:after="80"/>
      </w:pPr>
      <w:r>
        <w:rPr>
          <w:rFonts w:ascii="Calibri" w:hAnsi="Calibri"/>
          <w:b/>
          <w:color w:val="2563EB"/>
          <w:sz w:val="28"/>
        </w:rPr>
        <w:t>8.6 Time-of-Day Analysis</w:t>
      </w:r>
    </w:p>
    <w:p>
      <w:r>
        <w:rPr>
          <w:rFonts w:ascii="Calibri" w:hAnsi="Calibri"/>
          <w:color w:val="1F2937"/>
          <w:sz w:val="22"/>
        </w:rPr>
        <w:t>Across six 4-hour temporal segments, Night hours (16:00–20:00) exhibited the lowest SLA delay rate (22.16%), whereas Afternoon (08:00–12:00) recorded the highest (25.25%).</w:t>
      </w:r>
    </w:p>
    <w:p>
      <w:pPr>
        <w:keepNext/>
        <w:spacing w:before="200" w:after="80"/>
        <w:jc w:val="center"/>
      </w:pPr>
      <w:r>
        <w:drawing>
          <wp:inline xmlns:a="http://schemas.openxmlformats.org/drawingml/2006/main" xmlns:pic="http://schemas.openxmlformats.org/drawingml/2006/picture">
            <wp:extent cx="5029200" cy="3017520"/>
            <wp:docPr id="7" name="Picture 7"/>
            <wp:cNvGraphicFramePr>
              <a:graphicFrameLocks noChangeAspect="1"/>
            </wp:cNvGraphicFramePr>
            <a:graphic>
              <a:graphicData uri="http://schemas.openxmlformats.org/drawingml/2006/picture">
                <pic:pic>
                  <pic:nvPicPr>
                    <pic:cNvPr id="0" name="08_delay_rate_by_time_of_day.png"/>
                    <pic:cNvPicPr/>
                  </pic:nvPicPr>
                  <pic:blipFill>
                    <a:blip r:embed="rId17"/>
                    <a:stretch>
                      <a:fillRect/>
                    </a:stretch>
                  </pic:blipFill>
                  <pic:spPr>
                    <a:xfrm>
                      <a:off x="0" y="0"/>
                      <a:ext cx="5029200" cy="3017520"/>
                    </a:xfrm>
                    <a:prstGeom prst="rect"/>
                  </pic:spPr>
                </pic:pic>
              </a:graphicData>
            </a:graphic>
          </wp:inline>
        </w:drawing>
      </w:r>
    </w:p>
    <w:p>
      <w:pPr>
        <w:spacing w:after="240"/>
        <w:jc w:val="center"/>
      </w:pPr>
      <w:r>
        <w:rPr>
          <w:rFonts w:ascii="Calibri" w:hAnsi="Calibri"/>
          <w:i/>
          <w:color w:val="64748B"/>
          <w:sz w:val="19"/>
        </w:rPr>
        <w:t>Figure 8.7: SLA Delay Rate (%) across Time-of-Day Segments.</w:t>
      </w:r>
    </w:p>
    <w:p>
      <w:pPr>
        <w:keepNext/>
        <w:spacing w:before="240" w:after="80"/>
      </w:pPr>
      <w:r>
        <w:rPr>
          <w:rFonts w:ascii="Calibri" w:hAnsi="Calibri"/>
          <w:b/>
          <w:color w:val="2563EB"/>
          <w:sz w:val="28"/>
        </w:rPr>
        <w:t>8.7 Day-of-Week Analysis</w:t>
      </w:r>
    </w:p>
    <w:p>
      <w:r>
        <w:rPr>
          <w:rFonts w:ascii="Calibri" w:hAnsi="Calibri"/>
          <w:color w:val="1F2937"/>
          <w:sz w:val="22"/>
        </w:rPr>
        <w:t>Weekly SLA delay rates ranged from a low of 22.15% on Monday (mean duration 37.22 min) to a peak of 26.04% on Wednesday (mean duration 37.72 min).</w:t>
      </w:r>
    </w:p>
    <w:p>
      <w:pPr>
        <w:keepNext/>
        <w:spacing w:before="200" w:after="80"/>
        <w:jc w:val="center"/>
      </w:pPr>
      <w:r>
        <w:drawing>
          <wp:inline xmlns:a="http://schemas.openxmlformats.org/drawingml/2006/main" xmlns:pic="http://schemas.openxmlformats.org/drawingml/2006/picture">
            <wp:extent cx="5029200" cy="3017520"/>
            <wp:docPr id="8" name="Picture 8"/>
            <wp:cNvGraphicFramePr>
              <a:graphicFrameLocks noChangeAspect="1"/>
            </wp:cNvGraphicFramePr>
            <a:graphic>
              <a:graphicData uri="http://schemas.openxmlformats.org/drawingml/2006/picture">
                <pic:pic>
                  <pic:nvPicPr>
                    <pic:cNvPr id="0" name="09_delay_rate_by_day_of_week.png"/>
                    <pic:cNvPicPr/>
                  </pic:nvPicPr>
                  <pic:blipFill>
                    <a:blip r:embed="rId18"/>
                    <a:stretch>
                      <a:fillRect/>
                    </a:stretch>
                  </pic:blipFill>
                  <pic:spPr>
                    <a:xfrm>
                      <a:off x="0" y="0"/>
                      <a:ext cx="5029200" cy="3017520"/>
                    </a:xfrm>
                    <a:prstGeom prst="rect"/>
                  </pic:spPr>
                </pic:pic>
              </a:graphicData>
            </a:graphic>
          </wp:inline>
        </w:drawing>
      </w:r>
    </w:p>
    <w:p>
      <w:pPr>
        <w:spacing w:after="240"/>
        <w:jc w:val="center"/>
      </w:pPr>
      <w:r>
        <w:rPr>
          <w:rFonts w:ascii="Calibri" w:hAnsi="Calibri"/>
          <w:i/>
          <w:color w:val="64748B"/>
          <w:sz w:val="19"/>
        </w:rPr>
        <w:t>Figure 8.8: SLA Delay Rate (%) by Day of Week.</w:t>
      </w:r>
    </w:p>
    <w:p>
      <w:pPr>
        <w:keepNext/>
        <w:spacing w:before="240" w:after="80"/>
      </w:pPr>
      <w:r>
        <w:rPr>
          <w:rFonts w:ascii="Calibri" w:hAnsi="Calibri"/>
          <w:b/>
          <w:color w:val="2563EB"/>
          <w:sz w:val="28"/>
        </w:rPr>
        <w:t>8.8 Vehicle Analysis</w:t>
      </w:r>
    </w:p>
    <w:p>
      <w:r>
        <w:rPr>
          <w:rFonts w:ascii="Calibri" w:hAnsi="Calibri"/>
          <w:color w:val="1F2937"/>
          <w:sz w:val="22"/>
        </w:rPr>
        <w:t>Fleet vehicle modes showed comparable SLA delay rates: Bicycles (24.14%), Motorbikes (24.08%), and Cars (24.56%), with mean turnaround times differing by less than 0.5 minutes.</w:t>
      </w:r>
    </w:p>
    <w:p>
      <w:pPr>
        <w:keepNext/>
        <w:spacing w:before="240" w:after="80"/>
      </w:pPr>
      <w:r>
        <w:rPr>
          <w:rFonts w:ascii="Calibri" w:hAnsi="Calibri"/>
          <w:b/>
          <w:color w:val="2563EB"/>
          <w:sz w:val="28"/>
        </w:rPr>
        <w:t>8.9 Distance Analysis</w:t>
      </w:r>
    </w:p>
    <w:p>
      <w:r>
        <w:rPr>
          <w:rFonts w:ascii="Calibri" w:hAnsi="Calibri"/>
          <w:color w:val="1F2937"/>
          <w:sz w:val="22"/>
        </w:rPr>
        <w:t>Trip distances average 2.15 km across the dataset. Pearson correlation between delivery distance and turnaround duration is r = -0.0119, indicating distance is not the primary driver of duration.</w:t>
      </w:r>
    </w:p>
    <w:p>
      <w:pPr>
        <w:keepNext/>
        <w:spacing w:before="200" w:after="80"/>
        <w:jc w:val="center"/>
      </w:pPr>
      <w:r>
        <w:drawing>
          <wp:inline xmlns:a="http://schemas.openxmlformats.org/drawingml/2006/main" xmlns:pic="http://schemas.openxmlformats.org/drawingml/2006/picture">
            <wp:extent cx="5029200" cy="3017520"/>
            <wp:docPr id="9" name="Picture 9"/>
            <wp:cNvGraphicFramePr>
              <a:graphicFrameLocks noChangeAspect="1"/>
            </wp:cNvGraphicFramePr>
            <a:graphic>
              <a:graphicData uri="http://schemas.openxmlformats.org/drawingml/2006/picture">
                <pic:pic>
                  <pic:nvPicPr>
                    <pic:cNvPr id="0" name="07_duration_vs_distance.png"/>
                    <pic:cNvPicPr/>
                  </pic:nvPicPr>
                  <pic:blipFill>
                    <a:blip r:embed="rId19"/>
                    <a:stretch>
                      <a:fillRect/>
                    </a:stretch>
                  </pic:blipFill>
                  <pic:spPr>
                    <a:xfrm>
                      <a:off x="0" y="0"/>
                      <a:ext cx="5029200" cy="3017520"/>
                    </a:xfrm>
                    <a:prstGeom prst="rect"/>
                  </pic:spPr>
                </pic:pic>
              </a:graphicData>
            </a:graphic>
          </wp:inline>
        </w:drawing>
      </w:r>
    </w:p>
    <w:p>
      <w:pPr>
        <w:spacing w:after="240"/>
        <w:jc w:val="center"/>
      </w:pPr>
      <w:r>
        <w:rPr>
          <w:rFonts w:ascii="Calibri" w:hAnsi="Calibri"/>
          <w:i/>
          <w:color w:val="64748B"/>
          <w:sz w:val="19"/>
        </w:rPr>
        <w:t>Figure 8.9: Scatter Plot of Turnaround Duration vs. Delivery Distance (km).</w:t>
      </w:r>
    </w:p>
    <w:p>
      <w:pPr>
        <w:keepNext/>
        <w:spacing w:before="240" w:after="80"/>
      </w:pPr>
      <w:r>
        <w:rPr>
          <w:rFonts w:ascii="Calibri" w:hAnsi="Calibri"/>
          <w:b/>
          <w:color w:val="2563EB"/>
          <w:sz w:val="28"/>
        </w:rPr>
        <w:t>8.10 Order Value Analysis</w:t>
      </w:r>
    </w:p>
    <w:p>
      <w:r>
        <w:rPr>
          <w:rFonts w:ascii="Calibri" w:hAnsi="Calibri"/>
          <w:color w:val="1F2937"/>
          <w:sz w:val="22"/>
        </w:rPr>
        <w:t>Order value tiers (Budget &lt;100 EGP, Standard 100-300, Premium 300-500, Luxury &gt;500) show similar turnaround times (~37.2 to 38.0 min).</w:t>
      </w:r>
    </w:p>
    <w:p>
      <w:pPr>
        <w:keepNext/>
        <w:spacing w:before="200" w:after="80"/>
        <w:jc w:val="center"/>
      </w:pPr>
      <w:r>
        <w:drawing>
          <wp:inline xmlns:a="http://schemas.openxmlformats.org/drawingml/2006/main" xmlns:pic="http://schemas.openxmlformats.org/drawingml/2006/picture">
            <wp:extent cx="5029200" cy="3017520"/>
            <wp:docPr id="10" name="Picture 10"/>
            <wp:cNvGraphicFramePr>
              <a:graphicFrameLocks noChangeAspect="1"/>
            </wp:cNvGraphicFramePr>
            <a:graphic>
              <a:graphicData uri="http://schemas.openxmlformats.org/drawingml/2006/picture">
                <pic:pic>
                  <pic:nvPicPr>
                    <pic:cNvPr id="0" name="10_duration_by_order_value_tier.png"/>
                    <pic:cNvPicPr/>
                  </pic:nvPicPr>
                  <pic:blipFill>
                    <a:blip r:embed="rId20"/>
                    <a:stretch>
                      <a:fillRect/>
                    </a:stretch>
                  </pic:blipFill>
                  <pic:spPr>
                    <a:xfrm>
                      <a:off x="0" y="0"/>
                      <a:ext cx="5029200" cy="3017520"/>
                    </a:xfrm>
                    <a:prstGeom prst="rect"/>
                  </pic:spPr>
                </pic:pic>
              </a:graphicData>
            </a:graphic>
          </wp:inline>
        </w:drawing>
      </w:r>
    </w:p>
    <w:p>
      <w:pPr>
        <w:spacing w:after="240"/>
        <w:jc w:val="center"/>
      </w:pPr>
      <w:r>
        <w:rPr>
          <w:rFonts w:ascii="Calibri" w:hAnsi="Calibri"/>
          <w:i/>
          <w:color w:val="64748B"/>
          <w:sz w:val="19"/>
        </w:rPr>
        <w:t>Figure 8.10: Delivery Duration across Order Value Tiers.</w:t>
      </w:r>
    </w:p>
    <w:p>
      <w:pPr>
        <w:keepNext/>
        <w:spacing w:before="240" w:after="80"/>
      </w:pPr>
      <w:r>
        <w:rPr>
          <w:rFonts w:ascii="Calibri" w:hAnsi="Calibri"/>
          <w:b/>
          <w:color w:val="2563EB"/>
          <w:sz w:val="28"/>
        </w:rPr>
        <w:t>8.11 Order Quantity Analysis</w:t>
      </w:r>
    </w:p>
    <w:p>
      <w:r>
        <w:rPr>
          <w:rFonts w:ascii="Calibri" w:hAnsi="Calibri"/>
          <w:color w:val="1F2937"/>
          <w:sz w:val="22"/>
        </w:rPr>
        <w:t>Multi-item orders (4–5 items) exhibited slightly higher SLA delay rates (+1.2%), suggesting potential kitchen prep bottlenecks.</w:t>
      </w:r>
    </w:p>
    <w:p>
      <w:pPr>
        <w:keepNext/>
        <w:spacing w:before="240" w:after="80"/>
      </w:pPr>
      <w:r>
        <w:rPr>
          <w:rFonts w:ascii="Calibri" w:hAnsi="Calibri"/>
          <w:b/>
          <w:color w:val="2563EB"/>
          <w:sz w:val="28"/>
        </w:rPr>
        <w:t>8.12 Correlation Analysis</w:t>
      </w:r>
    </w:p>
    <w:p>
      <w:r>
        <w:rPr>
          <w:rFonts w:ascii="Calibri" w:hAnsi="Calibri"/>
          <w:color w:val="1F2937"/>
          <w:sz w:val="22"/>
        </w:rPr>
        <w:t>Correlation analysis confirms near-zero correlations between spatial features and delivery duration, highlighting fixed kitchen and dispatch overhead as dominant factors.</w:t>
      </w:r>
    </w:p>
    <w:p>
      <w:pPr>
        <w:keepNext/>
        <w:spacing w:before="320" w:after="120"/>
      </w:pPr>
      <w:r>
        <w:rPr>
          <w:rFonts w:ascii="Calibri" w:hAnsi="Calibri"/>
          <w:b/>
          <w:color w:val="1E3A8A"/>
          <w:sz w:val="36"/>
        </w:rPr>
        <w:t>9. KEY PERFORMANCE INDICATORS</w:t>
      </w:r>
    </w:p>
    <w:p>
      <w:r>
        <w:rPr>
          <w:rFonts w:ascii="Calibri" w:hAnsi="Calibri"/>
          <w:color w:val="1F2937"/>
          <w:sz w:val="22"/>
        </w:rPr>
        <w:t>Table 9.1 summarizes the overall baseline operational KPIs calculated from the 10,000-order benchmark dataset.</w:t>
      </w:r>
    </w:p>
    <w:tbl>
      <w:tblPr>
        <w:tblW w:type="auto" w:w="0"/>
        <w:jc w:val="center"/>
        <w:tblLook w:firstColumn="1" w:firstRow="1" w:lastColumn="0" w:lastRow="0" w:noHBand="0" w:noVBand="1" w:val="04A0"/>
        <w:tblBorders>
          <w:top w:val="single" w:sz="4" w:space="0" w:color="CBD5E1"/>
          <w:bottom w:val="single" w:sz="6" w:space="0" w:color="1E3A8A"/>
          <w:insideH w:val="single" w:sz="4" w:space="0" w:color="CBD5E1"/>
          <w:insideV w:val="none"/>
          <w:left w:val="none"/>
          <w:right w:val="none"/>
        </w:tblBorders>
      </w:tblPr>
      <w:tblGrid>
        <w:gridCol w:w="3120"/>
        <w:gridCol w:w="3120"/>
        <w:gridCol w:w="3120"/>
      </w:tblGrid>
      <w:tr>
        <w:tc>
          <w:tcPr>
            <w:tcW w:type="dxa" w:w="3600"/>
            <w:shd w:fill="1E3A8A"/>
            <w:tcMar>
              <w:top w:w="80" w:type="dxa"/>
              <w:bottom w:w="80" w:type="dxa"/>
              <w:left w:w="120" w:type="dxa"/>
              <w:right w:w="120" w:type="dxa"/>
            </w:tcMar>
          </w:tcPr>
          <w:p>
            <w:pPr>
              <w:jc w:val="left"/>
            </w:pPr>
            <w:r>
              <w:rPr>
                <w:rFonts w:ascii="Calibri" w:hAnsi="Calibri"/>
                <w:b/>
                <w:color w:val="FFFFFF"/>
                <w:sz w:val="20"/>
              </w:rPr>
              <w:t>KPI Metric Name</w:t>
            </w:r>
          </w:p>
        </w:tc>
        <w:tc>
          <w:tcPr>
            <w:tcW w:type="dxa" w:w="1728"/>
            <w:shd w:fill="1E3A8A"/>
            <w:tcMar>
              <w:top w:w="80" w:type="dxa"/>
              <w:bottom w:w="80" w:type="dxa"/>
              <w:left w:w="120" w:type="dxa"/>
              <w:right w:w="120" w:type="dxa"/>
            </w:tcMar>
          </w:tcPr>
          <w:p>
            <w:pPr>
              <w:jc w:val="left"/>
            </w:pPr>
            <w:r>
              <w:rPr>
                <w:rFonts w:ascii="Calibri" w:hAnsi="Calibri"/>
                <w:b/>
                <w:color w:val="FFFFFF"/>
                <w:sz w:val="20"/>
              </w:rPr>
              <w:t>Value</w:t>
            </w:r>
          </w:p>
        </w:tc>
        <w:tc>
          <w:tcPr>
            <w:tcW w:type="dxa" w:w="4032"/>
            <w:shd w:fill="1E3A8A"/>
            <w:tcMar>
              <w:top w:w="80" w:type="dxa"/>
              <w:bottom w:w="80" w:type="dxa"/>
              <w:left w:w="120" w:type="dxa"/>
              <w:right w:w="120" w:type="dxa"/>
            </w:tcMar>
          </w:tcPr>
          <w:p>
            <w:pPr>
              <w:jc w:val="left"/>
            </w:pPr>
            <w:r>
              <w:rPr>
                <w:rFonts w:ascii="Calibri" w:hAnsi="Calibri"/>
                <w:b/>
                <w:color w:val="FFFFFF"/>
                <w:sz w:val="20"/>
              </w:rPr>
              <w:t>Operational Definition</w:t>
            </w:r>
          </w:p>
        </w:tc>
      </w:tr>
      <w:tr>
        <w:tc>
          <w:tcPr>
            <w:tcW w:type="dxa" w:w="3600"/>
            <w:shd w:fill="FFFFFF"/>
            <w:tcMar>
              <w:top w:w="80" w:type="dxa"/>
              <w:bottom w:w="80" w:type="dxa"/>
              <w:left w:w="120" w:type="dxa"/>
              <w:right w:w="120" w:type="dxa"/>
            </w:tcMar>
          </w:tcPr>
          <w:p>
            <w:pPr>
              <w:jc w:val="left"/>
            </w:pPr>
            <w:r>
              <w:rPr>
                <w:rFonts w:ascii="Calibri" w:hAnsi="Calibri"/>
                <w:color w:val="1F2937"/>
                <w:sz w:val="19"/>
              </w:rPr>
              <w:t>Total Orders</w:t>
            </w:r>
          </w:p>
        </w:tc>
        <w:tc>
          <w:tcPr>
            <w:tcW w:type="dxa" w:w="1728"/>
            <w:shd w:fill="FFFFFF"/>
            <w:tcMar>
              <w:top w:w="80" w:type="dxa"/>
              <w:bottom w:w="80" w:type="dxa"/>
              <w:left w:w="120" w:type="dxa"/>
              <w:right w:w="120" w:type="dxa"/>
            </w:tcMar>
          </w:tcPr>
          <w:p>
            <w:pPr>
              <w:jc w:val="left"/>
            </w:pPr>
            <w:r>
              <w:rPr>
                <w:rFonts w:ascii="Calibri" w:hAnsi="Calibri"/>
                <w:color w:val="1F2937"/>
                <w:sz w:val="19"/>
              </w:rPr>
              <w:t>10,000</w:t>
            </w:r>
          </w:p>
        </w:tc>
        <w:tc>
          <w:tcPr>
            <w:tcW w:type="dxa" w:w="4032"/>
            <w:shd w:fill="FFFFFF"/>
            <w:tcMar>
              <w:top w:w="80" w:type="dxa"/>
              <w:bottom w:w="80" w:type="dxa"/>
              <w:left w:w="120" w:type="dxa"/>
              <w:right w:w="120" w:type="dxa"/>
            </w:tcMar>
          </w:tcPr>
          <w:p>
            <w:pPr>
              <w:jc w:val="left"/>
            </w:pPr>
            <w:r>
              <w:rPr>
                <w:rFonts w:ascii="Calibri" w:hAnsi="Calibri"/>
                <w:color w:val="1F2937"/>
                <w:sz w:val="19"/>
              </w:rPr>
              <w:t>Total orders in benchmark dataset</w:t>
            </w:r>
          </w:p>
        </w:tc>
      </w:tr>
      <w:tr>
        <w:tc>
          <w:tcPr>
            <w:tcW w:type="dxa" w:w="3600"/>
            <w:shd w:fill="F8FAFC"/>
            <w:tcMar>
              <w:top w:w="80" w:type="dxa"/>
              <w:bottom w:w="80" w:type="dxa"/>
              <w:left w:w="120" w:type="dxa"/>
              <w:right w:w="120" w:type="dxa"/>
            </w:tcMar>
          </w:tcPr>
          <w:p>
            <w:pPr>
              <w:jc w:val="left"/>
            </w:pPr>
            <w:r>
              <w:rPr>
                <w:rFonts w:ascii="Calibri" w:hAnsi="Calibri"/>
                <w:color w:val="1F2937"/>
                <w:sz w:val="19"/>
              </w:rPr>
              <w:t>Delivered Orders</w:t>
            </w:r>
          </w:p>
        </w:tc>
        <w:tc>
          <w:tcPr>
            <w:tcW w:type="dxa" w:w="1728"/>
            <w:shd w:fill="F8FAFC"/>
            <w:tcMar>
              <w:top w:w="80" w:type="dxa"/>
              <w:bottom w:w="80" w:type="dxa"/>
              <w:left w:w="120" w:type="dxa"/>
              <w:right w:w="120" w:type="dxa"/>
            </w:tcMar>
          </w:tcPr>
          <w:p>
            <w:pPr>
              <w:jc w:val="left"/>
            </w:pPr>
            <w:r>
              <w:rPr>
                <w:rFonts w:ascii="Calibri" w:hAnsi="Calibri"/>
                <w:color w:val="1F2937"/>
                <w:sz w:val="19"/>
              </w:rPr>
              <w:t>8,520</w:t>
            </w:r>
          </w:p>
        </w:tc>
        <w:tc>
          <w:tcPr>
            <w:tcW w:type="dxa" w:w="4032"/>
            <w:shd w:fill="F8FAFC"/>
            <w:tcMar>
              <w:top w:w="80" w:type="dxa"/>
              <w:bottom w:w="80" w:type="dxa"/>
              <w:left w:w="120" w:type="dxa"/>
              <w:right w:w="120" w:type="dxa"/>
            </w:tcMar>
          </w:tcPr>
          <w:p>
            <w:pPr>
              <w:jc w:val="left"/>
            </w:pPr>
            <w:r>
              <w:rPr>
                <w:rFonts w:ascii="Calibri" w:hAnsi="Calibri"/>
                <w:color w:val="1F2937"/>
                <w:sz w:val="19"/>
              </w:rPr>
              <w:t>Completed orders (85.20% fulfillment rate)</w:t>
            </w:r>
          </w:p>
        </w:tc>
      </w:tr>
      <w:tr>
        <w:tc>
          <w:tcPr>
            <w:tcW w:type="dxa" w:w="3600"/>
            <w:shd w:fill="FFFFFF"/>
            <w:tcMar>
              <w:top w:w="80" w:type="dxa"/>
              <w:bottom w:w="80" w:type="dxa"/>
              <w:left w:w="120" w:type="dxa"/>
              <w:right w:w="120" w:type="dxa"/>
            </w:tcMar>
          </w:tcPr>
          <w:p>
            <w:pPr>
              <w:jc w:val="left"/>
            </w:pPr>
            <w:r>
              <w:rPr>
                <w:rFonts w:ascii="Calibri" w:hAnsi="Calibri"/>
                <w:color w:val="1F2937"/>
                <w:sz w:val="19"/>
              </w:rPr>
              <w:t>Cancelled Orders</w:t>
            </w:r>
          </w:p>
        </w:tc>
        <w:tc>
          <w:tcPr>
            <w:tcW w:type="dxa" w:w="1728"/>
            <w:shd w:fill="FFFFFF"/>
            <w:tcMar>
              <w:top w:w="80" w:type="dxa"/>
              <w:bottom w:w="80" w:type="dxa"/>
              <w:left w:w="120" w:type="dxa"/>
              <w:right w:w="120" w:type="dxa"/>
            </w:tcMar>
          </w:tcPr>
          <w:p>
            <w:pPr>
              <w:jc w:val="left"/>
            </w:pPr>
            <w:r>
              <w:rPr>
                <w:rFonts w:ascii="Calibri" w:hAnsi="Calibri"/>
                <w:color w:val="1F2937"/>
                <w:sz w:val="19"/>
              </w:rPr>
              <w:t>980</w:t>
            </w:r>
          </w:p>
        </w:tc>
        <w:tc>
          <w:tcPr>
            <w:tcW w:type="dxa" w:w="4032"/>
            <w:shd w:fill="FFFFFF"/>
            <w:tcMar>
              <w:top w:w="80" w:type="dxa"/>
              <w:bottom w:w="80" w:type="dxa"/>
              <w:left w:w="120" w:type="dxa"/>
              <w:right w:w="120" w:type="dxa"/>
            </w:tcMar>
          </w:tcPr>
          <w:p>
            <w:pPr>
              <w:jc w:val="left"/>
            </w:pPr>
            <w:r>
              <w:rPr>
                <w:rFonts w:ascii="Calibri" w:hAnsi="Calibri"/>
                <w:color w:val="1F2937"/>
                <w:sz w:val="19"/>
              </w:rPr>
              <w:t>Cancelled orders (9.80% cancellation rate)</w:t>
            </w:r>
          </w:p>
        </w:tc>
      </w:tr>
      <w:tr>
        <w:tc>
          <w:tcPr>
            <w:tcW w:type="dxa" w:w="3600"/>
            <w:shd w:fill="F8FAFC"/>
            <w:tcMar>
              <w:top w:w="80" w:type="dxa"/>
              <w:bottom w:w="80" w:type="dxa"/>
              <w:left w:w="120" w:type="dxa"/>
              <w:right w:w="120" w:type="dxa"/>
            </w:tcMar>
          </w:tcPr>
          <w:p>
            <w:pPr>
              <w:jc w:val="left"/>
            </w:pPr>
            <w:r>
              <w:rPr>
                <w:rFonts w:ascii="Calibri" w:hAnsi="Calibri"/>
                <w:color w:val="1F2937"/>
                <w:sz w:val="19"/>
              </w:rPr>
              <w:t>In-Transit Orders</w:t>
            </w:r>
          </w:p>
        </w:tc>
        <w:tc>
          <w:tcPr>
            <w:tcW w:type="dxa" w:w="1728"/>
            <w:shd w:fill="F8FAFC"/>
            <w:tcMar>
              <w:top w:w="80" w:type="dxa"/>
              <w:bottom w:w="80" w:type="dxa"/>
              <w:left w:w="120" w:type="dxa"/>
              <w:right w:w="120" w:type="dxa"/>
            </w:tcMar>
          </w:tcPr>
          <w:p>
            <w:pPr>
              <w:jc w:val="left"/>
            </w:pPr>
            <w:r>
              <w:rPr>
                <w:rFonts w:ascii="Calibri" w:hAnsi="Calibri"/>
                <w:color w:val="1F2937"/>
                <w:sz w:val="19"/>
              </w:rPr>
              <w:t>500</w:t>
            </w:r>
          </w:p>
        </w:tc>
        <w:tc>
          <w:tcPr>
            <w:tcW w:type="dxa" w:w="4032"/>
            <w:shd w:fill="F8FAFC"/>
            <w:tcMar>
              <w:top w:w="80" w:type="dxa"/>
              <w:bottom w:w="80" w:type="dxa"/>
              <w:left w:w="120" w:type="dxa"/>
              <w:right w:w="120" w:type="dxa"/>
            </w:tcMar>
          </w:tcPr>
          <w:p>
            <w:pPr>
              <w:jc w:val="left"/>
            </w:pPr>
            <w:r>
              <w:rPr>
                <w:rFonts w:ascii="Calibri" w:hAnsi="Calibri"/>
                <w:color w:val="1F2937"/>
                <w:sz w:val="19"/>
              </w:rPr>
              <w:t>Active deliveries (5.00% in-transit rate)</w:t>
            </w:r>
          </w:p>
        </w:tc>
      </w:tr>
      <w:tr>
        <w:tc>
          <w:tcPr>
            <w:tcW w:type="dxa" w:w="3600"/>
            <w:shd w:fill="FFFFFF"/>
            <w:tcMar>
              <w:top w:w="80" w:type="dxa"/>
              <w:bottom w:w="80" w:type="dxa"/>
              <w:left w:w="120" w:type="dxa"/>
              <w:right w:w="120" w:type="dxa"/>
            </w:tcMar>
          </w:tcPr>
          <w:p>
            <w:pPr>
              <w:jc w:val="left"/>
            </w:pPr>
            <w:r>
              <w:rPr>
                <w:rFonts w:ascii="Calibri" w:hAnsi="Calibri"/>
                <w:color w:val="1F2937"/>
                <w:sz w:val="19"/>
              </w:rPr>
              <w:t>Delivered SLA Delay Rate</w:t>
            </w:r>
          </w:p>
        </w:tc>
        <w:tc>
          <w:tcPr>
            <w:tcW w:type="dxa" w:w="1728"/>
            <w:shd w:fill="FFFFFF"/>
            <w:tcMar>
              <w:top w:w="80" w:type="dxa"/>
              <w:bottom w:w="80" w:type="dxa"/>
              <w:left w:w="120" w:type="dxa"/>
              <w:right w:w="120" w:type="dxa"/>
            </w:tcMar>
          </w:tcPr>
          <w:p>
            <w:pPr>
              <w:jc w:val="left"/>
            </w:pPr>
            <w:r>
              <w:rPr>
                <w:rFonts w:ascii="Calibri" w:hAnsi="Calibri"/>
                <w:color w:val="1F2937"/>
                <w:sz w:val="19"/>
              </w:rPr>
              <w:t>24.26%</w:t>
            </w:r>
          </w:p>
        </w:tc>
        <w:tc>
          <w:tcPr>
            <w:tcW w:type="dxa" w:w="4032"/>
            <w:shd w:fill="FFFFFF"/>
            <w:tcMar>
              <w:top w:w="80" w:type="dxa"/>
              <w:bottom w:w="80" w:type="dxa"/>
              <w:left w:w="120" w:type="dxa"/>
              <w:right w:w="120" w:type="dxa"/>
            </w:tcMar>
          </w:tcPr>
          <w:p>
            <w:pPr>
              <w:jc w:val="left"/>
            </w:pPr>
            <w:r>
              <w:rPr>
                <w:rFonts w:ascii="Calibri" w:hAnsi="Calibri"/>
                <w:color w:val="1F2937"/>
                <w:sz w:val="19"/>
              </w:rPr>
              <w:t>Completed orders exceeding 45 min threshold</w:t>
            </w:r>
          </w:p>
        </w:tc>
      </w:tr>
      <w:tr>
        <w:tc>
          <w:tcPr>
            <w:tcW w:type="dxa" w:w="3600"/>
            <w:shd w:fill="F8FAFC"/>
            <w:tcMar>
              <w:top w:w="80" w:type="dxa"/>
              <w:bottom w:w="80" w:type="dxa"/>
              <w:left w:w="120" w:type="dxa"/>
              <w:right w:w="120" w:type="dxa"/>
            </w:tcMar>
          </w:tcPr>
          <w:p>
            <w:pPr>
              <w:jc w:val="left"/>
            </w:pPr>
            <w:r>
              <w:rPr>
                <w:rFonts w:ascii="Calibri" w:hAnsi="Calibri"/>
                <w:color w:val="1F2937"/>
                <w:sz w:val="19"/>
              </w:rPr>
              <w:t>Overall SLA Delay Rate</w:t>
            </w:r>
          </w:p>
        </w:tc>
        <w:tc>
          <w:tcPr>
            <w:tcW w:type="dxa" w:w="1728"/>
            <w:shd w:fill="F8FAFC"/>
            <w:tcMar>
              <w:top w:w="80" w:type="dxa"/>
              <w:bottom w:w="80" w:type="dxa"/>
              <w:left w:w="120" w:type="dxa"/>
              <w:right w:w="120" w:type="dxa"/>
            </w:tcMar>
          </w:tcPr>
          <w:p>
            <w:pPr>
              <w:jc w:val="left"/>
            </w:pPr>
            <w:r>
              <w:rPr>
                <w:rFonts w:ascii="Calibri" w:hAnsi="Calibri"/>
                <w:color w:val="1F2937"/>
                <w:sz w:val="19"/>
              </w:rPr>
              <w:t>24.17%</w:t>
            </w:r>
          </w:p>
        </w:tc>
        <w:tc>
          <w:tcPr>
            <w:tcW w:type="dxa" w:w="4032"/>
            <w:shd w:fill="F8FAFC"/>
            <w:tcMar>
              <w:top w:w="80" w:type="dxa"/>
              <w:bottom w:w="80" w:type="dxa"/>
              <w:left w:w="120" w:type="dxa"/>
              <w:right w:w="120" w:type="dxa"/>
            </w:tcMar>
          </w:tcPr>
          <w:p>
            <w:pPr>
              <w:jc w:val="left"/>
            </w:pPr>
            <w:r>
              <w:rPr>
                <w:rFonts w:ascii="Calibri" w:hAnsi="Calibri"/>
                <w:color w:val="1F2937"/>
                <w:sz w:val="19"/>
              </w:rPr>
              <w:t>All orders exceeding 45 min threshold</w:t>
            </w:r>
          </w:p>
        </w:tc>
      </w:tr>
      <w:tr>
        <w:tc>
          <w:tcPr>
            <w:tcW w:type="dxa" w:w="3600"/>
            <w:shd w:fill="FFFFFF"/>
            <w:tcMar>
              <w:top w:w="80" w:type="dxa"/>
              <w:bottom w:w="80" w:type="dxa"/>
              <w:left w:w="120" w:type="dxa"/>
              <w:right w:w="120" w:type="dxa"/>
            </w:tcMar>
          </w:tcPr>
          <w:p>
            <w:pPr>
              <w:jc w:val="left"/>
            </w:pPr>
            <w:r>
              <w:rPr>
                <w:rFonts w:ascii="Calibri" w:hAnsi="Calibri"/>
                <w:color w:val="1F2937"/>
                <w:sz w:val="19"/>
              </w:rPr>
              <w:t>Mean Delivery Duration</w:t>
            </w:r>
          </w:p>
        </w:tc>
        <w:tc>
          <w:tcPr>
            <w:tcW w:type="dxa" w:w="1728"/>
            <w:shd w:fill="FFFFFF"/>
            <w:tcMar>
              <w:top w:w="80" w:type="dxa"/>
              <w:bottom w:w="80" w:type="dxa"/>
              <w:left w:w="120" w:type="dxa"/>
              <w:right w:w="120" w:type="dxa"/>
            </w:tcMar>
          </w:tcPr>
          <w:p>
            <w:pPr>
              <w:jc w:val="left"/>
            </w:pPr>
            <w:r>
              <w:rPr>
                <w:rFonts w:ascii="Calibri" w:hAnsi="Calibri"/>
                <w:color w:val="1F2937"/>
                <w:sz w:val="19"/>
              </w:rPr>
              <w:t>37.50 min</w:t>
            </w:r>
          </w:p>
        </w:tc>
        <w:tc>
          <w:tcPr>
            <w:tcW w:type="dxa" w:w="4032"/>
            <w:shd w:fill="FFFFFF"/>
            <w:tcMar>
              <w:top w:w="80" w:type="dxa"/>
              <w:bottom w:w="80" w:type="dxa"/>
              <w:left w:w="120" w:type="dxa"/>
              <w:right w:w="120" w:type="dxa"/>
            </w:tcMar>
          </w:tcPr>
          <w:p>
            <w:pPr>
              <w:jc w:val="left"/>
            </w:pPr>
            <w:r>
              <w:rPr>
                <w:rFonts w:ascii="Calibri" w:hAnsi="Calibri"/>
                <w:color w:val="1F2937"/>
                <w:sz w:val="19"/>
              </w:rPr>
              <w:t>Mean turnaround duration for completed orders</w:t>
            </w:r>
          </w:p>
        </w:tc>
      </w:tr>
      <w:tr>
        <w:tc>
          <w:tcPr>
            <w:tcW w:type="dxa" w:w="3600"/>
            <w:shd w:fill="F8FAFC"/>
            <w:tcMar>
              <w:top w:w="80" w:type="dxa"/>
              <w:bottom w:w="80" w:type="dxa"/>
              <w:left w:w="120" w:type="dxa"/>
              <w:right w:w="120" w:type="dxa"/>
            </w:tcMar>
          </w:tcPr>
          <w:p>
            <w:pPr>
              <w:jc w:val="left"/>
            </w:pPr>
            <w:r>
              <w:rPr>
                <w:rFonts w:ascii="Calibri" w:hAnsi="Calibri"/>
                <w:color w:val="1F2937"/>
                <w:sz w:val="19"/>
              </w:rPr>
              <w:t>Median Delivery Duration</w:t>
            </w:r>
          </w:p>
        </w:tc>
        <w:tc>
          <w:tcPr>
            <w:tcW w:type="dxa" w:w="1728"/>
            <w:shd w:fill="F8FAFC"/>
            <w:tcMar>
              <w:top w:w="80" w:type="dxa"/>
              <w:bottom w:w="80" w:type="dxa"/>
              <w:left w:w="120" w:type="dxa"/>
              <w:right w:w="120" w:type="dxa"/>
            </w:tcMar>
          </w:tcPr>
          <w:p>
            <w:pPr>
              <w:jc w:val="left"/>
            </w:pPr>
            <w:r>
              <w:rPr>
                <w:rFonts w:ascii="Calibri" w:hAnsi="Calibri"/>
                <w:color w:val="1F2937"/>
                <w:sz w:val="19"/>
              </w:rPr>
              <w:t>38.00 min</w:t>
            </w:r>
          </w:p>
        </w:tc>
        <w:tc>
          <w:tcPr>
            <w:tcW w:type="dxa" w:w="4032"/>
            <w:shd w:fill="F8FAFC"/>
            <w:tcMar>
              <w:top w:w="80" w:type="dxa"/>
              <w:bottom w:w="80" w:type="dxa"/>
              <w:left w:w="120" w:type="dxa"/>
              <w:right w:w="120" w:type="dxa"/>
            </w:tcMar>
          </w:tcPr>
          <w:p>
            <w:pPr>
              <w:jc w:val="left"/>
            </w:pPr>
            <w:r>
              <w:rPr>
                <w:rFonts w:ascii="Calibri" w:hAnsi="Calibri"/>
                <w:color w:val="1F2937"/>
                <w:sz w:val="19"/>
              </w:rPr>
              <w:t>Median turnaround duration for completed orders</w:t>
            </w:r>
          </w:p>
        </w:tc>
      </w:tr>
      <w:tr>
        <w:tc>
          <w:tcPr>
            <w:tcW w:type="dxa" w:w="3600"/>
            <w:shd w:fill="FFFFFF"/>
            <w:tcMar>
              <w:top w:w="80" w:type="dxa"/>
              <w:bottom w:w="80" w:type="dxa"/>
              <w:left w:w="120" w:type="dxa"/>
              <w:right w:w="120" w:type="dxa"/>
            </w:tcMar>
          </w:tcPr>
          <w:p>
            <w:pPr>
              <w:jc w:val="left"/>
            </w:pPr>
            <w:r>
              <w:rPr>
                <w:rFonts w:ascii="Calibri" w:hAnsi="Calibri"/>
                <w:color w:val="1F2937"/>
                <w:sz w:val="19"/>
              </w:rPr>
              <w:t>Mean Delay (Delayed Orders)</w:t>
            </w:r>
          </w:p>
        </w:tc>
        <w:tc>
          <w:tcPr>
            <w:tcW w:type="dxa" w:w="1728"/>
            <w:shd w:fill="FFFFFF"/>
            <w:tcMar>
              <w:top w:w="80" w:type="dxa"/>
              <w:bottom w:w="80" w:type="dxa"/>
              <w:left w:w="120" w:type="dxa"/>
              <w:right w:w="120" w:type="dxa"/>
            </w:tcMar>
          </w:tcPr>
          <w:p>
            <w:pPr>
              <w:jc w:val="left"/>
            </w:pPr>
            <w:r>
              <w:rPr>
                <w:rFonts w:ascii="Calibri" w:hAnsi="Calibri"/>
                <w:color w:val="1F2937"/>
                <w:sz w:val="19"/>
              </w:rPr>
              <w:t>5.65 min</w:t>
            </w:r>
          </w:p>
        </w:tc>
        <w:tc>
          <w:tcPr>
            <w:tcW w:type="dxa" w:w="4032"/>
            <w:shd w:fill="FFFFFF"/>
            <w:tcMar>
              <w:top w:w="80" w:type="dxa"/>
              <w:bottom w:w="80" w:type="dxa"/>
              <w:left w:w="120" w:type="dxa"/>
              <w:right w:w="120" w:type="dxa"/>
            </w:tcMar>
          </w:tcPr>
          <w:p>
            <w:pPr>
              <w:jc w:val="left"/>
            </w:pPr>
            <w:r>
              <w:rPr>
                <w:rFonts w:ascii="Calibri" w:hAnsi="Calibri"/>
                <w:color w:val="1F2937"/>
                <w:sz w:val="19"/>
              </w:rPr>
              <w:t>Average excess time for completed delayed orders</w:t>
            </w:r>
          </w:p>
        </w:tc>
      </w:tr>
      <w:tr>
        <w:tc>
          <w:tcPr>
            <w:tcW w:type="dxa" w:w="3600"/>
            <w:shd w:fill="F8FAFC"/>
            <w:tcMar>
              <w:top w:w="80" w:type="dxa"/>
              <w:bottom w:w="80" w:type="dxa"/>
              <w:left w:w="120" w:type="dxa"/>
              <w:right w:w="120" w:type="dxa"/>
            </w:tcMar>
          </w:tcPr>
          <w:p>
            <w:pPr>
              <w:jc w:val="left"/>
            </w:pPr>
            <w:r>
              <w:rPr>
                <w:rFonts w:ascii="Calibri" w:hAnsi="Calibri"/>
                <w:color w:val="1F2937"/>
                <w:sz w:val="19"/>
              </w:rPr>
              <w:t>Average Order Value (AOV)</w:t>
            </w:r>
          </w:p>
        </w:tc>
        <w:tc>
          <w:tcPr>
            <w:tcW w:type="dxa" w:w="1728"/>
            <w:shd w:fill="F8FAFC"/>
            <w:tcMar>
              <w:top w:w="80" w:type="dxa"/>
              <w:bottom w:w="80" w:type="dxa"/>
              <w:left w:w="120" w:type="dxa"/>
              <w:right w:w="120" w:type="dxa"/>
            </w:tcMar>
          </w:tcPr>
          <w:p>
            <w:pPr>
              <w:jc w:val="left"/>
            </w:pPr>
            <w:r>
              <w:rPr>
                <w:rFonts w:ascii="Calibri" w:hAnsi="Calibri"/>
                <w:color w:val="1F2937"/>
                <w:sz w:val="19"/>
              </w:rPr>
              <w:t>EGP 268.97</w:t>
            </w:r>
          </w:p>
        </w:tc>
        <w:tc>
          <w:tcPr>
            <w:tcW w:type="dxa" w:w="4032"/>
            <w:shd w:fill="F8FAFC"/>
            <w:tcMar>
              <w:top w:w="80" w:type="dxa"/>
              <w:bottom w:w="80" w:type="dxa"/>
              <w:left w:w="120" w:type="dxa"/>
              <w:right w:w="120" w:type="dxa"/>
            </w:tcMar>
          </w:tcPr>
          <w:p>
            <w:pPr>
              <w:jc w:val="left"/>
            </w:pPr>
            <w:r>
              <w:rPr>
                <w:rFonts w:ascii="Calibri" w:hAnsi="Calibri"/>
                <w:color w:val="1F2937"/>
                <w:sz w:val="19"/>
              </w:rPr>
              <w:t>Mean price per order across dataset</w:t>
            </w:r>
          </w:p>
        </w:tc>
      </w:tr>
      <w:tr>
        <w:tc>
          <w:tcPr>
            <w:tcW w:type="dxa" w:w="3600"/>
            <w:shd w:fill="FFFFFF"/>
            <w:tcMar>
              <w:top w:w="80" w:type="dxa"/>
              <w:bottom w:w="80" w:type="dxa"/>
              <w:left w:w="120" w:type="dxa"/>
              <w:right w:w="120" w:type="dxa"/>
            </w:tcMar>
          </w:tcPr>
          <w:p>
            <w:pPr>
              <w:jc w:val="left"/>
            </w:pPr>
            <w:r>
              <w:rPr>
                <w:rFonts w:ascii="Calibri" w:hAnsi="Calibri"/>
                <w:color w:val="1F2937"/>
                <w:sz w:val="19"/>
              </w:rPr>
              <w:t>Average Delivery Distance</w:t>
            </w:r>
          </w:p>
        </w:tc>
        <w:tc>
          <w:tcPr>
            <w:tcW w:type="dxa" w:w="1728"/>
            <w:shd w:fill="FFFFFF"/>
            <w:tcMar>
              <w:top w:w="80" w:type="dxa"/>
              <w:bottom w:w="80" w:type="dxa"/>
              <w:left w:w="120" w:type="dxa"/>
              <w:right w:w="120" w:type="dxa"/>
            </w:tcMar>
          </w:tcPr>
          <w:p>
            <w:pPr>
              <w:jc w:val="left"/>
            </w:pPr>
            <w:r>
              <w:rPr>
                <w:rFonts w:ascii="Calibri" w:hAnsi="Calibri"/>
                <w:color w:val="1F2937"/>
                <w:sz w:val="19"/>
              </w:rPr>
              <w:t>2.15 km</w:t>
            </w:r>
          </w:p>
        </w:tc>
        <w:tc>
          <w:tcPr>
            <w:tcW w:type="dxa" w:w="4032"/>
            <w:shd w:fill="FFFFFF"/>
            <w:tcMar>
              <w:top w:w="80" w:type="dxa"/>
              <w:bottom w:w="80" w:type="dxa"/>
              <w:left w:w="120" w:type="dxa"/>
              <w:right w:w="120" w:type="dxa"/>
            </w:tcMar>
          </w:tcPr>
          <w:p>
            <w:pPr>
              <w:jc w:val="left"/>
            </w:pPr>
            <w:r>
              <w:rPr>
                <w:rFonts w:ascii="Calibri" w:hAnsi="Calibri"/>
                <w:color w:val="1F2937"/>
                <w:sz w:val="19"/>
              </w:rPr>
              <w:t>Mean spatial distance from restaurant to customer</w:t>
            </w:r>
          </w:p>
        </w:tc>
      </w:tr>
    </w:tbl>
    <w:p>
      <w:pPr>
        <w:keepNext/>
        <w:spacing w:before="320" w:after="120"/>
      </w:pPr>
      <w:r>
        <w:rPr>
          <w:rFonts w:ascii="Calibri" w:hAnsi="Calibri"/>
          <w:b/>
          <w:color w:val="1E3A8A"/>
          <w:sz w:val="36"/>
        </w:rPr>
        <w:t>10. KEY ANALYTICAL FINDINGS</w:t>
      </w:r>
    </w:p>
    <w:p>
      <w:r>
        <w:rPr>
          <w:rFonts w:ascii="Calibri" w:hAnsi="Calibri"/>
          <w:color w:val="1F2937"/>
          <w:sz w:val="22"/>
        </w:rPr>
        <w:t>Based on empirical data analysis, the following descriptive findings were observed:</w:t>
      </w:r>
    </w:p>
    <w:p>
      <w:pPr>
        <w:pStyle w:val="ListBullet"/>
        <w:spacing w:after="80"/>
      </w:pPr>
      <w:r>
        <w:rPr>
          <w:rFonts w:ascii="Calibri" w:hAnsi="Calibri"/>
          <w:b/>
          <w:color w:val="1F2937"/>
          <w:sz w:val="22"/>
        </w:rPr>
        <w:t xml:space="preserve">1. Municipal Consistency: </w:t>
      </w:r>
      <w:r>
        <w:rPr>
          <w:rFonts w:ascii="Calibri" w:hAnsi="Calibri"/>
          <w:color w:val="1F2937"/>
          <w:sz w:val="22"/>
        </w:rPr>
        <w:t>Delivery turnaround durations are highly consistent across all seven Egyptian cities, averaging between 37.18 and 37.70 minutes.</w:t>
      </w:r>
    </w:p>
    <w:p>
      <w:pPr>
        <w:pStyle w:val="ListBullet"/>
        <w:spacing w:after="80"/>
      </w:pPr>
      <w:r>
        <w:rPr>
          <w:rFonts w:ascii="Calibri" w:hAnsi="Calibri"/>
          <w:b/>
          <w:color w:val="1F2937"/>
          <w:sz w:val="22"/>
        </w:rPr>
        <w:t xml:space="preserve">2. Dominance of Fixed Overhead: </w:t>
      </w:r>
      <w:r>
        <w:rPr>
          <w:rFonts w:ascii="Calibri" w:hAnsi="Calibri"/>
          <w:color w:val="1F2937"/>
          <w:sz w:val="22"/>
        </w:rPr>
        <w:t>The Pearson correlation between delivery distance and turnaround duration is r = -0.0119, demonstrating that fixed kitchen preparation and dispatch queueing dominate total turnaround time compared to physical transit.</w:t>
      </w:r>
    </w:p>
    <w:p>
      <w:pPr>
        <w:pStyle w:val="ListBullet"/>
        <w:spacing w:after="80"/>
      </w:pPr>
      <w:r>
        <w:rPr>
          <w:rFonts w:ascii="Calibri" w:hAnsi="Calibri"/>
          <w:b/>
          <w:color w:val="1F2937"/>
          <w:sz w:val="22"/>
        </w:rPr>
        <w:t xml:space="preserve">3. Fleet Mobility Neutrality: </w:t>
      </w:r>
      <w:r>
        <w:rPr>
          <w:rFonts w:ascii="Calibri" w:hAnsi="Calibri"/>
          <w:color w:val="1F2937"/>
          <w:sz w:val="22"/>
        </w:rPr>
        <w:t>Bicycles, Motorbikes, and Cars display nearly identical SLA delay rates (~24.0% to 24.5%), reflecting urban traffic bottlenecks that impact all road transport modes equally.</w:t>
      </w:r>
    </w:p>
    <w:p>
      <w:pPr>
        <w:pStyle w:val="ListBullet"/>
        <w:spacing w:after="80"/>
      </w:pPr>
      <w:r>
        <w:rPr>
          <w:rFonts w:ascii="Calibri" w:hAnsi="Calibri"/>
          <w:b/>
          <w:color w:val="1F2937"/>
          <w:sz w:val="22"/>
        </w:rPr>
        <w:t xml:space="preserve">4. Basket Size Impact: </w:t>
      </w:r>
      <w:r>
        <w:rPr>
          <w:rFonts w:ascii="Calibri" w:hAnsi="Calibri"/>
          <w:color w:val="1F2937"/>
          <w:sz w:val="22"/>
        </w:rPr>
        <w:t>Orders containing 4–5 items showed a slightly higher observed SLA delay rate (+1.2%), pointing to potential kitchen preparation bottlenecks for multi-item orders.</w:t>
      </w:r>
    </w:p>
    <w:p>
      <w:pPr>
        <w:keepNext/>
        <w:spacing w:before="320" w:after="120"/>
      </w:pPr>
      <w:r>
        <w:rPr>
          <w:rFonts w:ascii="Calibri" w:hAnsi="Calibri"/>
          <w:b/>
          <w:color w:val="1E3A8A"/>
          <w:sz w:val="36"/>
        </w:rPr>
        <w:t>11. SYSTEM ARCHITECTURE</w:t>
      </w:r>
    </w:p>
    <w:p>
      <w:r>
        <w:rPr>
          <w:rFonts w:ascii="Calibri" w:hAnsi="Calibri"/>
          <w:color w:val="1F2937"/>
          <w:sz w:val="22"/>
        </w:rPr>
        <w:t>FoodFlow Analytics utilizes a three-tier decoupled system architecture connecting a React frontend, FastAPI backend, and Pandas data engine.</w:t>
      </w:r>
    </w:p>
    <w:p>
      <w:r>
        <w:rPr>
          <w:rFonts w:ascii="Calibri" w:hAnsi="Calibri"/>
          <w:color w:val="1F2937"/>
          <w:sz w:val="22"/>
        </w:rPr>
        <w:t>Data Flow: Benchmark Dataset CSV -&gt; Pandas Analytics Service -&gt; FastAPI REST Routers -&gt; Axios/Fetch API Client -&gt; React Single-Page Application.</w:t>
      </w:r>
    </w:p>
    <w:p>
      <w:pPr>
        <w:keepNext/>
        <w:spacing w:before="320" w:after="120"/>
      </w:pPr>
      <w:r>
        <w:rPr>
          <w:rFonts w:ascii="Calibri" w:hAnsi="Calibri"/>
          <w:b/>
          <w:color w:val="1E3A8A"/>
          <w:sz w:val="36"/>
        </w:rPr>
        <w:t>12. TECHNOLOGY STACK</w:t>
      </w:r>
    </w:p>
    <w:p>
      <w:r>
        <w:rPr>
          <w:rFonts w:ascii="Calibri" w:hAnsi="Calibri"/>
          <w:color w:val="1F2937"/>
          <w:sz w:val="22"/>
        </w:rPr>
        <w:t>Table 12.1 lists the verified core technologies used in the implementation.</w:t>
      </w:r>
    </w:p>
    <w:tbl>
      <w:tblPr>
        <w:tblW w:type="auto" w:w="0"/>
        <w:jc w:val="center"/>
        <w:tblLook w:firstColumn="1" w:firstRow="1" w:lastColumn="0" w:lastRow="0" w:noHBand="0" w:noVBand="1" w:val="04A0"/>
        <w:tblBorders>
          <w:top w:val="single" w:sz="4" w:space="0" w:color="CBD5E1"/>
          <w:bottom w:val="single" w:sz="6" w:space="0" w:color="1E3A8A"/>
          <w:insideH w:val="single" w:sz="4" w:space="0" w:color="CBD5E1"/>
          <w:insideV w:val="none"/>
          <w:left w:val="none"/>
          <w:right w:val="none"/>
        </w:tblBorders>
      </w:tblPr>
      <w:tblGrid>
        <w:gridCol w:w="2340"/>
        <w:gridCol w:w="2340"/>
        <w:gridCol w:w="2340"/>
        <w:gridCol w:w="2340"/>
      </w:tblGrid>
      <w:tr>
        <w:tc>
          <w:tcPr>
            <w:tcW w:type="dxa" w:w="2160"/>
            <w:shd w:fill="1E3A8A"/>
            <w:tcMar>
              <w:top w:w="80" w:type="dxa"/>
              <w:bottom w:w="80" w:type="dxa"/>
              <w:left w:w="120" w:type="dxa"/>
              <w:right w:w="120" w:type="dxa"/>
            </w:tcMar>
          </w:tcPr>
          <w:p>
            <w:pPr>
              <w:jc w:val="left"/>
            </w:pPr>
            <w:r>
              <w:rPr>
                <w:rFonts w:ascii="Calibri" w:hAnsi="Calibri"/>
                <w:b/>
                <w:color w:val="FFFFFF"/>
                <w:sz w:val="20"/>
              </w:rPr>
              <w:t>Layer</w:t>
            </w:r>
          </w:p>
        </w:tc>
        <w:tc>
          <w:tcPr>
            <w:tcW w:type="dxa" w:w="2592"/>
            <w:shd w:fill="1E3A8A"/>
            <w:tcMar>
              <w:top w:w="80" w:type="dxa"/>
              <w:bottom w:w="80" w:type="dxa"/>
              <w:left w:w="120" w:type="dxa"/>
              <w:right w:w="120" w:type="dxa"/>
            </w:tcMar>
          </w:tcPr>
          <w:p>
            <w:pPr>
              <w:jc w:val="left"/>
            </w:pPr>
            <w:r>
              <w:rPr>
                <w:rFonts w:ascii="Calibri" w:hAnsi="Calibri"/>
                <w:b/>
                <w:color w:val="FFFFFF"/>
                <w:sz w:val="20"/>
              </w:rPr>
              <w:t>Technology</w:t>
            </w:r>
          </w:p>
        </w:tc>
        <w:tc>
          <w:tcPr>
            <w:tcW w:type="dxa" w:w="1440"/>
            <w:shd w:fill="1E3A8A"/>
            <w:tcMar>
              <w:top w:w="80" w:type="dxa"/>
              <w:bottom w:w="80" w:type="dxa"/>
              <w:left w:w="120" w:type="dxa"/>
              <w:right w:w="120" w:type="dxa"/>
            </w:tcMar>
          </w:tcPr>
          <w:p>
            <w:pPr>
              <w:jc w:val="left"/>
            </w:pPr>
            <w:r>
              <w:rPr>
                <w:rFonts w:ascii="Calibri" w:hAnsi="Calibri"/>
                <w:b/>
                <w:color w:val="FFFFFF"/>
                <w:sz w:val="20"/>
              </w:rPr>
              <w:t>Version</w:t>
            </w:r>
          </w:p>
        </w:tc>
        <w:tc>
          <w:tcPr>
            <w:tcW w:type="dxa" w:w="3168"/>
            <w:shd w:fill="1E3A8A"/>
            <w:tcMar>
              <w:top w:w="80" w:type="dxa"/>
              <w:bottom w:w="80" w:type="dxa"/>
              <w:left w:w="120" w:type="dxa"/>
              <w:right w:w="120" w:type="dxa"/>
            </w:tcMar>
          </w:tcPr>
          <w:p>
            <w:pPr>
              <w:jc w:val="left"/>
            </w:pPr>
            <w:r>
              <w:rPr>
                <w:rFonts w:ascii="Calibri" w:hAnsi="Calibri"/>
                <w:b/>
                <w:color w:val="FFFFFF"/>
                <w:sz w:val="20"/>
              </w:rPr>
              <w:t>Role in Project</w:t>
            </w:r>
          </w:p>
        </w:tc>
      </w:tr>
      <w:tr>
        <w:tc>
          <w:tcPr>
            <w:tcW w:type="dxa" w:w="2160"/>
            <w:shd w:fill="FFFFFF"/>
            <w:tcMar>
              <w:top w:w="80" w:type="dxa"/>
              <w:bottom w:w="80" w:type="dxa"/>
              <w:left w:w="120" w:type="dxa"/>
              <w:right w:w="120" w:type="dxa"/>
            </w:tcMar>
          </w:tcPr>
          <w:p>
            <w:pPr>
              <w:jc w:val="left"/>
            </w:pPr>
            <w:r>
              <w:rPr>
                <w:rFonts w:ascii="Calibri" w:hAnsi="Calibri"/>
                <w:color w:val="1F2937"/>
                <w:sz w:val="19"/>
              </w:rPr>
              <w:t>Backend Language</w:t>
            </w:r>
          </w:p>
        </w:tc>
        <w:tc>
          <w:tcPr>
            <w:tcW w:type="dxa" w:w="2592"/>
            <w:shd w:fill="FFFFFF"/>
            <w:tcMar>
              <w:top w:w="80" w:type="dxa"/>
              <w:bottom w:w="80" w:type="dxa"/>
              <w:left w:w="120" w:type="dxa"/>
              <w:right w:w="120" w:type="dxa"/>
            </w:tcMar>
          </w:tcPr>
          <w:p>
            <w:pPr>
              <w:jc w:val="left"/>
            </w:pPr>
            <w:r>
              <w:rPr>
                <w:rFonts w:ascii="Calibri" w:hAnsi="Calibri"/>
                <w:color w:val="1F2937"/>
                <w:sz w:val="19"/>
              </w:rPr>
              <w:t>Python</w:t>
            </w:r>
          </w:p>
        </w:tc>
        <w:tc>
          <w:tcPr>
            <w:tcW w:type="dxa" w:w="1440"/>
            <w:shd w:fill="FFFFFF"/>
            <w:tcMar>
              <w:top w:w="80" w:type="dxa"/>
              <w:bottom w:w="80" w:type="dxa"/>
              <w:left w:w="120" w:type="dxa"/>
              <w:right w:w="120" w:type="dxa"/>
            </w:tcMar>
          </w:tcPr>
          <w:p>
            <w:pPr>
              <w:jc w:val="left"/>
            </w:pPr>
            <w:r>
              <w:rPr>
                <w:rFonts w:ascii="Calibri" w:hAnsi="Calibri"/>
                <w:color w:val="1F2937"/>
                <w:sz w:val="19"/>
              </w:rPr>
              <w:t>3.12</w:t>
            </w:r>
          </w:p>
        </w:tc>
        <w:tc>
          <w:tcPr>
            <w:tcW w:type="dxa" w:w="3168"/>
            <w:shd w:fill="FFFFFF"/>
            <w:tcMar>
              <w:top w:w="80" w:type="dxa"/>
              <w:bottom w:w="80" w:type="dxa"/>
              <w:left w:w="120" w:type="dxa"/>
              <w:right w:w="120" w:type="dxa"/>
            </w:tcMar>
          </w:tcPr>
          <w:p>
            <w:pPr>
              <w:jc w:val="left"/>
            </w:pPr>
            <w:r>
              <w:rPr>
                <w:rFonts w:ascii="Calibri" w:hAnsi="Calibri"/>
                <w:color w:val="1F2937"/>
                <w:sz w:val="19"/>
              </w:rPr>
              <w:t>Core analytics &amp; API language</w:t>
            </w:r>
          </w:p>
        </w:tc>
      </w:tr>
      <w:tr>
        <w:tc>
          <w:tcPr>
            <w:tcW w:type="dxa" w:w="2160"/>
            <w:shd w:fill="F8FAFC"/>
            <w:tcMar>
              <w:top w:w="80" w:type="dxa"/>
              <w:bottom w:w="80" w:type="dxa"/>
              <w:left w:w="120" w:type="dxa"/>
              <w:right w:w="120" w:type="dxa"/>
            </w:tcMar>
          </w:tcPr>
          <w:p>
            <w:pPr>
              <w:jc w:val="left"/>
            </w:pPr>
            <w:r>
              <w:rPr>
                <w:rFonts w:ascii="Calibri" w:hAnsi="Calibri"/>
                <w:color w:val="1F2937"/>
                <w:sz w:val="19"/>
              </w:rPr>
              <w:t>Web Framework</w:t>
            </w:r>
          </w:p>
        </w:tc>
        <w:tc>
          <w:tcPr>
            <w:tcW w:type="dxa" w:w="2592"/>
            <w:shd w:fill="F8FAFC"/>
            <w:tcMar>
              <w:top w:w="80" w:type="dxa"/>
              <w:bottom w:w="80" w:type="dxa"/>
              <w:left w:w="120" w:type="dxa"/>
              <w:right w:w="120" w:type="dxa"/>
            </w:tcMar>
          </w:tcPr>
          <w:p>
            <w:pPr>
              <w:jc w:val="left"/>
            </w:pPr>
            <w:r>
              <w:rPr>
                <w:rFonts w:ascii="Calibri" w:hAnsi="Calibri"/>
                <w:color w:val="1F2937"/>
                <w:sz w:val="19"/>
              </w:rPr>
              <w:t>FastAPI</w:t>
            </w:r>
          </w:p>
        </w:tc>
        <w:tc>
          <w:tcPr>
            <w:tcW w:type="dxa" w:w="1440"/>
            <w:shd w:fill="F8FAFC"/>
            <w:tcMar>
              <w:top w:w="80" w:type="dxa"/>
              <w:bottom w:w="80" w:type="dxa"/>
              <w:left w:w="120" w:type="dxa"/>
              <w:right w:w="120" w:type="dxa"/>
            </w:tcMar>
          </w:tcPr>
          <w:p>
            <w:pPr>
              <w:jc w:val="left"/>
            </w:pPr>
            <w:r>
              <w:rPr>
                <w:rFonts w:ascii="Calibri" w:hAnsi="Calibri"/>
                <w:color w:val="1F2937"/>
                <w:sz w:val="19"/>
              </w:rPr>
              <w:t>0.115.6</w:t>
            </w:r>
          </w:p>
        </w:tc>
        <w:tc>
          <w:tcPr>
            <w:tcW w:type="dxa" w:w="3168"/>
            <w:shd w:fill="F8FAFC"/>
            <w:tcMar>
              <w:top w:w="80" w:type="dxa"/>
              <w:bottom w:w="80" w:type="dxa"/>
              <w:left w:w="120" w:type="dxa"/>
              <w:right w:w="120" w:type="dxa"/>
            </w:tcMar>
          </w:tcPr>
          <w:p>
            <w:pPr>
              <w:jc w:val="left"/>
            </w:pPr>
            <w:r>
              <w:rPr>
                <w:rFonts w:ascii="Calibri" w:hAnsi="Calibri"/>
                <w:color w:val="1F2937"/>
                <w:sz w:val="19"/>
              </w:rPr>
              <w:t>ASGI REST API framework</w:t>
            </w:r>
          </w:p>
        </w:tc>
      </w:tr>
      <w:tr>
        <w:tc>
          <w:tcPr>
            <w:tcW w:type="dxa" w:w="2160"/>
            <w:shd w:fill="FFFFFF"/>
            <w:tcMar>
              <w:top w:w="80" w:type="dxa"/>
              <w:bottom w:w="80" w:type="dxa"/>
              <w:left w:w="120" w:type="dxa"/>
              <w:right w:w="120" w:type="dxa"/>
            </w:tcMar>
          </w:tcPr>
          <w:p>
            <w:pPr>
              <w:jc w:val="left"/>
            </w:pPr>
            <w:r>
              <w:rPr>
                <w:rFonts w:ascii="Calibri" w:hAnsi="Calibri"/>
                <w:color w:val="1F2937"/>
                <w:sz w:val="19"/>
              </w:rPr>
              <w:t>Data Processing</w:t>
            </w:r>
          </w:p>
        </w:tc>
        <w:tc>
          <w:tcPr>
            <w:tcW w:type="dxa" w:w="2592"/>
            <w:shd w:fill="FFFFFF"/>
            <w:tcMar>
              <w:top w:w="80" w:type="dxa"/>
              <w:bottom w:w="80" w:type="dxa"/>
              <w:left w:w="120" w:type="dxa"/>
              <w:right w:w="120" w:type="dxa"/>
            </w:tcMar>
          </w:tcPr>
          <w:p>
            <w:pPr>
              <w:jc w:val="left"/>
            </w:pPr>
            <w:r>
              <w:rPr>
                <w:rFonts w:ascii="Calibri" w:hAnsi="Calibri"/>
                <w:color w:val="1F2937"/>
                <w:sz w:val="19"/>
              </w:rPr>
              <w:t>Pandas</w:t>
            </w:r>
          </w:p>
        </w:tc>
        <w:tc>
          <w:tcPr>
            <w:tcW w:type="dxa" w:w="1440"/>
            <w:shd w:fill="FFFFFF"/>
            <w:tcMar>
              <w:top w:w="80" w:type="dxa"/>
              <w:bottom w:w="80" w:type="dxa"/>
              <w:left w:w="120" w:type="dxa"/>
              <w:right w:w="120" w:type="dxa"/>
            </w:tcMar>
          </w:tcPr>
          <w:p>
            <w:pPr>
              <w:jc w:val="left"/>
            </w:pPr>
            <w:r>
              <w:rPr>
                <w:rFonts w:ascii="Calibri" w:hAnsi="Calibri"/>
                <w:color w:val="1F2937"/>
                <w:sz w:val="19"/>
              </w:rPr>
              <w:t>2.2.3</w:t>
            </w:r>
          </w:p>
        </w:tc>
        <w:tc>
          <w:tcPr>
            <w:tcW w:type="dxa" w:w="3168"/>
            <w:shd w:fill="FFFFFF"/>
            <w:tcMar>
              <w:top w:w="80" w:type="dxa"/>
              <w:bottom w:w="80" w:type="dxa"/>
              <w:left w:w="120" w:type="dxa"/>
              <w:right w:w="120" w:type="dxa"/>
            </w:tcMar>
          </w:tcPr>
          <w:p>
            <w:pPr>
              <w:jc w:val="left"/>
            </w:pPr>
            <w:r>
              <w:rPr>
                <w:rFonts w:ascii="Calibri" w:hAnsi="Calibri"/>
                <w:color w:val="1F2937"/>
                <w:sz w:val="19"/>
              </w:rPr>
              <w:t>Dynamic aggregation &amp; filtering engine</w:t>
            </w:r>
          </w:p>
        </w:tc>
      </w:tr>
      <w:tr>
        <w:tc>
          <w:tcPr>
            <w:tcW w:type="dxa" w:w="2160"/>
            <w:shd w:fill="F8FAFC"/>
            <w:tcMar>
              <w:top w:w="80" w:type="dxa"/>
              <w:bottom w:w="80" w:type="dxa"/>
              <w:left w:w="120" w:type="dxa"/>
              <w:right w:w="120" w:type="dxa"/>
            </w:tcMar>
          </w:tcPr>
          <w:p>
            <w:pPr>
              <w:jc w:val="left"/>
            </w:pPr>
            <w:r>
              <w:rPr>
                <w:rFonts w:ascii="Calibri" w:hAnsi="Calibri"/>
                <w:color w:val="1F2937"/>
                <w:sz w:val="19"/>
              </w:rPr>
              <w:t>Numerical Computations</w:t>
            </w:r>
          </w:p>
        </w:tc>
        <w:tc>
          <w:tcPr>
            <w:tcW w:type="dxa" w:w="2592"/>
            <w:shd w:fill="F8FAFC"/>
            <w:tcMar>
              <w:top w:w="80" w:type="dxa"/>
              <w:bottom w:w="80" w:type="dxa"/>
              <w:left w:w="120" w:type="dxa"/>
              <w:right w:w="120" w:type="dxa"/>
            </w:tcMar>
          </w:tcPr>
          <w:p>
            <w:pPr>
              <w:jc w:val="left"/>
            </w:pPr>
            <w:r>
              <w:rPr>
                <w:rFonts w:ascii="Calibri" w:hAnsi="Calibri"/>
                <w:color w:val="1F2937"/>
                <w:sz w:val="19"/>
              </w:rPr>
              <w:t>NumPy</w:t>
            </w:r>
          </w:p>
        </w:tc>
        <w:tc>
          <w:tcPr>
            <w:tcW w:type="dxa" w:w="1440"/>
            <w:shd w:fill="F8FAFC"/>
            <w:tcMar>
              <w:top w:w="80" w:type="dxa"/>
              <w:bottom w:w="80" w:type="dxa"/>
              <w:left w:w="120" w:type="dxa"/>
              <w:right w:w="120" w:type="dxa"/>
            </w:tcMar>
          </w:tcPr>
          <w:p>
            <w:pPr>
              <w:jc w:val="left"/>
            </w:pPr>
            <w:r>
              <w:rPr>
                <w:rFonts w:ascii="Calibri" w:hAnsi="Calibri"/>
                <w:color w:val="1F2937"/>
                <w:sz w:val="19"/>
              </w:rPr>
              <w:t>2.2.3</w:t>
            </w:r>
          </w:p>
        </w:tc>
        <w:tc>
          <w:tcPr>
            <w:tcW w:type="dxa" w:w="3168"/>
            <w:shd w:fill="F8FAFC"/>
            <w:tcMar>
              <w:top w:w="80" w:type="dxa"/>
              <w:bottom w:w="80" w:type="dxa"/>
              <w:left w:w="120" w:type="dxa"/>
              <w:right w:w="120" w:type="dxa"/>
            </w:tcMar>
          </w:tcPr>
          <w:p>
            <w:pPr>
              <w:jc w:val="left"/>
            </w:pPr>
            <w:r>
              <w:rPr>
                <w:rFonts w:ascii="Calibri" w:hAnsi="Calibri"/>
                <w:color w:val="1F2937"/>
                <w:sz w:val="19"/>
              </w:rPr>
              <w:t>Array computations &amp; statistical math</w:t>
            </w:r>
          </w:p>
        </w:tc>
      </w:tr>
      <w:tr>
        <w:tc>
          <w:tcPr>
            <w:tcW w:type="dxa" w:w="2160"/>
            <w:shd w:fill="FFFFFF"/>
            <w:tcMar>
              <w:top w:w="80" w:type="dxa"/>
              <w:bottom w:w="80" w:type="dxa"/>
              <w:left w:w="120" w:type="dxa"/>
              <w:right w:w="120" w:type="dxa"/>
            </w:tcMar>
          </w:tcPr>
          <w:p>
            <w:pPr>
              <w:jc w:val="left"/>
            </w:pPr>
            <w:r>
              <w:rPr>
                <w:rFonts w:ascii="Calibri" w:hAnsi="Calibri"/>
                <w:color w:val="1F2937"/>
                <w:sz w:val="19"/>
              </w:rPr>
              <w:t>Data Schemas</w:t>
            </w:r>
          </w:p>
        </w:tc>
        <w:tc>
          <w:tcPr>
            <w:tcW w:type="dxa" w:w="2592"/>
            <w:shd w:fill="FFFFFF"/>
            <w:tcMar>
              <w:top w:w="80" w:type="dxa"/>
              <w:bottom w:w="80" w:type="dxa"/>
              <w:left w:w="120" w:type="dxa"/>
              <w:right w:w="120" w:type="dxa"/>
            </w:tcMar>
          </w:tcPr>
          <w:p>
            <w:pPr>
              <w:jc w:val="left"/>
            </w:pPr>
            <w:r>
              <w:rPr>
                <w:rFonts w:ascii="Calibri" w:hAnsi="Calibri"/>
                <w:color w:val="1F2937"/>
                <w:sz w:val="19"/>
              </w:rPr>
              <w:t>Pydantic</w:t>
            </w:r>
          </w:p>
        </w:tc>
        <w:tc>
          <w:tcPr>
            <w:tcW w:type="dxa" w:w="1440"/>
            <w:shd w:fill="FFFFFF"/>
            <w:tcMar>
              <w:top w:w="80" w:type="dxa"/>
              <w:bottom w:w="80" w:type="dxa"/>
              <w:left w:w="120" w:type="dxa"/>
              <w:right w:w="120" w:type="dxa"/>
            </w:tcMar>
          </w:tcPr>
          <w:p>
            <w:pPr>
              <w:jc w:val="left"/>
            </w:pPr>
            <w:r>
              <w:rPr>
                <w:rFonts w:ascii="Calibri" w:hAnsi="Calibri"/>
                <w:color w:val="1F2937"/>
                <w:sz w:val="19"/>
              </w:rPr>
              <w:t>2.10.6</w:t>
            </w:r>
          </w:p>
        </w:tc>
        <w:tc>
          <w:tcPr>
            <w:tcW w:type="dxa" w:w="3168"/>
            <w:shd w:fill="FFFFFF"/>
            <w:tcMar>
              <w:top w:w="80" w:type="dxa"/>
              <w:bottom w:w="80" w:type="dxa"/>
              <w:left w:w="120" w:type="dxa"/>
              <w:right w:w="120" w:type="dxa"/>
            </w:tcMar>
          </w:tcPr>
          <w:p>
            <w:pPr>
              <w:jc w:val="left"/>
            </w:pPr>
            <w:r>
              <w:rPr>
                <w:rFonts w:ascii="Calibri" w:hAnsi="Calibri"/>
                <w:color w:val="1F2937"/>
                <w:sz w:val="19"/>
              </w:rPr>
              <w:t>Data validation &amp; API schema typing</w:t>
            </w:r>
          </w:p>
        </w:tc>
      </w:tr>
      <w:tr>
        <w:tc>
          <w:tcPr>
            <w:tcW w:type="dxa" w:w="2160"/>
            <w:shd w:fill="F8FAFC"/>
            <w:tcMar>
              <w:top w:w="80" w:type="dxa"/>
              <w:bottom w:w="80" w:type="dxa"/>
              <w:left w:w="120" w:type="dxa"/>
              <w:right w:w="120" w:type="dxa"/>
            </w:tcMar>
          </w:tcPr>
          <w:p>
            <w:pPr>
              <w:jc w:val="left"/>
            </w:pPr>
            <w:r>
              <w:rPr>
                <w:rFonts w:ascii="Calibri" w:hAnsi="Calibri"/>
                <w:color w:val="1F2937"/>
                <w:sz w:val="19"/>
              </w:rPr>
              <w:t>ASGI Server</w:t>
            </w:r>
          </w:p>
        </w:tc>
        <w:tc>
          <w:tcPr>
            <w:tcW w:type="dxa" w:w="2592"/>
            <w:shd w:fill="F8FAFC"/>
            <w:tcMar>
              <w:top w:w="80" w:type="dxa"/>
              <w:bottom w:w="80" w:type="dxa"/>
              <w:left w:w="120" w:type="dxa"/>
              <w:right w:w="120" w:type="dxa"/>
            </w:tcMar>
          </w:tcPr>
          <w:p>
            <w:pPr>
              <w:jc w:val="left"/>
            </w:pPr>
            <w:r>
              <w:rPr>
                <w:rFonts w:ascii="Calibri" w:hAnsi="Calibri"/>
                <w:color w:val="1F2937"/>
                <w:sz w:val="19"/>
              </w:rPr>
              <w:t>Uvicorn</w:t>
            </w:r>
          </w:p>
        </w:tc>
        <w:tc>
          <w:tcPr>
            <w:tcW w:type="dxa" w:w="1440"/>
            <w:shd w:fill="F8FAFC"/>
            <w:tcMar>
              <w:top w:w="80" w:type="dxa"/>
              <w:bottom w:w="80" w:type="dxa"/>
              <w:left w:w="120" w:type="dxa"/>
              <w:right w:w="120" w:type="dxa"/>
            </w:tcMar>
          </w:tcPr>
          <w:p>
            <w:pPr>
              <w:jc w:val="left"/>
            </w:pPr>
            <w:r>
              <w:rPr>
                <w:rFonts w:ascii="Calibri" w:hAnsi="Calibri"/>
                <w:color w:val="1F2937"/>
                <w:sz w:val="19"/>
              </w:rPr>
              <w:t>0.34.0</w:t>
            </w:r>
          </w:p>
        </w:tc>
        <w:tc>
          <w:tcPr>
            <w:tcW w:type="dxa" w:w="3168"/>
            <w:shd w:fill="F8FAFC"/>
            <w:tcMar>
              <w:top w:w="80" w:type="dxa"/>
              <w:bottom w:w="80" w:type="dxa"/>
              <w:left w:w="120" w:type="dxa"/>
              <w:right w:w="120" w:type="dxa"/>
            </w:tcMar>
          </w:tcPr>
          <w:p>
            <w:pPr>
              <w:jc w:val="left"/>
            </w:pPr>
            <w:r>
              <w:rPr>
                <w:rFonts w:ascii="Calibri" w:hAnsi="Calibri"/>
                <w:color w:val="1F2937"/>
                <w:sz w:val="19"/>
              </w:rPr>
              <w:t>Asynchronous web server gateway</w:t>
            </w:r>
          </w:p>
        </w:tc>
      </w:tr>
      <w:tr>
        <w:tc>
          <w:tcPr>
            <w:tcW w:type="dxa" w:w="2160"/>
            <w:shd w:fill="FFFFFF"/>
            <w:tcMar>
              <w:top w:w="80" w:type="dxa"/>
              <w:bottom w:w="80" w:type="dxa"/>
              <w:left w:w="120" w:type="dxa"/>
              <w:right w:w="120" w:type="dxa"/>
            </w:tcMar>
          </w:tcPr>
          <w:p>
            <w:pPr>
              <w:jc w:val="left"/>
            </w:pPr>
            <w:r>
              <w:rPr>
                <w:rFonts w:ascii="Calibri" w:hAnsi="Calibri"/>
                <w:color w:val="1F2937"/>
                <w:sz w:val="19"/>
              </w:rPr>
              <w:t>Frontend UI</w:t>
            </w:r>
          </w:p>
        </w:tc>
        <w:tc>
          <w:tcPr>
            <w:tcW w:type="dxa" w:w="2592"/>
            <w:shd w:fill="FFFFFF"/>
            <w:tcMar>
              <w:top w:w="80" w:type="dxa"/>
              <w:bottom w:w="80" w:type="dxa"/>
              <w:left w:w="120" w:type="dxa"/>
              <w:right w:w="120" w:type="dxa"/>
            </w:tcMar>
          </w:tcPr>
          <w:p>
            <w:pPr>
              <w:jc w:val="left"/>
            </w:pPr>
            <w:r>
              <w:rPr>
                <w:rFonts w:ascii="Calibri" w:hAnsi="Calibri"/>
                <w:color w:val="1F2937"/>
                <w:sz w:val="19"/>
              </w:rPr>
              <w:t>React</w:t>
            </w:r>
          </w:p>
        </w:tc>
        <w:tc>
          <w:tcPr>
            <w:tcW w:type="dxa" w:w="1440"/>
            <w:shd w:fill="FFFFFF"/>
            <w:tcMar>
              <w:top w:w="80" w:type="dxa"/>
              <w:bottom w:w="80" w:type="dxa"/>
              <w:left w:w="120" w:type="dxa"/>
              <w:right w:w="120" w:type="dxa"/>
            </w:tcMar>
          </w:tcPr>
          <w:p>
            <w:pPr>
              <w:jc w:val="left"/>
            </w:pPr>
            <w:r>
              <w:rPr>
                <w:rFonts w:ascii="Calibri" w:hAnsi="Calibri"/>
                <w:color w:val="1F2937"/>
                <w:sz w:val="19"/>
              </w:rPr>
              <w:t>18.3.1</w:t>
            </w:r>
          </w:p>
        </w:tc>
        <w:tc>
          <w:tcPr>
            <w:tcW w:type="dxa" w:w="3168"/>
            <w:shd w:fill="FFFFFF"/>
            <w:tcMar>
              <w:top w:w="80" w:type="dxa"/>
              <w:bottom w:w="80" w:type="dxa"/>
              <w:left w:w="120" w:type="dxa"/>
              <w:right w:w="120" w:type="dxa"/>
            </w:tcMar>
          </w:tcPr>
          <w:p>
            <w:pPr>
              <w:jc w:val="left"/>
            </w:pPr>
            <w:r>
              <w:rPr>
                <w:rFonts w:ascii="Calibri" w:hAnsi="Calibri"/>
                <w:color w:val="1F2937"/>
                <w:sz w:val="19"/>
              </w:rPr>
              <w:t>Single-page dashboard framework</w:t>
            </w:r>
          </w:p>
        </w:tc>
      </w:tr>
      <w:tr>
        <w:tc>
          <w:tcPr>
            <w:tcW w:type="dxa" w:w="2160"/>
            <w:shd w:fill="F8FAFC"/>
            <w:tcMar>
              <w:top w:w="80" w:type="dxa"/>
              <w:bottom w:w="80" w:type="dxa"/>
              <w:left w:w="120" w:type="dxa"/>
              <w:right w:w="120" w:type="dxa"/>
            </w:tcMar>
          </w:tcPr>
          <w:p>
            <w:pPr>
              <w:jc w:val="left"/>
            </w:pPr>
            <w:r>
              <w:rPr>
                <w:rFonts w:ascii="Calibri" w:hAnsi="Calibri"/>
                <w:color w:val="1F2937"/>
                <w:sz w:val="19"/>
              </w:rPr>
              <w:t>Build Tool</w:t>
            </w:r>
          </w:p>
        </w:tc>
        <w:tc>
          <w:tcPr>
            <w:tcW w:type="dxa" w:w="2592"/>
            <w:shd w:fill="F8FAFC"/>
            <w:tcMar>
              <w:top w:w="80" w:type="dxa"/>
              <w:bottom w:w="80" w:type="dxa"/>
              <w:left w:w="120" w:type="dxa"/>
              <w:right w:w="120" w:type="dxa"/>
            </w:tcMar>
          </w:tcPr>
          <w:p>
            <w:pPr>
              <w:jc w:val="left"/>
            </w:pPr>
            <w:r>
              <w:rPr>
                <w:rFonts w:ascii="Calibri" w:hAnsi="Calibri"/>
                <w:color w:val="1F2937"/>
                <w:sz w:val="19"/>
              </w:rPr>
              <w:t>Vite</w:t>
            </w:r>
          </w:p>
        </w:tc>
        <w:tc>
          <w:tcPr>
            <w:tcW w:type="dxa" w:w="1440"/>
            <w:shd w:fill="F8FAFC"/>
            <w:tcMar>
              <w:top w:w="80" w:type="dxa"/>
              <w:bottom w:w="80" w:type="dxa"/>
              <w:left w:w="120" w:type="dxa"/>
              <w:right w:w="120" w:type="dxa"/>
            </w:tcMar>
          </w:tcPr>
          <w:p>
            <w:pPr>
              <w:jc w:val="left"/>
            </w:pPr>
            <w:r>
              <w:rPr>
                <w:rFonts w:ascii="Calibri" w:hAnsi="Calibri"/>
                <w:color w:val="1F2937"/>
                <w:sz w:val="19"/>
              </w:rPr>
              <w:t>5.4.21</w:t>
            </w:r>
          </w:p>
        </w:tc>
        <w:tc>
          <w:tcPr>
            <w:tcW w:type="dxa" w:w="3168"/>
            <w:shd w:fill="F8FAFC"/>
            <w:tcMar>
              <w:top w:w="80" w:type="dxa"/>
              <w:bottom w:w="80" w:type="dxa"/>
              <w:left w:w="120" w:type="dxa"/>
              <w:right w:w="120" w:type="dxa"/>
            </w:tcMar>
          </w:tcPr>
          <w:p>
            <w:pPr>
              <w:jc w:val="left"/>
            </w:pPr>
            <w:r>
              <w:rPr>
                <w:rFonts w:ascii="Calibri" w:hAnsi="Calibri"/>
                <w:color w:val="1F2937"/>
                <w:sz w:val="19"/>
              </w:rPr>
              <w:t>High-speed frontend bundler</w:t>
            </w:r>
          </w:p>
        </w:tc>
      </w:tr>
      <w:tr>
        <w:tc>
          <w:tcPr>
            <w:tcW w:type="dxa" w:w="2160"/>
            <w:shd w:fill="FFFFFF"/>
            <w:tcMar>
              <w:top w:w="80" w:type="dxa"/>
              <w:bottom w:w="80" w:type="dxa"/>
              <w:left w:w="120" w:type="dxa"/>
              <w:right w:w="120" w:type="dxa"/>
            </w:tcMar>
          </w:tcPr>
          <w:p>
            <w:pPr>
              <w:jc w:val="left"/>
            </w:pPr>
            <w:r>
              <w:rPr>
                <w:rFonts w:ascii="Calibri" w:hAnsi="Calibri"/>
                <w:color w:val="1F2937"/>
                <w:sz w:val="19"/>
              </w:rPr>
              <w:t>Type Safety</w:t>
            </w:r>
          </w:p>
        </w:tc>
        <w:tc>
          <w:tcPr>
            <w:tcW w:type="dxa" w:w="2592"/>
            <w:shd w:fill="FFFFFF"/>
            <w:tcMar>
              <w:top w:w="80" w:type="dxa"/>
              <w:bottom w:w="80" w:type="dxa"/>
              <w:left w:w="120" w:type="dxa"/>
              <w:right w:w="120" w:type="dxa"/>
            </w:tcMar>
          </w:tcPr>
          <w:p>
            <w:pPr>
              <w:jc w:val="left"/>
            </w:pPr>
            <w:r>
              <w:rPr>
                <w:rFonts w:ascii="Calibri" w:hAnsi="Calibri"/>
                <w:color w:val="1F2937"/>
                <w:sz w:val="19"/>
              </w:rPr>
              <w:t>TypeScript</w:t>
            </w:r>
          </w:p>
        </w:tc>
        <w:tc>
          <w:tcPr>
            <w:tcW w:type="dxa" w:w="1440"/>
            <w:shd w:fill="FFFFFF"/>
            <w:tcMar>
              <w:top w:w="80" w:type="dxa"/>
              <w:bottom w:w="80" w:type="dxa"/>
              <w:left w:w="120" w:type="dxa"/>
              <w:right w:w="120" w:type="dxa"/>
            </w:tcMar>
          </w:tcPr>
          <w:p>
            <w:pPr>
              <w:jc w:val="left"/>
            </w:pPr>
            <w:r>
              <w:rPr>
                <w:rFonts w:ascii="Calibri" w:hAnsi="Calibri"/>
                <w:color w:val="1F2937"/>
                <w:sz w:val="19"/>
              </w:rPr>
              <w:t>5.5.3</w:t>
            </w:r>
          </w:p>
        </w:tc>
        <w:tc>
          <w:tcPr>
            <w:tcW w:type="dxa" w:w="3168"/>
            <w:shd w:fill="FFFFFF"/>
            <w:tcMar>
              <w:top w:w="80" w:type="dxa"/>
              <w:bottom w:w="80" w:type="dxa"/>
              <w:left w:w="120" w:type="dxa"/>
              <w:right w:w="120" w:type="dxa"/>
            </w:tcMar>
          </w:tcPr>
          <w:p>
            <w:pPr>
              <w:jc w:val="left"/>
            </w:pPr>
            <w:r>
              <w:rPr>
                <w:rFonts w:ascii="Calibri" w:hAnsi="Calibri"/>
                <w:color w:val="1F2937"/>
                <w:sz w:val="19"/>
              </w:rPr>
              <w:t>Strict static type validation</w:t>
            </w:r>
          </w:p>
        </w:tc>
      </w:tr>
      <w:tr>
        <w:tc>
          <w:tcPr>
            <w:tcW w:type="dxa" w:w="2160"/>
            <w:shd w:fill="F8FAFC"/>
            <w:tcMar>
              <w:top w:w="80" w:type="dxa"/>
              <w:bottom w:w="80" w:type="dxa"/>
              <w:left w:w="120" w:type="dxa"/>
              <w:right w:w="120" w:type="dxa"/>
            </w:tcMar>
          </w:tcPr>
          <w:p>
            <w:pPr>
              <w:jc w:val="left"/>
            </w:pPr>
            <w:r>
              <w:rPr>
                <w:rFonts w:ascii="Calibri" w:hAnsi="Calibri"/>
                <w:color w:val="1F2937"/>
                <w:sz w:val="19"/>
              </w:rPr>
              <w:t>Styling</w:t>
            </w:r>
          </w:p>
        </w:tc>
        <w:tc>
          <w:tcPr>
            <w:tcW w:type="dxa" w:w="2592"/>
            <w:shd w:fill="F8FAFC"/>
            <w:tcMar>
              <w:top w:w="80" w:type="dxa"/>
              <w:bottom w:w="80" w:type="dxa"/>
              <w:left w:w="120" w:type="dxa"/>
              <w:right w:w="120" w:type="dxa"/>
            </w:tcMar>
          </w:tcPr>
          <w:p>
            <w:pPr>
              <w:jc w:val="left"/>
            </w:pPr>
            <w:r>
              <w:rPr>
                <w:rFonts w:ascii="Calibri" w:hAnsi="Calibri"/>
                <w:color w:val="1F2937"/>
                <w:sz w:val="19"/>
              </w:rPr>
              <w:t>Tailwind CSS</w:t>
            </w:r>
          </w:p>
        </w:tc>
        <w:tc>
          <w:tcPr>
            <w:tcW w:type="dxa" w:w="1440"/>
            <w:shd w:fill="F8FAFC"/>
            <w:tcMar>
              <w:top w:w="80" w:type="dxa"/>
              <w:bottom w:w="80" w:type="dxa"/>
              <w:left w:w="120" w:type="dxa"/>
              <w:right w:w="120" w:type="dxa"/>
            </w:tcMar>
          </w:tcPr>
          <w:p>
            <w:pPr>
              <w:jc w:val="left"/>
            </w:pPr>
            <w:r>
              <w:rPr>
                <w:rFonts w:ascii="Calibri" w:hAnsi="Calibri"/>
                <w:color w:val="1F2937"/>
                <w:sz w:val="19"/>
              </w:rPr>
              <w:t>3.4.17</w:t>
            </w:r>
          </w:p>
        </w:tc>
        <w:tc>
          <w:tcPr>
            <w:tcW w:type="dxa" w:w="3168"/>
            <w:shd w:fill="F8FAFC"/>
            <w:tcMar>
              <w:top w:w="80" w:type="dxa"/>
              <w:bottom w:w="80" w:type="dxa"/>
              <w:left w:w="120" w:type="dxa"/>
              <w:right w:w="120" w:type="dxa"/>
            </w:tcMar>
          </w:tcPr>
          <w:p>
            <w:pPr>
              <w:jc w:val="left"/>
            </w:pPr>
            <w:r>
              <w:rPr>
                <w:rFonts w:ascii="Calibri" w:hAnsi="Calibri"/>
                <w:color w:val="1F2937"/>
                <w:sz w:val="19"/>
              </w:rPr>
              <w:t>Utility-first design system</w:t>
            </w:r>
          </w:p>
        </w:tc>
      </w:tr>
      <w:tr>
        <w:tc>
          <w:tcPr>
            <w:tcW w:type="dxa" w:w="2160"/>
            <w:shd w:fill="FFFFFF"/>
            <w:tcMar>
              <w:top w:w="80" w:type="dxa"/>
              <w:bottom w:w="80" w:type="dxa"/>
              <w:left w:w="120" w:type="dxa"/>
              <w:right w:w="120" w:type="dxa"/>
            </w:tcMar>
          </w:tcPr>
          <w:p>
            <w:pPr>
              <w:jc w:val="left"/>
            </w:pPr>
            <w:r>
              <w:rPr>
                <w:rFonts w:ascii="Calibri" w:hAnsi="Calibri"/>
                <w:color w:val="1F2937"/>
                <w:sz w:val="19"/>
              </w:rPr>
              <w:t>Testing</w:t>
            </w:r>
          </w:p>
        </w:tc>
        <w:tc>
          <w:tcPr>
            <w:tcW w:type="dxa" w:w="2592"/>
            <w:shd w:fill="FFFFFF"/>
            <w:tcMar>
              <w:top w:w="80" w:type="dxa"/>
              <w:bottom w:w="80" w:type="dxa"/>
              <w:left w:w="120" w:type="dxa"/>
              <w:right w:w="120" w:type="dxa"/>
            </w:tcMar>
          </w:tcPr>
          <w:p>
            <w:pPr>
              <w:jc w:val="left"/>
            </w:pPr>
            <w:r>
              <w:rPr>
                <w:rFonts w:ascii="Calibri" w:hAnsi="Calibri"/>
                <w:color w:val="1F2937"/>
                <w:sz w:val="19"/>
              </w:rPr>
              <w:t>Pytest</w:t>
            </w:r>
          </w:p>
        </w:tc>
        <w:tc>
          <w:tcPr>
            <w:tcW w:type="dxa" w:w="1440"/>
            <w:shd w:fill="FFFFFF"/>
            <w:tcMar>
              <w:top w:w="80" w:type="dxa"/>
              <w:bottom w:w="80" w:type="dxa"/>
              <w:left w:w="120" w:type="dxa"/>
              <w:right w:w="120" w:type="dxa"/>
            </w:tcMar>
          </w:tcPr>
          <w:p>
            <w:pPr>
              <w:jc w:val="left"/>
            </w:pPr>
            <w:r>
              <w:rPr>
                <w:rFonts w:ascii="Calibri" w:hAnsi="Calibri"/>
                <w:color w:val="1F2937"/>
                <w:sz w:val="19"/>
              </w:rPr>
              <w:t>9.1.1</w:t>
            </w:r>
          </w:p>
        </w:tc>
        <w:tc>
          <w:tcPr>
            <w:tcW w:type="dxa" w:w="3168"/>
            <w:shd w:fill="FFFFFF"/>
            <w:tcMar>
              <w:top w:w="80" w:type="dxa"/>
              <w:bottom w:w="80" w:type="dxa"/>
              <w:left w:w="120" w:type="dxa"/>
              <w:right w:w="120" w:type="dxa"/>
            </w:tcMar>
          </w:tcPr>
          <w:p>
            <w:pPr>
              <w:jc w:val="left"/>
            </w:pPr>
            <w:r>
              <w:rPr>
                <w:rFonts w:ascii="Calibri" w:hAnsi="Calibri"/>
                <w:color w:val="1F2937"/>
                <w:sz w:val="19"/>
              </w:rPr>
              <w:t>Automated backend test suite</w:t>
            </w:r>
          </w:p>
        </w:tc>
      </w:tr>
    </w:tbl>
    <w:p>
      <w:pPr>
        <w:keepNext/>
        <w:spacing w:before="320" w:after="120"/>
      </w:pPr>
      <w:r>
        <w:rPr>
          <w:rFonts w:ascii="Calibri" w:hAnsi="Calibri"/>
          <w:b/>
          <w:color w:val="1E3A8A"/>
          <w:sz w:val="36"/>
        </w:rPr>
        <w:t>13. BACKEND IMPLEMENTATION</w:t>
      </w:r>
    </w:p>
    <w:p>
      <w:r>
        <w:rPr>
          <w:rFonts w:ascii="Calibri" w:hAnsi="Calibri"/>
          <w:color w:val="1F2937"/>
          <w:sz w:val="22"/>
        </w:rPr>
        <w:t>The backend is structured under `src/backend/` and exposes 18 RESTful endpoints. Key components include:</w:t>
      </w:r>
    </w:p>
    <w:p>
      <w:pPr>
        <w:pStyle w:val="ListBullet"/>
        <w:spacing w:after="80"/>
      </w:pPr>
      <w:r>
        <w:rPr>
          <w:rFonts w:ascii="Calibri" w:hAnsi="Calibri"/>
          <w:b/>
          <w:color w:val="1F2937"/>
          <w:sz w:val="22"/>
        </w:rPr>
        <w:t xml:space="preserve">main.py: </w:t>
      </w:r>
      <w:r>
        <w:rPr>
          <w:rFonts w:ascii="Calibri" w:hAnsi="Calibri"/>
          <w:color w:val="1F2937"/>
          <w:sz w:val="22"/>
        </w:rPr>
        <w:t>FastAPI app instance with CORS middleware allowing frontend requests.</w:t>
      </w:r>
    </w:p>
    <w:p>
      <w:pPr>
        <w:pStyle w:val="ListBullet"/>
        <w:spacing w:after="80"/>
      </w:pPr>
      <w:r>
        <w:rPr>
          <w:rFonts w:ascii="Calibri" w:hAnsi="Calibri"/>
          <w:b/>
          <w:color w:val="1F2937"/>
          <w:sz w:val="22"/>
        </w:rPr>
        <w:t xml:space="preserve">config.py: </w:t>
      </w:r>
      <w:r>
        <w:rPr>
          <w:rFonts w:ascii="Calibri" w:hAnsi="Calibri"/>
          <w:color w:val="1F2937"/>
          <w:sz w:val="22"/>
        </w:rPr>
        <w:t>Central configuration managing dataset file paths.</w:t>
      </w:r>
    </w:p>
    <w:p>
      <w:pPr>
        <w:pStyle w:val="ListBullet"/>
        <w:spacing w:after="80"/>
      </w:pPr>
      <w:r>
        <w:rPr>
          <w:rFonts w:ascii="Calibri" w:hAnsi="Calibri"/>
          <w:b/>
          <w:color w:val="1F2937"/>
          <w:sz w:val="22"/>
        </w:rPr>
        <w:t xml:space="preserve">models/schemas.py: </w:t>
      </w:r>
      <w:r>
        <w:rPr>
          <w:rFonts w:ascii="Calibri" w:hAnsi="Calibri"/>
          <w:color w:val="1F2937"/>
          <w:sz w:val="22"/>
        </w:rPr>
        <w:t>Pydantic response models ensuring type safety.</w:t>
      </w:r>
    </w:p>
    <w:p>
      <w:pPr>
        <w:pStyle w:val="ListBullet"/>
        <w:spacing w:after="80"/>
      </w:pPr>
      <w:r>
        <w:rPr>
          <w:rFonts w:ascii="Calibri" w:hAnsi="Calibri"/>
          <w:b/>
          <w:color w:val="1F2937"/>
          <w:sz w:val="22"/>
        </w:rPr>
        <w:t xml:space="preserve">services/analytics.py: </w:t>
      </w:r>
      <w:r>
        <w:rPr>
          <w:rFonts w:ascii="Calibri" w:hAnsi="Calibri"/>
          <w:color w:val="1F2937"/>
          <w:sz w:val="22"/>
        </w:rPr>
        <w:t>Core calculation engine providing dynamic DataFrame filtering.</w:t>
      </w:r>
    </w:p>
    <w:p>
      <w:pPr>
        <w:pStyle w:val="ListBullet"/>
        <w:spacing w:after="80"/>
      </w:pPr>
      <w:r>
        <w:rPr>
          <w:rFonts w:ascii="Calibri" w:hAnsi="Calibri"/>
          <w:b/>
          <w:color w:val="1F2937"/>
          <w:sz w:val="22"/>
        </w:rPr>
        <w:t xml:space="preserve">routers/: </w:t>
      </w:r>
      <w:r>
        <w:rPr>
          <w:rFonts w:ascii="Calibri" w:hAnsi="Calibri"/>
          <w:color w:val="1F2937"/>
          <w:sz w:val="22"/>
        </w:rPr>
        <w:t>API routers exposing `/api/health`, `/api/analytics/*`, and `/api/explorer/*` endpoints.</w:t>
      </w:r>
    </w:p>
    <w:p>
      <w:pPr>
        <w:keepNext/>
        <w:spacing w:before="320" w:after="120"/>
      </w:pPr>
      <w:r>
        <w:rPr>
          <w:rFonts w:ascii="Calibri" w:hAnsi="Calibri"/>
          <w:b/>
          <w:color w:val="1E3A8A"/>
          <w:sz w:val="36"/>
        </w:rPr>
        <w:t>14. FRONTEND IMPLEMENTATION</w:t>
      </w:r>
    </w:p>
    <w:p>
      <w:r>
        <w:rPr>
          <w:rFonts w:ascii="Calibri" w:hAnsi="Calibri"/>
          <w:color w:val="1F2937"/>
          <w:sz w:val="22"/>
        </w:rPr>
        <w:t>The frontend (`src/App.tsx`) is a modular React SPA featuring six primary view tabs: Overview &amp; KPIs, Geographic Performance, Traffic &amp; Temporal, Diagnostic Insights, Data Explorer, and Analytical Reports.</w:t>
      </w:r>
    </w:p>
    <w:p>
      <w:pPr>
        <w:keepNext/>
        <w:spacing w:before="320" w:after="120"/>
      </w:pPr>
      <w:r>
        <w:rPr>
          <w:rFonts w:ascii="Calibri" w:hAnsi="Calibri"/>
          <w:b/>
          <w:color w:val="1E3A8A"/>
          <w:sz w:val="36"/>
        </w:rPr>
        <w:t>15. INTERACTIVE FILTERING</w:t>
      </w:r>
    </w:p>
    <w:p>
      <w:r>
        <w:rPr>
          <w:rFonts w:ascii="Calibri" w:hAnsi="Calibri"/>
          <w:color w:val="1F2937"/>
          <w:sz w:val="22"/>
        </w:rPr>
        <w:t>The global multi-dimensional filter bar allows real-time data slicing across eight parameters (City, Traffic, Vehicle, Payment Method, Distance Bin, Order Value Tier, Time Segment, Day of Week). Selecting any filter immediately updates sample size N and recalculates all visible KPIs.</w:t>
      </w:r>
    </w:p>
    <w:p>
      <w:pPr>
        <w:keepNext/>
        <w:spacing w:before="320" w:after="120"/>
      </w:pPr>
      <w:r>
        <w:rPr>
          <w:rFonts w:ascii="Calibri" w:hAnsi="Calibri"/>
          <w:b/>
          <w:color w:val="1E3A8A"/>
          <w:sz w:val="36"/>
        </w:rPr>
        <w:t>16. DATA EXPLORER</w:t>
      </w:r>
    </w:p>
    <w:p>
      <w:r>
        <w:rPr>
          <w:rFonts w:ascii="Calibri" w:hAnsi="Calibri"/>
          <w:color w:val="1F2937"/>
          <w:sz w:val="22"/>
        </w:rPr>
        <w:t>The Data Explorer tab enables direct inspection of the 10,000 raw order records with 20-row pagination, text search, column filtering, column schema inspector, and numerical/categorical distribution summaries.</w:t>
      </w:r>
    </w:p>
    <w:p>
      <w:pPr>
        <w:keepNext/>
        <w:spacing w:before="320" w:after="120"/>
      </w:pPr>
      <w:r>
        <w:rPr>
          <w:rFonts w:ascii="Calibri" w:hAnsi="Calibri"/>
          <w:b/>
          <w:color w:val="1E3A8A"/>
          <w:sz w:val="36"/>
        </w:rPr>
        <w:t>17. ANALYTICAL REPORTING</w:t>
      </w:r>
    </w:p>
    <w:p>
      <w:r>
        <w:rPr>
          <w:rFonts w:ascii="Calibri" w:hAnsi="Calibri"/>
          <w:color w:val="1F2937"/>
          <w:sz w:val="22"/>
        </w:rPr>
        <w:t>The Analytical Reports tab synthesizes key metrics, city tables, traffic dynamics, and operational recommendations into a publication-ready document. Native `@media print` CSS styling enables one-click PDF report export.</w:t>
      </w:r>
    </w:p>
    <w:p>
      <w:pPr>
        <w:keepNext/>
        <w:spacing w:before="320" w:after="120"/>
      </w:pPr>
      <w:r>
        <w:rPr>
          <w:rFonts w:ascii="Calibri" w:hAnsi="Calibri"/>
          <w:b/>
          <w:color w:val="1E3A8A"/>
          <w:sz w:val="36"/>
        </w:rPr>
        <w:t>18. TESTING AND VALIDATION</w:t>
      </w:r>
    </w:p>
    <w:p>
      <w:r>
        <w:rPr>
          <w:rFonts w:ascii="Calibri" w:hAnsi="Calibri"/>
          <w:color w:val="1F2937"/>
          <w:sz w:val="22"/>
        </w:rPr>
        <w:t>System reliability was verified through multiple testing suites:</w:t>
      </w:r>
    </w:p>
    <w:p>
      <w:pPr>
        <w:pStyle w:val="ListBullet"/>
        <w:spacing w:after="80"/>
      </w:pPr>
      <w:r>
        <w:rPr>
          <w:rFonts w:ascii="Calibri" w:hAnsi="Calibri"/>
          <w:b/>
          <w:color w:val="1F2937"/>
          <w:sz w:val="22"/>
        </w:rPr>
        <w:t xml:space="preserve">Pytest Suite: </w:t>
      </w:r>
      <w:r>
        <w:rPr>
          <w:rFonts w:ascii="Calibri" w:hAnsi="Calibri"/>
          <w:color w:val="1F2937"/>
          <w:sz w:val="22"/>
        </w:rPr>
        <w:t>Passed 19/19 automated unit tests verifying API endpoints and calculations.</w:t>
      </w:r>
    </w:p>
    <w:p>
      <w:pPr>
        <w:pStyle w:val="ListBullet"/>
        <w:spacing w:after="80"/>
      </w:pPr>
      <w:r>
        <w:rPr>
          <w:rFonts w:ascii="Calibri" w:hAnsi="Calibri"/>
          <w:b/>
          <w:color w:val="1F2937"/>
          <w:sz w:val="22"/>
        </w:rPr>
        <w:t xml:space="preserve">Independent Validation: </w:t>
      </w:r>
      <w:r>
        <w:rPr>
          <w:rFonts w:ascii="Calibri" w:hAnsi="Calibri"/>
          <w:color w:val="1F2937"/>
          <w:sz w:val="22"/>
        </w:rPr>
        <w:t>Confirmed 100% exact parity between FastAPI endpoints and direct Pandas dataset computations.</w:t>
      </w:r>
    </w:p>
    <w:p>
      <w:pPr>
        <w:pStyle w:val="ListBullet"/>
        <w:spacing w:after="80"/>
      </w:pPr>
      <w:r>
        <w:rPr>
          <w:rFonts w:ascii="Calibri" w:hAnsi="Calibri"/>
          <w:b/>
          <w:color w:val="1F2937"/>
          <w:sz w:val="22"/>
        </w:rPr>
        <w:t xml:space="preserve">TypeScript Type Check: </w:t>
      </w:r>
      <w:r>
        <w:rPr>
          <w:rFonts w:ascii="Calibri" w:hAnsi="Calibri"/>
          <w:color w:val="1F2937"/>
          <w:sz w:val="22"/>
        </w:rPr>
        <w:t>Passed with 0 errors (`npx tsc --noEmit`).</w:t>
      </w:r>
    </w:p>
    <w:p>
      <w:pPr>
        <w:pStyle w:val="ListBullet"/>
        <w:spacing w:after="80"/>
      </w:pPr>
      <w:r>
        <w:rPr>
          <w:rFonts w:ascii="Calibri" w:hAnsi="Calibri"/>
          <w:b/>
          <w:color w:val="1F2937"/>
          <w:sz w:val="22"/>
        </w:rPr>
        <w:t xml:space="preserve">Production Build: </w:t>
      </w:r>
      <w:r>
        <w:rPr>
          <w:rFonts w:ascii="Calibri" w:hAnsi="Calibri"/>
          <w:color w:val="1F2937"/>
          <w:sz w:val="22"/>
        </w:rPr>
        <w:t>Succeeded cleanly in 10.74 seconds (`npm run build`).</w:t>
      </w:r>
    </w:p>
    <w:p>
      <w:pPr>
        <w:keepNext/>
        <w:spacing w:before="320" w:after="120"/>
      </w:pPr>
      <w:r>
        <w:rPr>
          <w:rFonts w:ascii="Calibri" w:hAnsi="Calibri"/>
          <w:b/>
          <w:color w:val="1E3A8A"/>
          <w:sz w:val="36"/>
        </w:rPr>
        <w:t>19. RESULTS</w:t>
      </w:r>
    </w:p>
    <w:p>
      <w:r>
        <w:rPr>
          <w:rFonts w:ascii="Calibri" w:hAnsi="Calibri"/>
          <w:color w:val="1F2937"/>
          <w:sz w:val="22"/>
        </w:rPr>
        <w:t>Table 19.1 presents the detailed municipal performance breakdown across all seven Egyptian cities.</w:t>
      </w:r>
    </w:p>
    <w:tbl>
      <w:tblPr>
        <w:tblW w:type="auto" w:w="0"/>
        <w:jc w:val="center"/>
        <w:tblLook w:firstColumn="1" w:firstRow="1" w:lastColumn="0" w:lastRow="0" w:noHBand="0" w:noVBand="1" w:val="04A0"/>
        <w:tblBorders>
          <w:top w:val="single" w:sz="4" w:space="0" w:color="CBD5E1"/>
          <w:bottom w:val="single" w:sz="6" w:space="0" w:color="1E3A8A"/>
          <w:insideH w:val="single" w:sz="4" w:space="0" w:color="CBD5E1"/>
          <w:insideV w:val="none"/>
          <w:left w:val="none"/>
          <w:right w:val="none"/>
        </w:tblBorders>
      </w:tblPr>
      <w:tblGrid>
        <w:gridCol w:w="1337"/>
        <w:gridCol w:w="1337"/>
        <w:gridCol w:w="1337"/>
        <w:gridCol w:w="1337"/>
        <w:gridCol w:w="1337"/>
        <w:gridCol w:w="1337"/>
        <w:gridCol w:w="1337"/>
      </w:tblGrid>
      <w:tr>
        <w:tc>
          <w:tcPr>
            <w:tcW w:type="dxa" w:w="1728"/>
            <w:shd w:fill="1E3A8A"/>
            <w:tcMar>
              <w:top w:w="80" w:type="dxa"/>
              <w:bottom w:w="80" w:type="dxa"/>
              <w:left w:w="120" w:type="dxa"/>
              <w:right w:w="120" w:type="dxa"/>
            </w:tcMar>
          </w:tcPr>
          <w:p>
            <w:pPr>
              <w:jc w:val="left"/>
            </w:pPr>
            <w:r>
              <w:rPr>
                <w:rFonts w:ascii="Calibri" w:hAnsi="Calibri"/>
                <w:b/>
                <w:color w:val="FFFFFF"/>
                <w:sz w:val="20"/>
              </w:rPr>
              <w:t>City</w:t>
            </w:r>
          </w:p>
        </w:tc>
        <w:tc>
          <w:tcPr>
            <w:tcW w:type="dxa" w:w="1440"/>
            <w:shd w:fill="1E3A8A"/>
            <w:tcMar>
              <w:top w:w="80" w:type="dxa"/>
              <w:bottom w:w="80" w:type="dxa"/>
              <w:left w:w="120" w:type="dxa"/>
              <w:right w:w="120" w:type="dxa"/>
            </w:tcMar>
          </w:tcPr>
          <w:p>
            <w:pPr>
              <w:jc w:val="left"/>
            </w:pPr>
            <w:r>
              <w:rPr>
                <w:rFonts w:ascii="Calibri" w:hAnsi="Calibri"/>
                <w:b/>
                <w:color w:val="FFFFFF"/>
                <w:sz w:val="20"/>
              </w:rPr>
              <w:t>Total Orders</w:t>
            </w:r>
          </w:p>
        </w:tc>
        <w:tc>
          <w:tcPr>
            <w:tcW w:type="dxa" w:w="1440"/>
            <w:shd w:fill="1E3A8A"/>
            <w:tcMar>
              <w:top w:w="80" w:type="dxa"/>
              <w:bottom w:w="80" w:type="dxa"/>
              <w:left w:w="120" w:type="dxa"/>
              <w:right w:w="120" w:type="dxa"/>
            </w:tcMar>
          </w:tcPr>
          <w:p>
            <w:pPr>
              <w:jc w:val="left"/>
            </w:pPr>
            <w:r>
              <w:rPr>
                <w:rFonts w:ascii="Calibri" w:hAnsi="Calibri"/>
                <w:b/>
                <w:color w:val="FFFFFF"/>
                <w:sz w:val="20"/>
              </w:rPr>
              <w:t>Delivered</w:t>
            </w:r>
          </w:p>
        </w:tc>
        <w:tc>
          <w:tcPr>
            <w:tcW w:type="dxa" w:w="1584"/>
            <w:shd w:fill="1E3A8A"/>
            <w:tcMar>
              <w:top w:w="80" w:type="dxa"/>
              <w:bottom w:w="80" w:type="dxa"/>
              <w:left w:w="120" w:type="dxa"/>
              <w:right w:w="120" w:type="dxa"/>
            </w:tcMar>
          </w:tcPr>
          <w:p>
            <w:pPr>
              <w:jc w:val="left"/>
            </w:pPr>
            <w:r>
              <w:rPr>
                <w:rFonts w:ascii="Calibri" w:hAnsi="Calibri"/>
                <w:b/>
                <w:color w:val="FFFFFF"/>
                <w:sz w:val="20"/>
              </w:rPr>
              <w:t>Fulfillment (%)</w:t>
            </w:r>
          </w:p>
        </w:tc>
        <w:tc>
          <w:tcPr>
            <w:tcW w:type="dxa" w:w="1584"/>
            <w:shd w:fill="1E3A8A"/>
            <w:tcMar>
              <w:top w:w="80" w:type="dxa"/>
              <w:bottom w:w="80" w:type="dxa"/>
              <w:left w:w="120" w:type="dxa"/>
              <w:right w:w="120" w:type="dxa"/>
            </w:tcMar>
          </w:tcPr>
          <w:p>
            <w:pPr>
              <w:jc w:val="left"/>
            </w:pPr>
            <w:r>
              <w:rPr>
                <w:rFonts w:ascii="Calibri" w:hAnsi="Calibri"/>
                <w:b/>
                <w:color w:val="FFFFFF"/>
                <w:sz w:val="20"/>
              </w:rPr>
              <w:t>Delay Rate (%)</w:t>
            </w:r>
          </w:p>
        </w:tc>
        <w:tc>
          <w:tcPr>
            <w:tcW w:type="dxa" w:w="1728"/>
            <w:shd w:fill="1E3A8A"/>
            <w:tcMar>
              <w:top w:w="80" w:type="dxa"/>
              <w:bottom w:w="80" w:type="dxa"/>
              <w:left w:w="120" w:type="dxa"/>
              <w:right w:w="120" w:type="dxa"/>
            </w:tcMar>
          </w:tcPr>
          <w:p>
            <w:pPr>
              <w:jc w:val="left"/>
            </w:pPr>
            <w:r>
              <w:rPr>
                <w:rFonts w:ascii="Calibri" w:hAnsi="Calibri"/>
                <w:b/>
                <w:color w:val="FFFFFF"/>
                <w:sz w:val="20"/>
              </w:rPr>
              <w:t>Mean Duration (min)</w:t>
            </w:r>
          </w:p>
        </w:tc>
        <w:tc>
          <w:tcPr>
            <w:tcW w:type="dxa" w:w="1440"/>
            <w:shd w:fill="1E3A8A"/>
            <w:tcMar>
              <w:top w:w="80" w:type="dxa"/>
              <w:bottom w:w="80" w:type="dxa"/>
              <w:left w:w="120" w:type="dxa"/>
              <w:right w:w="120" w:type="dxa"/>
            </w:tcMar>
          </w:tcPr>
          <w:p>
            <w:pPr>
              <w:jc w:val="left"/>
            </w:pPr>
            <w:r>
              <w:rPr>
                <w:rFonts w:ascii="Calibri" w:hAnsi="Calibri"/>
                <w:b/>
                <w:color w:val="FFFFFF"/>
                <w:sz w:val="20"/>
              </w:rPr>
              <w:t>AOV (EGP)</w:t>
            </w:r>
          </w:p>
        </w:tc>
      </w:tr>
      <w:tr>
        <w:tc>
          <w:tcPr>
            <w:tcW w:type="dxa" w:w="1728"/>
            <w:shd w:fill="FFFFFF"/>
            <w:tcMar>
              <w:top w:w="80" w:type="dxa"/>
              <w:bottom w:w="80" w:type="dxa"/>
              <w:left w:w="120" w:type="dxa"/>
              <w:right w:w="120" w:type="dxa"/>
            </w:tcMar>
          </w:tcPr>
          <w:p>
            <w:pPr>
              <w:jc w:val="left"/>
            </w:pPr>
            <w:r>
              <w:rPr>
                <w:rFonts w:ascii="Calibri" w:hAnsi="Calibri"/>
                <w:color w:val="1F2937"/>
                <w:sz w:val="19"/>
              </w:rPr>
              <w:t>Alexandria</w:t>
            </w:r>
          </w:p>
        </w:tc>
        <w:tc>
          <w:tcPr>
            <w:tcW w:type="dxa" w:w="1440"/>
            <w:shd w:fill="FFFFFF"/>
            <w:tcMar>
              <w:top w:w="80" w:type="dxa"/>
              <w:bottom w:w="80" w:type="dxa"/>
              <w:left w:w="120" w:type="dxa"/>
              <w:right w:w="120" w:type="dxa"/>
            </w:tcMar>
          </w:tcPr>
          <w:p>
            <w:pPr>
              <w:jc w:val="left"/>
            </w:pPr>
            <w:r>
              <w:rPr>
                <w:rFonts w:ascii="Calibri" w:hAnsi="Calibri"/>
                <w:color w:val="1F2937"/>
                <w:sz w:val="19"/>
              </w:rPr>
              <w:t>1,416</w:t>
            </w:r>
          </w:p>
        </w:tc>
        <w:tc>
          <w:tcPr>
            <w:tcW w:type="dxa" w:w="1440"/>
            <w:shd w:fill="FFFFFF"/>
            <w:tcMar>
              <w:top w:w="80" w:type="dxa"/>
              <w:bottom w:w="80" w:type="dxa"/>
              <w:left w:w="120" w:type="dxa"/>
              <w:right w:w="120" w:type="dxa"/>
            </w:tcMar>
          </w:tcPr>
          <w:p>
            <w:pPr>
              <w:jc w:val="left"/>
            </w:pPr>
            <w:r>
              <w:rPr>
                <w:rFonts w:ascii="Calibri" w:hAnsi="Calibri"/>
                <w:color w:val="1F2937"/>
                <w:sz w:val="19"/>
              </w:rPr>
              <w:t>1,211</w:t>
            </w:r>
          </w:p>
        </w:tc>
        <w:tc>
          <w:tcPr>
            <w:tcW w:type="dxa" w:w="1584"/>
            <w:shd w:fill="FFFFFF"/>
            <w:tcMar>
              <w:top w:w="80" w:type="dxa"/>
              <w:bottom w:w="80" w:type="dxa"/>
              <w:left w:w="120" w:type="dxa"/>
              <w:right w:w="120" w:type="dxa"/>
            </w:tcMar>
          </w:tcPr>
          <w:p>
            <w:pPr>
              <w:jc w:val="left"/>
            </w:pPr>
            <w:r>
              <w:rPr>
                <w:rFonts w:ascii="Calibri" w:hAnsi="Calibri"/>
                <w:color w:val="1F2937"/>
                <w:sz w:val="19"/>
              </w:rPr>
              <w:t>85.52%</w:t>
            </w:r>
          </w:p>
        </w:tc>
        <w:tc>
          <w:tcPr>
            <w:tcW w:type="dxa" w:w="1584"/>
            <w:shd w:fill="FFFFFF"/>
            <w:tcMar>
              <w:top w:w="80" w:type="dxa"/>
              <w:bottom w:w="80" w:type="dxa"/>
              <w:left w:w="120" w:type="dxa"/>
              <w:right w:w="120" w:type="dxa"/>
            </w:tcMar>
          </w:tcPr>
          <w:p>
            <w:pPr>
              <w:jc w:val="left"/>
            </w:pPr>
            <w:r>
              <w:rPr>
                <w:rFonts w:ascii="Calibri" w:hAnsi="Calibri"/>
                <w:color w:val="1F2937"/>
                <w:sz w:val="19"/>
              </w:rPr>
              <w:t>23.78%</w:t>
            </w:r>
          </w:p>
        </w:tc>
        <w:tc>
          <w:tcPr>
            <w:tcW w:type="dxa" w:w="1728"/>
            <w:shd w:fill="FFFFFF"/>
            <w:tcMar>
              <w:top w:w="80" w:type="dxa"/>
              <w:bottom w:w="80" w:type="dxa"/>
              <w:left w:w="120" w:type="dxa"/>
              <w:right w:w="120" w:type="dxa"/>
            </w:tcMar>
          </w:tcPr>
          <w:p>
            <w:pPr>
              <w:jc w:val="left"/>
            </w:pPr>
            <w:r>
              <w:rPr>
                <w:rFonts w:ascii="Calibri" w:hAnsi="Calibri"/>
                <w:color w:val="1F2937"/>
                <w:sz w:val="19"/>
              </w:rPr>
              <w:t>37.52 min</w:t>
            </w:r>
          </w:p>
        </w:tc>
        <w:tc>
          <w:tcPr>
            <w:tcW w:type="dxa" w:w="1440"/>
            <w:shd w:fill="FFFFFF"/>
            <w:tcMar>
              <w:top w:w="80" w:type="dxa"/>
              <w:bottom w:w="80" w:type="dxa"/>
              <w:left w:w="120" w:type="dxa"/>
              <w:right w:w="120" w:type="dxa"/>
            </w:tcMar>
          </w:tcPr>
          <w:p>
            <w:pPr>
              <w:jc w:val="left"/>
            </w:pPr>
            <w:r>
              <w:rPr>
                <w:rFonts w:ascii="Calibri" w:hAnsi="Calibri"/>
                <w:color w:val="1F2937"/>
                <w:sz w:val="19"/>
              </w:rPr>
              <w:t>EGP 272.27</w:t>
            </w:r>
          </w:p>
        </w:tc>
      </w:tr>
      <w:tr>
        <w:tc>
          <w:tcPr>
            <w:tcW w:type="dxa" w:w="1728"/>
            <w:shd w:fill="F8FAFC"/>
            <w:tcMar>
              <w:top w:w="80" w:type="dxa"/>
              <w:bottom w:w="80" w:type="dxa"/>
              <w:left w:w="120" w:type="dxa"/>
              <w:right w:w="120" w:type="dxa"/>
            </w:tcMar>
          </w:tcPr>
          <w:p>
            <w:pPr>
              <w:jc w:val="left"/>
            </w:pPr>
            <w:r>
              <w:rPr>
                <w:rFonts w:ascii="Calibri" w:hAnsi="Calibri"/>
                <w:color w:val="1F2937"/>
                <w:sz w:val="19"/>
              </w:rPr>
              <w:t>Assiut</w:t>
            </w:r>
          </w:p>
        </w:tc>
        <w:tc>
          <w:tcPr>
            <w:tcW w:type="dxa" w:w="1440"/>
            <w:shd w:fill="F8FAFC"/>
            <w:tcMar>
              <w:top w:w="80" w:type="dxa"/>
              <w:bottom w:w="80" w:type="dxa"/>
              <w:left w:w="120" w:type="dxa"/>
              <w:right w:w="120" w:type="dxa"/>
            </w:tcMar>
          </w:tcPr>
          <w:p>
            <w:pPr>
              <w:jc w:val="left"/>
            </w:pPr>
            <w:r>
              <w:rPr>
                <w:rFonts w:ascii="Calibri" w:hAnsi="Calibri"/>
                <w:color w:val="1F2937"/>
                <w:sz w:val="19"/>
              </w:rPr>
              <w:t>1,430</w:t>
            </w:r>
          </w:p>
        </w:tc>
        <w:tc>
          <w:tcPr>
            <w:tcW w:type="dxa" w:w="1440"/>
            <w:shd w:fill="F8FAFC"/>
            <w:tcMar>
              <w:top w:w="80" w:type="dxa"/>
              <w:bottom w:w="80" w:type="dxa"/>
              <w:left w:w="120" w:type="dxa"/>
              <w:right w:w="120" w:type="dxa"/>
            </w:tcMar>
          </w:tcPr>
          <w:p>
            <w:pPr>
              <w:jc w:val="left"/>
            </w:pPr>
            <w:r>
              <w:rPr>
                <w:rFonts w:ascii="Calibri" w:hAnsi="Calibri"/>
                <w:color w:val="1F2937"/>
                <w:sz w:val="19"/>
              </w:rPr>
              <w:t>1,222</w:t>
            </w:r>
          </w:p>
        </w:tc>
        <w:tc>
          <w:tcPr>
            <w:tcW w:type="dxa" w:w="1584"/>
            <w:shd w:fill="F8FAFC"/>
            <w:tcMar>
              <w:top w:w="80" w:type="dxa"/>
              <w:bottom w:w="80" w:type="dxa"/>
              <w:left w:w="120" w:type="dxa"/>
              <w:right w:w="120" w:type="dxa"/>
            </w:tcMar>
          </w:tcPr>
          <w:p>
            <w:pPr>
              <w:jc w:val="left"/>
            </w:pPr>
            <w:r>
              <w:rPr>
                <w:rFonts w:ascii="Calibri" w:hAnsi="Calibri"/>
                <w:color w:val="1F2937"/>
                <w:sz w:val="19"/>
              </w:rPr>
              <w:t>85.45%</w:t>
            </w:r>
          </w:p>
        </w:tc>
        <w:tc>
          <w:tcPr>
            <w:tcW w:type="dxa" w:w="1584"/>
            <w:shd w:fill="F8FAFC"/>
            <w:tcMar>
              <w:top w:w="80" w:type="dxa"/>
              <w:bottom w:w="80" w:type="dxa"/>
              <w:left w:w="120" w:type="dxa"/>
              <w:right w:w="120" w:type="dxa"/>
            </w:tcMar>
          </w:tcPr>
          <w:p>
            <w:pPr>
              <w:jc w:val="left"/>
            </w:pPr>
            <w:r>
              <w:rPr>
                <w:rFonts w:ascii="Calibri" w:hAnsi="Calibri"/>
                <w:color w:val="1F2937"/>
                <w:sz w:val="19"/>
              </w:rPr>
              <w:t>24.47%</w:t>
            </w:r>
          </w:p>
        </w:tc>
        <w:tc>
          <w:tcPr>
            <w:tcW w:type="dxa" w:w="1728"/>
            <w:shd w:fill="F8FAFC"/>
            <w:tcMar>
              <w:top w:w="80" w:type="dxa"/>
              <w:bottom w:w="80" w:type="dxa"/>
              <w:left w:w="120" w:type="dxa"/>
              <w:right w:w="120" w:type="dxa"/>
            </w:tcMar>
          </w:tcPr>
          <w:p>
            <w:pPr>
              <w:jc w:val="left"/>
            </w:pPr>
            <w:r>
              <w:rPr>
                <w:rFonts w:ascii="Calibri" w:hAnsi="Calibri"/>
                <w:color w:val="1F2937"/>
                <w:sz w:val="19"/>
              </w:rPr>
              <w:t>37.60 min</w:t>
            </w:r>
          </w:p>
        </w:tc>
        <w:tc>
          <w:tcPr>
            <w:tcW w:type="dxa" w:w="1440"/>
            <w:shd w:fill="F8FAFC"/>
            <w:tcMar>
              <w:top w:w="80" w:type="dxa"/>
              <w:bottom w:w="80" w:type="dxa"/>
              <w:left w:w="120" w:type="dxa"/>
              <w:right w:w="120" w:type="dxa"/>
            </w:tcMar>
          </w:tcPr>
          <w:p>
            <w:pPr>
              <w:jc w:val="left"/>
            </w:pPr>
            <w:r>
              <w:rPr>
                <w:rFonts w:ascii="Calibri" w:hAnsi="Calibri"/>
                <w:color w:val="1F2937"/>
                <w:sz w:val="19"/>
              </w:rPr>
              <w:t>EGP 278.89</w:t>
            </w:r>
          </w:p>
        </w:tc>
      </w:tr>
      <w:tr>
        <w:tc>
          <w:tcPr>
            <w:tcW w:type="dxa" w:w="1728"/>
            <w:shd w:fill="FFFFFF"/>
            <w:tcMar>
              <w:top w:w="80" w:type="dxa"/>
              <w:bottom w:w="80" w:type="dxa"/>
              <w:left w:w="120" w:type="dxa"/>
              <w:right w:w="120" w:type="dxa"/>
            </w:tcMar>
          </w:tcPr>
          <w:p>
            <w:pPr>
              <w:jc w:val="left"/>
            </w:pPr>
            <w:r>
              <w:rPr>
                <w:rFonts w:ascii="Calibri" w:hAnsi="Calibri"/>
                <w:color w:val="1F2937"/>
                <w:sz w:val="19"/>
              </w:rPr>
              <w:t>Cairo</w:t>
            </w:r>
          </w:p>
        </w:tc>
        <w:tc>
          <w:tcPr>
            <w:tcW w:type="dxa" w:w="1440"/>
            <w:shd w:fill="FFFFFF"/>
            <w:tcMar>
              <w:top w:w="80" w:type="dxa"/>
              <w:bottom w:w="80" w:type="dxa"/>
              <w:left w:w="120" w:type="dxa"/>
              <w:right w:w="120" w:type="dxa"/>
            </w:tcMar>
          </w:tcPr>
          <w:p>
            <w:pPr>
              <w:jc w:val="left"/>
            </w:pPr>
            <w:r>
              <w:rPr>
                <w:rFonts w:ascii="Calibri" w:hAnsi="Calibri"/>
                <w:color w:val="1F2937"/>
                <w:sz w:val="19"/>
              </w:rPr>
              <w:t>1,439</w:t>
            </w:r>
          </w:p>
        </w:tc>
        <w:tc>
          <w:tcPr>
            <w:tcW w:type="dxa" w:w="1440"/>
            <w:shd w:fill="FFFFFF"/>
            <w:tcMar>
              <w:top w:w="80" w:type="dxa"/>
              <w:bottom w:w="80" w:type="dxa"/>
              <w:left w:w="120" w:type="dxa"/>
              <w:right w:w="120" w:type="dxa"/>
            </w:tcMar>
          </w:tcPr>
          <w:p>
            <w:pPr>
              <w:jc w:val="left"/>
            </w:pPr>
            <w:r>
              <w:rPr>
                <w:rFonts w:ascii="Calibri" w:hAnsi="Calibri"/>
                <w:color w:val="1F2937"/>
                <w:sz w:val="19"/>
              </w:rPr>
              <w:t>1,225</w:t>
            </w:r>
          </w:p>
        </w:tc>
        <w:tc>
          <w:tcPr>
            <w:tcW w:type="dxa" w:w="1584"/>
            <w:shd w:fill="FFFFFF"/>
            <w:tcMar>
              <w:top w:w="80" w:type="dxa"/>
              <w:bottom w:w="80" w:type="dxa"/>
              <w:left w:w="120" w:type="dxa"/>
              <w:right w:w="120" w:type="dxa"/>
            </w:tcMar>
          </w:tcPr>
          <w:p>
            <w:pPr>
              <w:jc w:val="left"/>
            </w:pPr>
            <w:r>
              <w:rPr>
                <w:rFonts w:ascii="Calibri" w:hAnsi="Calibri"/>
                <w:color w:val="1F2937"/>
                <w:sz w:val="19"/>
              </w:rPr>
              <w:t>85.13%</w:t>
            </w:r>
          </w:p>
        </w:tc>
        <w:tc>
          <w:tcPr>
            <w:tcW w:type="dxa" w:w="1584"/>
            <w:shd w:fill="FFFFFF"/>
            <w:tcMar>
              <w:top w:w="80" w:type="dxa"/>
              <w:bottom w:w="80" w:type="dxa"/>
              <w:left w:w="120" w:type="dxa"/>
              <w:right w:w="120" w:type="dxa"/>
            </w:tcMar>
          </w:tcPr>
          <w:p>
            <w:pPr>
              <w:jc w:val="left"/>
            </w:pPr>
            <w:r>
              <w:rPr>
                <w:rFonts w:ascii="Calibri" w:hAnsi="Calibri"/>
                <w:color w:val="1F2937"/>
                <w:sz w:val="19"/>
              </w:rPr>
              <w:t>24.00%</w:t>
            </w:r>
          </w:p>
        </w:tc>
        <w:tc>
          <w:tcPr>
            <w:tcW w:type="dxa" w:w="1728"/>
            <w:shd w:fill="FFFFFF"/>
            <w:tcMar>
              <w:top w:w="80" w:type="dxa"/>
              <w:bottom w:w="80" w:type="dxa"/>
              <w:left w:w="120" w:type="dxa"/>
              <w:right w:w="120" w:type="dxa"/>
            </w:tcMar>
          </w:tcPr>
          <w:p>
            <w:pPr>
              <w:jc w:val="left"/>
            </w:pPr>
            <w:r>
              <w:rPr>
                <w:rFonts w:ascii="Calibri" w:hAnsi="Calibri"/>
                <w:color w:val="1F2937"/>
                <w:sz w:val="19"/>
              </w:rPr>
              <w:t>37.59 min</w:t>
            </w:r>
          </w:p>
        </w:tc>
        <w:tc>
          <w:tcPr>
            <w:tcW w:type="dxa" w:w="1440"/>
            <w:shd w:fill="FFFFFF"/>
            <w:tcMar>
              <w:top w:w="80" w:type="dxa"/>
              <w:bottom w:w="80" w:type="dxa"/>
              <w:left w:w="120" w:type="dxa"/>
              <w:right w:w="120" w:type="dxa"/>
            </w:tcMar>
          </w:tcPr>
          <w:p>
            <w:pPr>
              <w:jc w:val="left"/>
            </w:pPr>
            <w:r>
              <w:rPr>
                <w:rFonts w:ascii="Calibri" w:hAnsi="Calibri"/>
                <w:color w:val="1F2937"/>
                <w:sz w:val="19"/>
              </w:rPr>
              <w:t>EGP 264.61</w:t>
            </w:r>
          </w:p>
        </w:tc>
      </w:tr>
      <w:tr>
        <w:tc>
          <w:tcPr>
            <w:tcW w:type="dxa" w:w="1728"/>
            <w:shd w:fill="F8FAFC"/>
            <w:tcMar>
              <w:top w:w="80" w:type="dxa"/>
              <w:bottom w:w="80" w:type="dxa"/>
              <w:left w:w="120" w:type="dxa"/>
              <w:right w:w="120" w:type="dxa"/>
            </w:tcMar>
          </w:tcPr>
          <w:p>
            <w:pPr>
              <w:jc w:val="left"/>
            </w:pPr>
            <w:r>
              <w:rPr>
                <w:rFonts w:ascii="Calibri" w:hAnsi="Calibri"/>
                <w:color w:val="1F2937"/>
                <w:sz w:val="19"/>
              </w:rPr>
              <w:t>Giza</w:t>
            </w:r>
          </w:p>
        </w:tc>
        <w:tc>
          <w:tcPr>
            <w:tcW w:type="dxa" w:w="1440"/>
            <w:shd w:fill="F8FAFC"/>
            <w:tcMar>
              <w:top w:w="80" w:type="dxa"/>
              <w:bottom w:w="80" w:type="dxa"/>
              <w:left w:w="120" w:type="dxa"/>
              <w:right w:w="120" w:type="dxa"/>
            </w:tcMar>
          </w:tcPr>
          <w:p>
            <w:pPr>
              <w:jc w:val="left"/>
            </w:pPr>
            <w:r>
              <w:rPr>
                <w:rFonts w:ascii="Calibri" w:hAnsi="Calibri"/>
                <w:color w:val="1F2937"/>
                <w:sz w:val="19"/>
              </w:rPr>
              <w:t>1,423</w:t>
            </w:r>
          </w:p>
        </w:tc>
        <w:tc>
          <w:tcPr>
            <w:tcW w:type="dxa" w:w="1440"/>
            <w:shd w:fill="F8FAFC"/>
            <w:tcMar>
              <w:top w:w="80" w:type="dxa"/>
              <w:bottom w:w="80" w:type="dxa"/>
              <w:left w:w="120" w:type="dxa"/>
              <w:right w:w="120" w:type="dxa"/>
            </w:tcMar>
          </w:tcPr>
          <w:p>
            <w:pPr>
              <w:jc w:val="left"/>
            </w:pPr>
            <w:r>
              <w:rPr>
                <w:rFonts w:ascii="Calibri" w:hAnsi="Calibri"/>
                <w:color w:val="1F2937"/>
                <w:sz w:val="19"/>
              </w:rPr>
              <w:t>1,209</w:t>
            </w:r>
          </w:p>
        </w:tc>
        <w:tc>
          <w:tcPr>
            <w:tcW w:type="dxa" w:w="1584"/>
            <w:shd w:fill="F8FAFC"/>
            <w:tcMar>
              <w:top w:w="80" w:type="dxa"/>
              <w:bottom w:w="80" w:type="dxa"/>
              <w:left w:w="120" w:type="dxa"/>
              <w:right w:w="120" w:type="dxa"/>
            </w:tcMar>
          </w:tcPr>
          <w:p>
            <w:pPr>
              <w:jc w:val="left"/>
            </w:pPr>
            <w:r>
              <w:rPr>
                <w:rFonts w:ascii="Calibri" w:hAnsi="Calibri"/>
                <w:color w:val="1F2937"/>
                <w:sz w:val="19"/>
              </w:rPr>
              <w:t>84.96%</w:t>
            </w:r>
          </w:p>
        </w:tc>
        <w:tc>
          <w:tcPr>
            <w:tcW w:type="dxa" w:w="1584"/>
            <w:shd w:fill="F8FAFC"/>
            <w:tcMar>
              <w:top w:w="80" w:type="dxa"/>
              <w:bottom w:w="80" w:type="dxa"/>
              <w:left w:w="120" w:type="dxa"/>
              <w:right w:w="120" w:type="dxa"/>
            </w:tcMar>
          </w:tcPr>
          <w:p>
            <w:pPr>
              <w:jc w:val="left"/>
            </w:pPr>
            <w:r>
              <w:rPr>
                <w:rFonts w:ascii="Calibri" w:hAnsi="Calibri"/>
                <w:color w:val="1F2937"/>
                <w:sz w:val="19"/>
              </w:rPr>
              <w:t>24.07%</w:t>
            </w:r>
          </w:p>
        </w:tc>
        <w:tc>
          <w:tcPr>
            <w:tcW w:type="dxa" w:w="1728"/>
            <w:shd w:fill="F8FAFC"/>
            <w:tcMar>
              <w:top w:w="80" w:type="dxa"/>
              <w:bottom w:w="80" w:type="dxa"/>
              <w:left w:w="120" w:type="dxa"/>
              <w:right w:w="120" w:type="dxa"/>
            </w:tcMar>
          </w:tcPr>
          <w:p>
            <w:pPr>
              <w:jc w:val="left"/>
            </w:pPr>
            <w:r>
              <w:rPr>
                <w:rFonts w:ascii="Calibri" w:hAnsi="Calibri"/>
                <w:color w:val="1F2937"/>
                <w:sz w:val="19"/>
              </w:rPr>
              <w:t>37.18 min</w:t>
            </w:r>
          </w:p>
        </w:tc>
        <w:tc>
          <w:tcPr>
            <w:tcW w:type="dxa" w:w="1440"/>
            <w:shd w:fill="F8FAFC"/>
            <w:tcMar>
              <w:top w:w="80" w:type="dxa"/>
              <w:bottom w:w="80" w:type="dxa"/>
              <w:left w:w="120" w:type="dxa"/>
              <w:right w:w="120" w:type="dxa"/>
            </w:tcMar>
          </w:tcPr>
          <w:p>
            <w:pPr>
              <w:jc w:val="left"/>
            </w:pPr>
            <w:r>
              <w:rPr>
                <w:rFonts w:ascii="Calibri" w:hAnsi="Calibri"/>
                <w:color w:val="1F2937"/>
                <w:sz w:val="19"/>
              </w:rPr>
              <w:t>EGP 269.60</w:t>
            </w:r>
          </w:p>
        </w:tc>
      </w:tr>
      <w:tr>
        <w:tc>
          <w:tcPr>
            <w:tcW w:type="dxa" w:w="1728"/>
            <w:shd w:fill="FFFFFF"/>
            <w:tcMar>
              <w:top w:w="80" w:type="dxa"/>
              <w:bottom w:w="80" w:type="dxa"/>
              <w:left w:w="120" w:type="dxa"/>
              <w:right w:w="120" w:type="dxa"/>
            </w:tcMar>
          </w:tcPr>
          <w:p>
            <w:pPr>
              <w:jc w:val="left"/>
            </w:pPr>
            <w:r>
              <w:rPr>
                <w:rFonts w:ascii="Calibri" w:hAnsi="Calibri"/>
                <w:color w:val="1F2937"/>
                <w:sz w:val="19"/>
              </w:rPr>
              <w:t>Mansoura</w:t>
            </w:r>
          </w:p>
        </w:tc>
        <w:tc>
          <w:tcPr>
            <w:tcW w:type="dxa" w:w="1440"/>
            <w:shd w:fill="FFFFFF"/>
            <w:tcMar>
              <w:top w:w="80" w:type="dxa"/>
              <w:bottom w:w="80" w:type="dxa"/>
              <w:left w:w="120" w:type="dxa"/>
              <w:right w:w="120" w:type="dxa"/>
            </w:tcMar>
          </w:tcPr>
          <w:p>
            <w:pPr>
              <w:jc w:val="left"/>
            </w:pPr>
            <w:r>
              <w:rPr>
                <w:rFonts w:ascii="Calibri" w:hAnsi="Calibri"/>
                <w:color w:val="1F2937"/>
                <w:sz w:val="19"/>
              </w:rPr>
              <w:t>1,405</w:t>
            </w:r>
          </w:p>
        </w:tc>
        <w:tc>
          <w:tcPr>
            <w:tcW w:type="dxa" w:w="1440"/>
            <w:shd w:fill="FFFFFF"/>
            <w:tcMar>
              <w:top w:w="80" w:type="dxa"/>
              <w:bottom w:w="80" w:type="dxa"/>
              <w:left w:w="120" w:type="dxa"/>
              <w:right w:w="120" w:type="dxa"/>
            </w:tcMar>
          </w:tcPr>
          <w:p>
            <w:pPr>
              <w:jc w:val="left"/>
            </w:pPr>
            <w:r>
              <w:rPr>
                <w:rFonts w:ascii="Calibri" w:hAnsi="Calibri"/>
                <w:color w:val="1F2937"/>
                <w:sz w:val="19"/>
              </w:rPr>
              <w:t>1,195</w:t>
            </w:r>
          </w:p>
        </w:tc>
        <w:tc>
          <w:tcPr>
            <w:tcW w:type="dxa" w:w="1584"/>
            <w:shd w:fill="FFFFFF"/>
            <w:tcMar>
              <w:top w:w="80" w:type="dxa"/>
              <w:bottom w:w="80" w:type="dxa"/>
              <w:left w:w="120" w:type="dxa"/>
              <w:right w:w="120" w:type="dxa"/>
            </w:tcMar>
          </w:tcPr>
          <w:p>
            <w:pPr>
              <w:jc w:val="left"/>
            </w:pPr>
            <w:r>
              <w:rPr>
                <w:rFonts w:ascii="Calibri" w:hAnsi="Calibri"/>
                <w:color w:val="1F2937"/>
                <w:sz w:val="19"/>
              </w:rPr>
              <w:t>85.05%</w:t>
            </w:r>
          </w:p>
        </w:tc>
        <w:tc>
          <w:tcPr>
            <w:tcW w:type="dxa" w:w="1584"/>
            <w:shd w:fill="FFFFFF"/>
            <w:tcMar>
              <w:top w:w="80" w:type="dxa"/>
              <w:bottom w:w="80" w:type="dxa"/>
              <w:left w:w="120" w:type="dxa"/>
              <w:right w:w="120" w:type="dxa"/>
            </w:tcMar>
          </w:tcPr>
          <w:p>
            <w:pPr>
              <w:jc w:val="left"/>
            </w:pPr>
            <w:r>
              <w:rPr>
                <w:rFonts w:ascii="Calibri" w:hAnsi="Calibri"/>
                <w:color w:val="1F2937"/>
                <w:sz w:val="19"/>
              </w:rPr>
              <w:t>24.35%</w:t>
            </w:r>
          </w:p>
        </w:tc>
        <w:tc>
          <w:tcPr>
            <w:tcW w:type="dxa" w:w="1728"/>
            <w:shd w:fill="FFFFFF"/>
            <w:tcMar>
              <w:top w:w="80" w:type="dxa"/>
              <w:bottom w:w="80" w:type="dxa"/>
              <w:left w:w="120" w:type="dxa"/>
              <w:right w:w="120" w:type="dxa"/>
            </w:tcMar>
          </w:tcPr>
          <w:p>
            <w:pPr>
              <w:jc w:val="left"/>
            </w:pPr>
            <w:r>
              <w:rPr>
                <w:rFonts w:ascii="Calibri" w:hAnsi="Calibri"/>
                <w:color w:val="1F2937"/>
                <w:sz w:val="19"/>
              </w:rPr>
              <w:t>37.43 min</w:t>
            </w:r>
          </w:p>
        </w:tc>
        <w:tc>
          <w:tcPr>
            <w:tcW w:type="dxa" w:w="1440"/>
            <w:shd w:fill="FFFFFF"/>
            <w:tcMar>
              <w:top w:w="80" w:type="dxa"/>
              <w:bottom w:w="80" w:type="dxa"/>
              <w:left w:w="120" w:type="dxa"/>
              <w:right w:w="120" w:type="dxa"/>
            </w:tcMar>
          </w:tcPr>
          <w:p>
            <w:pPr>
              <w:jc w:val="left"/>
            </w:pPr>
            <w:r>
              <w:rPr>
                <w:rFonts w:ascii="Calibri" w:hAnsi="Calibri"/>
                <w:color w:val="1F2937"/>
                <w:sz w:val="19"/>
              </w:rPr>
              <w:t>EGP 260.09</w:t>
            </w:r>
          </w:p>
        </w:tc>
      </w:tr>
      <w:tr>
        <w:tc>
          <w:tcPr>
            <w:tcW w:type="dxa" w:w="1728"/>
            <w:shd w:fill="F8FAFC"/>
            <w:tcMar>
              <w:top w:w="80" w:type="dxa"/>
              <w:bottom w:w="80" w:type="dxa"/>
              <w:left w:w="120" w:type="dxa"/>
              <w:right w:w="120" w:type="dxa"/>
            </w:tcMar>
          </w:tcPr>
          <w:p>
            <w:pPr>
              <w:jc w:val="left"/>
            </w:pPr>
            <w:r>
              <w:rPr>
                <w:rFonts w:ascii="Calibri" w:hAnsi="Calibri"/>
                <w:color w:val="1F2937"/>
                <w:sz w:val="19"/>
              </w:rPr>
              <w:t>Tanta</w:t>
            </w:r>
          </w:p>
        </w:tc>
        <w:tc>
          <w:tcPr>
            <w:tcW w:type="dxa" w:w="1440"/>
            <w:shd w:fill="F8FAFC"/>
            <w:tcMar>
              <w:top w:w="80" w:type="dxa"/>
              <w:bottom w:w="80" w:type="dxa"/>
              <w:left w:w="120" w:type="dxa"/>
              <w:right w:w="120" w:type="dxa"/>
            </w:tcMar>
          </w:tcPr>
          <w:p>
            <w:pPr>
              <w:jc w:val="left"/>
            </w:pPr>
            <w:r>
              <w:rPr>
                <w:rFonts w:ascii="Calibri" w:hAnsi="Calibri"/>
                <w:color w:val="1F2937"/>
                <w:sz w:val="19"/>
              </w:rPr>
              <w:t>1,433</w:t>
            </w:r>
          </w:p>
        </w:tc>
        <w:tc>
          <w:tcPr>
            <w:tcW w:type="dxa" w:w="1440"/>
            <w:shd w:fill="F8FAFC"/>
            <w:tcMar>
              <w:top w:w="80" w:type="dxa"/>
              <w:bottom w:w="80" w:type="dxa"/>
              <w:left w:w="120" w:type="dxa"/>
              <w:right w:w="120" w:type="dxa"/>
            </w:tcMar>
          </w:tcPr>
          <w:p>
            <w:pPr>
              <w:jc w:val="left"/>
            </w:pPr>
            <w:r>
              <w:rPr>
                <w:rFonts w:ascii="Calibri" w:hAnsi="Calibri"/>
                <w:color w:val="1F2937"/>
                <w:sz w:val="19"/>
              </w:rPr>
              <w:t>1,213</w:t>
            </w:r>
          </w:p>
        </w:tc>
        <w:tc>
          <w:tcPr>
            <w:tcW w:type="dxa" w:w="1584"/>
            <w:shd w:fill="F8FAFC"/>
            <w:tcMar>
              <w:top w:w="80" w:type="dxa"/>
              <w:bottom w:w="80" w:type="dxa"/>
              <w:left w:w="120" w:type="dxa"/>
              <w:right w:w="120" w:type="dxa"/>
            </w:tcMar>
          </w:tcPr>
          <w:p>
            <w:pPr>
              <w:jc w:val="left"/>
            </w:pPr>
            <w:r>
              <w:rPr>
                <w:rFonts w:ascii="Calibri" w:hAnsi="Calibri"/>
                <w:color w:val="1F2937"/>
                <w:sz w:val="19"/>
              </w:rPr>
              <w:t>84.65%</w:t>
            </w:r>
          </w:p>
        </w:tc>
        <w:tc>
          <w:tcPr>
            <w:tcW w:type="dxa" w:w="1584"/>
            <w:shd w:fill="F8FAFC"/>
            <w:tcMar>
              <w:top w:w="80" w:type="dxa"/>
              <w:bottom w:w="80" w:type="dxa"/>
              <w:left w:w="120" w:type="dxa"/>
              <w:right w:w="120" w:type="dxa"/>
            </w:tcMar>
          </w:tcPr>
          <w:p>
            <w:pPr>
              <w:jc w:val="left"/>
            </w:pPr>
            <w:r>
              <w:rPr>
                <w:rFonts w:ascii="Calibri" w:hAnsi="Calibri"/>
                <w:color w:val="1F2937"/>
                <w:sz w:val="19"/>
              </w:rPr>
              <w:t>24.48%</w:t>
            </w:r>
          </w:p>
        </w:tc>
        <w:tc>
          <w:tcPr>
            <w:tcW w:type="dxa" w:w="1728"/>
            <w:shd w:fill="F8FAFC"/>
            <w:tcMar>
              <w:top w:w="80" w:type="dxa"/>
              <w:bottom w:w="80" w:type="dxa"/>
              <w:left w:w="120" w:type="dxa"/>
              <w:right w:w="120" w:type="dxa"/>
            </w:tcMar>
          </w:tcPr>
          <w:p>
            <w:pPr>
              <w:jc w:val="left"/>
            </w:pPr>
            <w:r>
              <w:rPr>
                <w:rFonts w:ascii="Calibri" w:hAnsi="Calibri"/>
                <w:color w:val="1F2937"/>
                <w:sz w:val="19"/>
              </w:rPr>
              <w:t>37.70 min</w:t>
            </w:r>
          </w:p>
        </w:tc>
        <w:tc>
          <w:tcPr>
            <w:tcW w:type="dxa" w:w="1440"/>
            <w:shd w:fill="F8FAFC"/>
            <w:tcMar>
              <w:top w:w="80" w:type="dxa"/>
              <w:bottom w:w="80" w:type="dxa"/>
              <w:left w:w="120" w:type="dxa"/>
              <w:right w:w="120" w:type="dxa"/>
            </w:tcMar>
          </w:tcPr>
          <w:p>
            <w:pPr>
              <w:jc w:val="left"/>
            </w:pPr>
            <w:r>
              <w:rPr>
                <w:rFonts w:ascii="Calibri" w:hAnsi="Calibri"/>
                <w:color w:val="1F2937"/>
                <w:sz w:val="19"/>
              </w:rPr>
              <w:t>EGP 271.94</w:t>
            </w:r>
          </w:p>
        </w:tc>
      </w:tr>
      <w:tr>
        <w:tc>
          <w:tcPr>
            <w:tcW w:type="dxa" w:w="1728"/>
            <w:shd w:fill="FFFFFF"/>
            <w:tcMar>
              <w:top w:w="80" w:type="dxa"/>
              <w:bottom w:w="80" w:type="dxa"/>
              <w:left w:w="120" w:type="dxa"/>
              <w:right w:w="120" w:type="dxa"/>
            </w:tcMar>
          </w:tcPr>
          <w:p>
            <w:pPr>
              <w:jc w:val="left"/>
            </w:pPr>
            <w:r>
              <w:rPr>
                <w:rFonts w:ascii="Calibri" w:hAnsi="Calibri"/>
                <w:color w:val="1F2937"/>
                <w:sz w:val="19"/>
              </w:rPr>
              <w:t>Zagazig</w:t>
            </w:r>
          </w:p>
        </w:tc>
        <w:tc>
          <w:tcPr>
            <w:tcW w:type="dxa" w:w="1440"/>
            <w:shd w:fill="FFFFFF"/>
            <w:tcMar>
              <w:top w:w="80" w:type="dxa"/>
              <w:bottom w:w="80" w:type="dxa"/>
              <w:left w:w="120" w:type="dxa"/>
              <w:right w:w="120" w:type="dxa"/>
            </w:tcMar>
          </w:tcPr>
          <w:p>
            <w:pPr>
              <w:jc w:val="left"/>
            </w:pPr>
            <w:r>
              <w:rPr>
                <w:rFonts w:ascii="Calibri" w:hAnsi="Calibri"/>
                <w:color w:val="1F2937"/>
                <w:sz w:val="19"/>
              </w:rPr>
              <w:t>1,454</w:t>
            </w:r>
          </w:p>
        </w:tc>
        <w:tc>
          <w:tcPr>
            <w:tcW w:type="dxa" w:w="1440"/>
            <w:shd w:fill="FFFFFF"/>
            <w:tcMar>
              <w:top w:w="80" w:type="dxa"/>
              <w:bottom w:w="80" w:type="dxa"/>
              <w:left w:w="120" w:type="dxa"/>
              <w:right w:w="120" w:type="dxa"/>
            </w:tcMar>
          </w:tcPr>
          <w:p>
            <w:pPr>
              <w:jc w:val="left"/>
            </w:pPr>
            <w:r>
              <w:rPr>
                <w:rFonts w:ascii="Calibri" w:hAnsi="Calibri"/>
                <w:color w:val="1F2937"/>
                <w:sz w:val="19"/>
              </w:rPr>
              <w:t>1,245</w:t>
            </w:r>
          </w:p>
        </w:tc>
        <w:tc>
          <w:tcPr>
            <w:tcW w:type="dxa" w:w="1584"/>
            <w:shd w:fill="FFFFFF"/>
            <w:tcMar>
              <w:top w:w="80" w:type="dxa"/>
              <w:bottom w:w="80" w:type="dxa"/>
              <w:left w:w="120" w:type="dxa"/>
              <w:right w:w="120" w:type="dxa"/>
            </w:tcMar>
          </w:tcPr>
          <w:p>
            <w:pPr>
              <w:jc w:val="left"/>
            </w:pPr>
            <w:r>
              <w:rPr>
                <w:rFonts w:ascii="Calibri" w:hAnsi="Calibri"/>
                <w:color w:val="1F2937"/>
                <w:sz w:val="19"/>
              </w:rPr>
              <w:t>85.63%</w:t>
            </w:r>
          </w:p>
        </w:tc>
        <w:tc>
          <w:tcPr>
            <w:tcW w:type="dxa" w:w="1584"/>
            <w:shd w:fill="FFFFFF"/>
            <w:tcMar>
              <w:top w:w="80" w:type="dxa"/>
              <w:bottom w:w="80" w:type="dxa"/>
              <w:left w:w="120" w:type="dxa"/>
              <w:right w:w="120" w:type="dxa"/>
            </w:tcMar>
          </w:tcPr>
          <w:p>
            <w:pPr>
              <w:jc w:val="left"/>
            </w:pPr>
            <w:r>
              <w:rPr>
                <w:rFonts w:ascii="Calibri" w:hAnsi="Calibri"/>
                <w:color w:val="1F2937"/>
                <w:sz w:val="19"/>
              </w:rPr>
              <w:t>24.66%</w:t>
            </w:r>
          </w:p>
        </w:tc>
        <w:tc>
          <w:tcPr>
            <w:tcW w:type="dxa" w:w="1728"/>
            <w:shd w:fill="FFFFFF"/>
            <w:tcMar>
              <w:top w:w="80" w:type="dxa"/>
              <w:bottom w:w="80" w:type="dxa"/>
              <w:left w:w="120" w:type="dxa"/>
              <w:right w:w="120" w:type="dxa"/>
            </w:tcMar>
          </w:tcPr>
          <w:p>
            <w:pPr>
              <w:jc w:val="left"/>
            </w:pPr>
            <w:r>
              <w:rPr>
                <w:rFonts w:ascii="Calibri" w:hAnsi="Calibri"/>
                <w:color w:val="1F2937"/>
                <w:sz w:val="19"/>
              </w:rPr>
              <w:t>37.49 min</w:t>
            </w:r>
          </w:p>
        </w:tc>
        <w:tc>
          <w:tcPr>
            <w:tcW w:type="dxa" w:w="1440"/>
            <w:shd w:fill="FFFFFF"/>
            <w:tcMar>
              <w:top w:w="80" w:type="dxa"/>
              <w:bottom w:w="80" w:type="dxa"/>
              <w:left w:w="120" w:type="dxa"/>
              <w:right w:w="120" w:type="dxa"/>
            </w:tcMar>
          </w:tcPr>
          <w:p>
            <w:pPr>
              <w:jc w:val="left"/>
            </w:pPr>
            <w:r>
              <w:rPr>
                <w:rFonts w:ascii="Calibri" w:hAnsi="Calibri"/>
                <w:color w:val="1F2937"/>
                <w:sz w:val="19"/>
              </w:rPr>
              <w:t>EGP 265.38</w:t>
            </w:r>
          </w:p>
        </w:tc>
      </w:tr>
    </w:tbl>
    <w:p>
      <w:pPr>
        <w:keepNext/>
        <w:spacing w:before="320" w:after="120"/>
      </w:pPr>
      <w:r>
        <w:rPr>
          <w:rFonts w:ascii="Calibri" w:hAnsi="Calibri"/>
          <w:b/>
          <w:color w:val="1E3A8A"/>
          <w:sz w:val="36"/>
        </w:rPr>
        <w:t>20. LIMITATIONS</w:t>
      </w:r>
    </w:p>
    <w:p>
      <w:pPr>
        <w:pStyle w:val="ListBullet"/>
        <w:spacing w:after="80"/>
      </w:pPr>
      <w:r>
        <w:rPr>
          <w:rFonts w:ascii="Calibri" w:hAnsi="Calibri"/>
          <w:b/>
          <w:color w:val="1F2937"/>
          <w:sz w:val="22"/>
        </w:rPr>
        <w:t xml:space="preserve">1. Observational Scope: </w:t>
      </w:r>
      <w:r>
        <w:rPr>
          <w:rFonts w:ascii="Calibri" w:hAnsi="Calibri"/>
          <w:color w:val="1F2937"/>
          <w:sz w:val="22"/>
        </w:rPr>
        <w:t>All analytical insights represent purely descriptive observational patterns; establishing causal relationships requires controlled A/B testing.</w:t>
      </w:r>
    </w:p>
    <w:p>
      <w:pPr>
        <w:pStyle w:val="ListBullet"/>
        <w:spacing w:after="80"/>
      </w:pPr>
      <w:r>
        <w:rPr>
          <w:rFonts w:ascii="Calibri" w:hAnsi="Calibri"/>
          <w:b/>
          <w:color w:val="1F2937"/>
          <w:sz w:val="22"/>
        </w:rPr>
        <w:t xml:space="preserve">2. Simulated Dataset Artifacts: </w:t>
      </w:r>
      <w:r>
        <w:rPr>
          <w:rFonts w:ascii="Calibri" w:hAnsi="Calibri"/>
          <w:color w:val="1F2937"/>
          <w:sz w:val="22"/>
        </w:rPr>
        <w:t>The dataset originates from a simulated platform, resulting in weaker correlations between distance/traffic and duration than in empirical sensor data.</w:t>
      </w:r>
    </w:p>
    <w:p>
      <w:pPr>
        <w:pStyle w:val="ListBullet"/>
        <w:spacing w:after="80"/>
      </w:pPr>
      <w:r>
        <w:rPr>
          <w:rFonts w:ascii="Calibri" w:hAnsi="Calibri"/>
          <w:b/>
          <w:color w:val="1F2937"/>
          <w:sz w:val="22"/>
        </w:rPr>
        <w:t xml:space="preserve">3. Static Benchmark Scope: </w:t>
      </w:r>
      <w:r>
        <w:rPr>
          <w:rFonts w:ascii="Calibri" w:hAnsi="Calibri"/>
          <w:color w:val="1F2937"/>
          <w:sz w:val="22"/>
        </w:rPr>
        <w:t>Operational metrics reflect the 10,000-order benchmark file; real-time streaming database ingestion is reserved for future work.</w:t>
      </w:r>
    </w:p>
    <w:p>
      <w:pPr>
        <w:keepNext/>
        <w:spacing w:before="320" w:after="120"/>
      </w:pPr>
      <w:r>
        <w:rPr>
          <w:rFonts w:ascii="Calibri" w:hAnsi="Calibri"/>
          <w:b/>
          <w:color w:val="1E3A8A"/>
          <w:sz w:val="36"/>
        </w:rPr>
        <w:t>21. FUTURE ENHANCEMENTS</w:t>
      </w:r>
    </w:p>
    <w:p>
      <w:r>
        <w:rPr>
          <w:rFonts w:ascii="Calibri" w:hAnsi="Calibri"/>
          <w:color w:val="1F2937"/>
          <w:sz w:val="22"/>
        </w:rPr>
        <w:t>AI/ML-based prediction is planned as a future enhancement and is not presented as an implemented capability in the current version. Future planned additions include ML delay prediction classifiers (XGBoost/LightGBM), ETA regression models, SHAP feature importance visualizers, and real-time streaming database connectors.</w:t>
      </w:r>
    </w:p>
    <w:p>
      <w:pPr>
        <w:keepNext/>
        <w:spacing w:before="320" w:after="120"/>
      </w:pPr>
      <w:r>
        <w:rPr>
          <w:rFonts w:ascii="Calibri" w:hAnsi="Calibri"/>
          <w:b/>
          <w:color w:val="1E3A8A"/>
          <w:sz w:val="36"/>
        </w:rPr>
        <w:t>22. CONCLUSION</w:t>
      </w:r>
    </w:p>
    <w:p>
      <w:r>
        <w:rPr>
          <w:rFonts w:ascii="Calibri" w:hAnsi="Calibri"/>
          <w:color w:val="1F2937"/>
          <w:sz w:val="22"/>
        </w:rPr>
        <w:t>The FoodFlow Analytics project successfully converts complex food delivery telemetry into an interactive, dynamic operational dashboard. By combining a robust FastAPI backend with a modern React + TypeScript frontend, the system delivers real-time analytical slicing, baseline KPI tracking, and publication-ready report generation. The project establishes a solid foundation for operational intelligence in urban food delivery logistics.</w:t>
      </w:r>
    </w:p>
    <w:p>
      <w:pPr>
        <w:keepNext/>
        <w:spacing w:before="320" w:after="120"/>
      </w:pPr>
      <w:r>
        <w:rPr>
          <w:rFonts w:ascii="Calibri" w:hAnsi="Calibri"/>
          <w:b/>
          <w:color w:val="1E3A8A"/>
          <w:sz w:val="36"/>
        </w:rPr>
        <w:t>23. REFERENCES</w:t>
      </w:r>
    </w:p>
    <w:p>
      <w:pPr>
        <w:pStyle w:val="ListBullet"/>
        <w:spacing w:after="80"/>
      </w:pPr>
      <w:r>
        <w:rPr>
          <w:rFonts w:ascii="Calibri" w:hAnsi="Calibri"/>
          <w:b/>
          <w:color w:val="1F2937"/>
          <w:sz w:val="22"/>
        </w:rPr>
        <w:t xml:space="preserve">1. FastAPI: </w:t>
      </w:r>
      <w:r>
        <w:rPr>
          <w:rFonts w:ascii="Calibri" w:hAnsi="Calibri"/>
          <w:color w:val="1F2937"/>
          <w:sz w:val="22"/>
        </w:rPr>
        <w:t>FastAPI Framework Documentation: https://fastapi.tiangolo.com/</w:t>
      </w:r>
    </w:p>
    <w:p>
      <w:pPr>
        <w:pStyle w:val="ListBullet"/>
        <w:spacing w:after="80"/>
      </w:pPr>
      <w:r>
        <w:rPr>
          <w:rFonts w:ascii="Calibri" w:hAnsi="Calibri"/>
          <w:b/>
          <w:color w:val="1F2937"/>
          <w:sz w:val="22"/>
        </w:rPr>
        <w:t xml:space="preserve">2. React: </w:t>
      </w:r>
      <w:r>
        <w:rPr>
          <w:rFonts w:ascii="Calibri" w:hAnsi="Calibri"/>
          <w:color w:val="1F2937"/>
          <w:sz w:val="22"/>
        </w:rPr>
        <w:t>React Library Documentation: https://react.dev/</w:t>
      </w:r>
    </w:p>
    <w:p>
      <w:pPr>
        <w:pStyle w:val="ListBullet"/>
        <w:spacing w:after="80"/>
      </w:pPr>
      <w:r>
        <w:rPr>
          <w:rFonts w:ascii="Calibri" w:hAnsi="Calibri"/>
          <w:b/>
          <w:color w:val="1F2937"/>
          <w:sz w:val="22"/>
        </w:rPr>
        <w:t xml:space="preserve">3. TypeScript: </w:t>
      </w:r>
      <w:r>
        <w:rPr>
          <w:rFonts w:ascii="Calibri" w:hAnsi="Calibri"/>
          <w:color w:val="1F2937"/>
          <w:sz w:val="22"/>
        </w:rPr>
        <w:t>TypeScript Language Specification: https://www.typescriptlang.org/</w:t>
      </w:r>
    </w:p>
    <w:p>
      <w:pPr>
        <w:pStyle w:val="ListBullet"/>
        <w:spacing w:after="80"/>
      </w:pPr>
      <w:r>
        <w:rPr>
          <w:rFonts w:ascii="Calibri" w:hAnsi="Calibri"/>
          <w:b/>
          <w:color w:val="1F2937"/>
          <w:sz w:val="22"/>
        </w:rPr>
        <w:t xml:space="preserve">4. Pandas: </w:t>
      </w:r>
      <w:r>
        <w:rPr>
          <w:rFonts w:ascii="Calibri" w:hAnsi="Calibri"/>
          <w:color w:val="1F2937"/>
          <w:sz w:val="22"/>
        </w:rPr>
        <w:t>Pandas Data Analysis Library: https://pandas.pydata.org/</w:t>
      </w:r>
    </w:p>
    <w:p>
      <w:pPr>
        <w:pStyle w:val="ListBullet"/>
        <w:spacing w:after="80"/>
      </w:pPr>
      <w:r>
        <w:rPr>
          <w:rFonts w:ascii="Calibri" w:hAnsi="Calibri"/>
          <w:b/>
          <w:color w:val="1F2937"/>
          <w:sz w:val="22"/>
        </w:rPr>
        <w:t xml:space="preserve">5. Vite: </w:t>
      </w:r>
      <w:r>
        <w:rPr>
          <w:rFonts w:ascii="Calibri" w:hAnsi="Calibri"/>
          <w:color w:val="1F2937"/>
          <w:sz w:val="22"/>
        </w:rPr>
        <w:t>Vite Build Tool: https://vitejs.dev/</w:t>
      </w:r>
    </w:p>
    <w:p>
      <w:pPr>
        <w:pStyle w:val="ListBullet"/>
        <w:spacing w:after="80"/>
      </w:pPr>
      <w:r>
        <w:rPr>
          <w:rFonts w:ascii="Calibri" w:hAnsi="Calibri"/>
          <w:b/>
          <w:color w:val="1F2937"/>
          <w:sz w:val="22"/>
        </w:rPr>
        <w:t xml:space="preserve">6. Tailwind CSS: </w:t>
      </w:r>
      <w:r>
        <w:rPr>
          <w:rFonts w:ascii="Calibri" w:hAnsi="Calibri"/>
          <w:color w:val="1F2937"/>
          <w:sz w:val="22"/>
        </w:rPr>
        <w:t>Tailwind CSS Framework: https://tailwindcss.com/</w:t>
      </w:r>
    </w:p>
    <w:p>
      <w:pPr>
        <w:pStyle w:val="ListBullet"/>
        <w:spacing w:after="80"/>
      </w:pPr>
      <w:r>
        <w:rPr>
          <w:rFonts w:ascii="Calibri" w:hAnsi="Calibri"/>
          <w:b/>
          <w:color w:val="1F2937"/>
          <w:sz w:val="22"/>
        </w:rPr>
        <w:t xml:space="preserve">7. Python: </w:t>
      </w:r>
      <w:r>
        <w:rPr>
          <w:rFonts w:ascii="Calibri" w:hAnsi="Calibri"/>
          <w:color w:val="1F2937"/>
          <w:sz w:val="22"/>
        </w:rPr>
        <w:t>Python 3.12 Standard Library: https://docs.python.org/3.12/</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Boddeda Prudhvi | Lendi Institute of Engineering and Technology</w:t>
      <w:tab/>
      <w:tab/>
      <w:t xml:space="preserve">Page </w:t>
    </w:r>
    <w:fldChar w:fldCharType="begin"/>
    <w:instrText xml:space="preserve"> PAGE </w:instrText>
    <w:fldChar w:fldCharType="separate"/>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FoodFlow Analytics — Academic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