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kzkec4xdyvz6" w:id="0"/>
      <w:bookmarkEnd w:id="0"/>
      <w:r w:rsidDel="00000000" w:rsidR="00000000" w:rsidRPr="00000000">
        <w:rPr>
          <w:rtl w:val="0"/>
        </w:rPr>
        <w:t xml:space="preserve">REV 1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17"/>
          <w:szCs w:val="1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eeeeee" w:val="clear"/>
          <w:rtl w:val="0"/>
        </w:rPr>
        <w:t xml:space="preserve">Artigo bem escrito e com uma clara contrinuição mas alguns pontos merecemmelhor explicação bem como referências. Os itens a seguir (incluindo "typos") requerem correções ou melhor redação: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(1) a nota de rodapé 1 com dois pontos finais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(2) "alimenta" no 3o parágrafo da introdução não está claro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(3) seção 2, 2o parágrafo: camada de rede (redes)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(4) subseção 2.1, 1o parágrafo: ajustar o verbo "em 2012 o RPL é". Não seria "era" ou "em 2021"? Falta definir DIS (dodag information solicitation)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(5) subseção 3.1.1: esperando-se não seria "espera-se"? No último parágrafo não está claro o parênteses "(ambos genéricos..)"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(6) subseção 3.2.2 : corrigir "massagens" (mensagens),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(7) subseção 3.3.1 "pequenos dados" ou "pequeno volume de dados"?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(8) subseção 3.4.2 várias fontes com números estão diferentes ao longo do texto: por favor homogeneizar o tipo e tamanho da fonte. A expressão começando com gerúndio "Expondo" não está clara.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(9) a conclusão é confusa em especial a última sentença. Favor explicar melhor.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rPr/>
      </w:pPr>
      <w:bookmarkStart w:colFirst="0" w:colLast="0" w:name="_gyfhf28sk1ui" w:id="1"/>
      <w:bookmarkEnd w:id="1"/>
      <w:r w:rsidDel="00000000" w:rsidR="00000000" w:rsidRPr="00000000">
        <w:rPr>
          <w:rtl w:val="0"/>
        </w:rPr>
        <w:t xml:space="preserve">REV 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O artigo propõe uma discussão interessante sobre os requisitos de roteamento para IoMT e as soluções existentes. Avalia também o protocolo RPL, indicando limitações em cenários de mobilidade. Destaca que os cenários de mobilidade devem ser melhor explorados e compreendidos para o desenvolvimento de melhores protocolos.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rPr/>
      </w:pPr>
      <w:bookmarkStart w:colFirst="0" w:colLast="0" w:name="_6ol1uijlttfn" w:id="2"/>
      <w:bookmarkEnd w:id="2"/>
      <w:r w:rsidDel="00000000" w:rsidR="00000000" w:rsidRPr="00000000">
        <w:rPr>
          <w:rtl w:val="0"/>
        </w:rPr>
        <w:t xml:space="preserve">REV 3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7"/>
          <w:szCs w:val="1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eeeeee" w:val="clear"/>
          <w:rtl w:val="0"/>
        </w:rPr>
        <w:t xml:space="preserve">Nesse trabalho, os autores discutem os requisitos de roteamento considerando a mobilidade em IoT. Os autores apontam que por meio de estudos da literatura e sua experiência no desenvolvimento de soluções para IoMT, um resumo crítico  é apresentado sobre os fatores fundamentais que impactam na robustez, escalabilidade e confiabilidade das redes IoMT, tal como no projeto, implementação e análise das soluções desenvolvidas para IoT.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7"/>
          <w:szCs w:val="1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eeeeee" w:val="clear"/>
          <w:rtl w:val="0"/>
        </w:rPr>
        <w:t xml:space="preserve">De forma geral, o trabalho está muito bem escrito, organizado e fundamentado com boas referências. Seguem alguns detalhes observados como sugestões de ajustes: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strike w:val="1"/>
          <w:sz w:val="17"/>
          <w:szCs w:val="17"/>
          <w:shd w:fill="eeeeee" w:val="clear"/>
          <w:rtl w:val="0"/>
        </w:rPr>
        <w:t xml:space="preserve">* Seção 2.1: Qual o significado da sigla DOGAG?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  <w:rPrChange w:author="BRUNO PEREIRA DOS SANTOS" w:id="0" w:date="2021-07-30T17:13:55Z">
            <w:rPr>
              <w:rFonts w:ascii="Courier New" w:cs="Courier New" w:eastAsia="Courier New" w:hAnsi="Courier New"/>
              <w:sz w:val="17"/>
              <w:szCs w:val="17"/>
              <w:u w:val="none"/>
              <w:shd w:fill="eeeeee" w:val="clear"/>
            </w:rPr>
          </w:rPrChange>
        </w:rPr>
        <w:pPrChange w:author="BRUNO PEREIRA DOS SANTOS" w:id="0" w:date="2021-07-30T17:13:55Z">
          <w:pPr>
            <w:pageBreakBefore w:val="0"/>
            <w:numPr>
              <w:ilvl w:val="0"/>
              <w:numId w:val="3"/>
            </w:numPr>
            <w:ind w:left="720" w:hanging="360"/>
          </w:pPr>
        </w:pPrChange>
      </w:pPr>
      <w:commentRangeStart w:id="1"/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eeeeee" w:val="clear"/>
          <w:rtl w:val="0"/>
        </w:rPr>
        <w:t xml:space="preserve">* No segundo parágrafo dessa seção, na figura 1 está difícil perceber o exemplo de como os modos de operação do RPL são ilustrados.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  <w:rPrChange w:author="BRUNO PEREIRA DOS SANTOS" w:id="1" w:date="2021-07-30T17:14:15Z">
            <w:rPr>
              <w:rFonts w:ascii="Courier New" w:cs="Courier New" w:eastAsia="Courier New" w:hAnsi="Courier New"/>
              <w:sz w:val="17"/>
              <w:szCs w:val="17"/>
              <w:u w:val="none"/>
              <w:shd w:fill="eeeeee" w:val="clear"/>
            </w:rPr>
          </w:rPrChange>
        </w:rPr>
        <w:pPrChange w:author="BRUNO PEREIRA DOS SANTOS" w:id="0" w:date="2021-07-30T17:14:15Z">
          <w:pPr>
            <w:pageBreakBefore w:val="0"/>
            <w:numPr>
              <w:ilvl w:val="0"/>
              <w:numId w:val="3"/>
            </w:numPr>
            <w:ind w:left="720" w:hanging="360"/>
          </w:pPr>
        </w:pPrChange>
      </w:pPr>
      <w:commentRangeStart w:id="2"/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eeeeee" w:val="clear"/>
          <w:rtl w:val="0"/>
        </w:rPr>
        <w:t xml:space="preserve">* Seria interessante melhorar a qualidade da figura 2, assim como a figura 4. Ambas estão com pouco contraste e as fontes pequenas dificultam um pouco a leitura.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17"/>
          <w:szCs w:val="17"/>
          <w:u w:val="none"/>
          <w:shd w:fill="eeeeee" w:val="clear"/>
          <w:rPrChange w:author="BRUNO PEREIRA DOS SANTOS" w:id="2" w:date="2021-07-30T17:14:34Z">
            <w:rPr>
              <w:rFonts w:ascii="Courier New" w:cs="Courier New" w:eastAsia="Courier New" w:hAnsi="Courier New"/>
              <w:sz w:val="17"/>
              <w:szCs w:val="17"/>
              <w:u w:val="none"/>
              <w:shd w:fill="eeeeee" w:val="clear"/>
            </w:rPr>
          </w:rPrChange>
        </w:rPr>
        <w:pPrChange w:author="BRUNO PEREIRA DOS SANTOS" w:id="0" w:date="2021-07-30T17:14:34Z">
          <w:pPr>
            <w:pageBreakBefore w:val="0"/>
            <w:numPr>
              <w:ilvl w:val="0"/>
              <w:numId w:val="3"/>
            </w:numPr>
            <w:ind w:left="720" w:hanging="360"/>
          </w:pPr>
        </w:pPrChange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eeeeee" w:val="clear"/>
          <w:rtl w:val="0"/>
        </w:rPr>
        <w:t xml:space="preserve">* A partir da página 10, verificar a fonte utilizada nas unidades de medida (i.e 150 m, 1000 m × 1000 m). Nessas unidades, a fonte está diferente do restante do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UNO PEREIRA DOS SANTOS" w:id="1" w:date="2021-07-30T17:13:54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1 não fala sobre os modos de operação (store e non-store) e sim como o RPL funciona.</w:t>
      </w:r>
    </w:p>
  </w:comment>
  <w:comment w:author="BRUNO PEREIRA DOS SANTOS" w:id="0" w:date="2021-07-30T17:13:03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 descrito em outra parte do texto (em uma figura). Ajustei!</w:t>
      </w:r>
    </w:p>
  </w:comment>
  <w:comment w:author="BRUNO PEREIRA DOS SANTOS" w:id="2" w:date="2021-07-30T17:14:26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espaço irmão! rsrs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