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2761" w:val="clear"/>
            <w:tcMar>
              <w:top w:type="dxa" w:w="480"/>
              <w:left w:type="dxa" w:w="480"/>
              <w:bottom w:type="dxa" w:w="480"/>
              <w:right w:type="dxa" w:w="480"/>
            </w:tcMar>
          </w:tcPr>
          <w:p>
            <w:pPr>
              <w:spacing w:after="80" w:before="0"/>
            </w:pPr>
            <w:r>
              <w:rPr>
                <w:rFonts w:ascii="Arial" w:cs="Arial" w:eastAsia="Arial" w:hAnsi="Arial"/>
                <w:b/>
                <w:bCs/>
                <w:color w:val="FFFFFF"/>
                <w:sz w:val="52"/>
                <w:szCs w:val="52"/>
              </w:rPr>
              <w:t xml:space="preserve">PROJECT PRISM</w:t>
            </w:r>
          </w:p>
          <w:p>
            <w:pPr>
              <w:spacing w:after="80" w:before="0"/>
            </w:pPr>
            <w:r>
              <w:rPr>
                <w:rFonts w:ascii="Arial" w:cs="Arial" w:eastAsia="Arial" w:hAnsi="Arial"/>
                <w:color w:val="CADCFC"/>
                <w:sz w:val="32"/>
                <w:szCs w:val="32"/>
              </w:rPr>
              <w:t xml:space="preserve">Revenue Intelligence Engine</w:t>
            </w:r>
          </w:p>
          <w:p>
            <w:pPr>
              <w:spacing w:after="240" w:before="0"/>
            </w:pPr>
            <w:r>
              <w:rPr>
                <w:rFonts w:ascii="Arial" w:cs="Arial" w:eastAsia="Arial" w:hAnsi="Arial"/>
                <w:i/>
                <w:iCs/>
                <w:color w:val="CADCFC"/>
                <w:sz w:val="24"/>
                <w:szCs w:val="24"/>
              </w:rPr>
              <w:t xml:space="preserve">Intelligence Architecture &amp; Prompt System — v2.0</w:t>
            </w:r>
          </w:p>
          <w:p>
            <w:r>
              <w:rPr>
                <w:rFonts w:ascii="Arial" w:cs="Arial" w:eastAsia="Arial" w:hAnsi="Arial"/>
                <w:color w:val="CADCFC"/>
                <w:sz w:val="20"/>
                <w:szCs w:val="20"/>
              </w:rPr>
              <w:t xml:space="preserve">Prepared for Simpro Revenue Leadership Team</w:t>
            </w:r>
          </w:p>
          <w:p>
            <w:r>
              <w:rPr>
                <w:rFonts w:ascii="Arial" w:cs="Arial" w:eastAsia="Arial" w:hAnsi="Arial"/>
                <w:color w:val="CADCFC"/>
                <w:sz w:val="20"/>
                <w:szCs w:val="20"/>
              </w:rPr>
              <w:t xml:space="preserve">March 2026  |  UK · AU · NZ · North America</w:t>
            </w:r>
          </w:p>
        </w:tc>
      </w:tr>
    </w:tbl>
    <w:p>
      <w:pPr>
        <w:spacing w:after="0" w:before="240"/>
      </w:pPr>
      <w:r>
        <w:t xml:space="preserve"/>
      </w:r>
    </w:p>
    <w:p>
      <w:pPr>
        <w:pStyle w:val="Heading1"/>
        <w:spacing w:after="120" w:before="360"/>
      </w:pPr>
      <w:r>
        <w:rPr>
          <w:rFonts w:ascii="Arial" w:cs="Arial" w:eastAsia="Arial" w:hAnsi="Arial"/>
          <w:b/>
          <w:bCs/>
          <w:color w:val="1E2761"/>
          <w:sz w:val="32"/>
          <w:szCs w:val="32"/>
        </w:rPr>
        <w:t xml:space="preserve">Executive Summary</w:t>
      </w:r>
    </w:p>
    <w:p>
      <w:pPr>
        <w:spacing w:after="80" w:before="60"/>
      </w:pPr>
      <w:r>
        <w:rPr>
          <w:rFonts w:ascii="Arial" w:cs="Arial" w:eastAsia="Arial" w:hAnsi="Arial"/>
          <w:color w:val="444444"/>
          <w:sz w:val="22"/>
          <w:szCs w:val="22"/>
        </w:rPr>
        <w:t xml:space="preserve">Project Prism is Simpro's AI-powered Revenue Intelligence Engine. It ingests Salesforce pipeline data and produces structured intelligence reports across Simpro's four operating markets: United Kingdom, Australia, New Zealand, and North America.</w:t>
      </w:r>
    </w:p>
    <w:p>
      <w:pPr>
        <w:spacing w:after="0" w:before="60"/>
      </w:pPr>
      <w:r>
        <w:t xml:space="preserve"/>
      </w:r>
    </w:p>
    <w:p>
      <w:pPr>
        <w:spacing w:after="80" w:before="60"/>
      </w:pPr>
      <w:r>
        <w:rPr>
          <w:rFonts w:ascii="Arial" w:cs="Arial" w:eastAsia="Arial" w:hAnsi="Arial"/>
          <w:color w:val="444444"/>
          <w:sz w:val="22"/>
          <w:szCs w:val="22"/>
        </w:rPr>
        <w:t xml:space="preserve">This document describes the intelligence architecture — the principles, the reasoning framework, and the prompt system that transforms raw CRM data into causal revenue intelligence.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DCFC" w:sz="1"/>
              <w:left w:val="single" w:color="CADCFC" w:sz="1"/>
              <w:bottom w:val="single" w:color="CADCFC" w:sz="1"/>
              <w:right w:val="single" w:color="CADCFC" w:sz="1"/>
            </w:tcBorders>
            <w:shd w:fill="E8EEF8" w:val="clear"/>
            <w:tcMar>
              <w:top w:type="dxa" w:w="120"/>
              <w:left w:type="dxa" w:w="200"/>
              <w:bottom w:type="dxa" w:w="120"/>
              <w:right w:type="dxa" w:w="200"/>
            </w:tcMar>
          </w:tcPr>
          <w:p>
            <w:pPr>
              <w:spacing w:after="60" w:before="0"/>
            </w:pPr>
            <w:r>
              <w:rPr>
                <w:rFonts w:ascii="Arial" w:cs="Arial" w:eastAsia="Arial" w:hAnsi="Arial"/>
                <w:b/>
                <w:bCs/>
                <w:color w:val="3B72E8"/>
                <w:sz w:val="20"/>
                <w:szCs w:val="20"/>
              </w:rPr>
              <w:t xml:space="preserve">The Core Distinction</w:t>
            </w:r>
          </w:p>
          <w:p>
            <w:pPr>
              <w:spacing w:after="0" w:before="0"/>
            </w:pPr>
            <w:r>
              <w:rPr>
                <w:rFonts w:ascii="Arial" w:cs="Arial" w:eastAsia="Arial" w:hAnsi="Arial"/>
                <w:i/>
                <w:iCs/>
                <w:color w:val="444444"/>
                <w:sz w:val="20"/>
                <w:szCs w:val="20"/>
              </w:rPr>
              <w:t xml:space="preserve">Prism does not summarise data. It interrogates it. The difference between a reporting tool and a revenue intelligence engine is the difference between describing what happened and understanding why — and predicting what happens next.</w:t>
            </w:r>
          </w:p>
        </w:tc>
      </w:tr>
    </w:tbl>
    <w:p>
      <w:pPr>
        <w:spacing w:after="0" w:before="120"/>
      </w:pPr>
      <w:r>
        <w:t xml:space="preserve"/>
      </w:r>
    </w:p>
    <w:p>
      <w:pPr>
        <w:pBdr>
          <w:bottom w:val="single" w:color="CADCFC" w:sz="4" w:space="1"/>
        </w:pBdr>
        <w:spacing w:after="160" w:before="160"/>
      </w:pPr>
      <w:r>
        <w:t xml:space="preserve"/>
      </w:r>
    </w:p>
    <w:p>
      <w:pPr>
        <w:pStyle w:val="Heading1"/>
        <w:spacing w:after="120" w:before="360"/>
      </w:pPr>
      <w:r>
        <w:rPr>
          <w:rFonts w:ascii="Arial" w:cs="Arial" w:eastAsia="Arial" w:hAnsi="Arial"/>
          <w:b/>
          <w:bCs/>
          <w:color w:val="1E2761"/>
          <w:sz w:val="32"/>
          <w:szCs w:val="32"/>
        </w:rPr>
        <w:t xml:space="preserve">1. Intelligence Philosophy</w:t>
      </w:r>
    </w:p>
    <w:p>
      <w:pPr>
        <w:spacing w:after="80" w:before="60"/>
      </w:pPr>
      <w:r>
        <w:rPr>
          <w:rFonts w:ascii="Arial" w:cs="Arial" w:eastAsia="Arial" w:hAnsi="Arial"/>
          <w:color w:val="444444"/>
          <w:sz w:val="22"/>
          <w:szCs w:val="22"/>
        </w:rPr>
        <w:t xml:space="preserve">Most revenue tools add old signals to new interfaces. Prism is built on a fundamentally different premise: the signals that matter most are often invisible to the reps who hold them.</w:t>
      </w:r>
    </w:p>
    <w:p>
      <w:pPr>
        <w:spacing w:after="0" w:before="80"/>
      </w:pPr>
      <w:r>
        <w:t xml:space="preserve"/>
      </w:r>
    </w:p>
    <w:p>
      <w:pPr>
        <w:pStyle w:val="Heading2"/>
        <w:spacing w:after="80" w:before="280"/>
      </w:pPr>
      <w:r>
        <w:rPr>
          <w:rFonts w:ascii="Arial" w:cs="Arial" w:eastAsia="Arial" w:hAnsi="Arial"/>
          <w:b/>
          <w:bCs/>
          <w:color w:val="3B72E8"/>
          <w:sz w:val="26"/>
          <w:szCs w:val="26"/>
        </w:rPr>
        <w:t xml:space="preserve">1.1 The Five Intelligence Principles</w:t>
      </w:r>
    </w:p>
    <w:p>
      <w:pPr>
        <w:spacing w:after="0" w:before="40"/>
      </w:pPr>
      <w:r>
        <w:t xml:space="preserve"/>
      </w:r>
    </w:p>
    <w:p>
      <w:pPr>
        <w:spacing w:after="60" w:before="200"/>
      </w:pPr>
      <w:r>
        <w:rPr>
          <w:rFonts w:ascii="Arial" w:cs="Arial" w:eastAsia="Arial" w:hAnsi="Arial"/>
          <w:b/>
          <w:bCs/>
          <w:color w:val="1E2761"/>
          <w:sz w:val="22"/>
          <w:szCs w:val="22"/>
        </w:rPr>
        <w:t xml:space="preserve">Principle 1 — Causal over Descriptive</w:t>
      </w:r>
    </w:p>
    <w:p>
      <w:pPr>
        <w:spacing w:after="80" w:before="60"/>
      </w:pPr>
      <w:r>
        <w:rPr>
          <w:rFonts w:ascii="Arial" w:cs="Arial" w:eastAsia="Arial" w:hAnsi="Arial"/>
          <w:color w:val="444444"/>
          <w:sz w:val="22"/>
          <w:szCs w:val="22"/>
        </w:rPr>
        <w:t xml:space="preserve">Every output answers WHY, not just WHAT. Not 'Deal X is in Commitment at 72% probability' but 'Deal X is labelled Commitment but has no verbal commit, no economic buyer identified, and six days of silence. It is not a real commit.'</w:t>
      </w:r>
    </w:p>
    <w:p>
      <w:pPr>
        <w:spacing w:after="0" w:before="60"/>
      </w:pPr>
      <w:r>
        <w:t xml:space="preserve"/>
      </w:r>
    </w:p>
    <w:p>
      <w:pPr>
        <w:spacing w:after="60" w:before="200"/>
      </w:pPr>
      <w:r>
        <w:rPr>
          <w:rFonts w:ascii="Arial" w:cs="Arial" w:eastAsia="Arial" w:hAnsi="Arial"/>
          <w:b/>
          <w:bCs/>
          <w:color w:val="1E2761"/>
          <w:sz w:val="22"/>
          <w:szCs w:val="22"/>
        </w:rPr>
        <w:t xml:space="preserve">Principle 2 — Absence Signals Matter</w:t>
      </w:r>
    </w:p>
    <w:p>
      <w:pPr>
        <w:spacing w:after="80" w:before="60"/>
      </w:pPr>
      <w:r>
        <w:rPr>
          <w:rFonts w:ascii="Arial" w:cs="Arial" w:eastAsia="Arial" w:hAnsi="Arial"/>
          <w:color w:val="444444"/>
          <w:sz w:val="22"/>
          <w:szCs w:val="22"/>
        </w:rPr>
        <w:t xml:space="preserve">What is NOT in a deal record is as important as what is. No competitor named past Validation is a competitive blind spot. No champion identified is a single-threaded risk. No next step is a deal drifting, not advancing. Prism flags the gaps explicitly.</w:t>
      </w:r>
    </w:p>
    <w:p>
      <w:pPr>
        <w:spacing w:after="0" w:before="60"/>
      </w:pPr>
      <w:r>
        <w:t xml:space="preserve"/>
      </w:r>
    </w:p>
    <w:p>
      <w:pPr>
        <w:spacing w:after="60" w:before="200"/>
      </w:pPr>
      <w:r>
        <w:rPr>
          <w:rFonts w:ascii="Arial" w:cs="Arial" w:eastAsia="Arial" w:hAnsi="Arial"/>
          <w:b/>
          <w:bCs/>
          <w:color w:val="1E2761"/>
          <w:sz w:val="22"/>
          <w:szCs w:val="22"/>
        </w:rPr>
        <w:t xml:space="preserve">Principle 3 — Narrative vs. Reality</w:t>
      </w:r>
    </w:p>
    <w:p>
      <w:pPr>
        <w:spacing w:after="80" w:before="60"/>
      </w:pPr>
      <w:r>
        <w:rPr>
          <w:rFonts w:ascii="Arial" w:cs="Arial" w:eastAsia="Arial" w:hAnsi="Arial"/>
          <w:color w:val="444444"/>
          <w:sz w:val="22"/>
          <w:szCs w:val="22"/>
        </w:rPr>
        <w:t xml:space="preserve">The CRM note is the rep's story. The deal behaviour is the truth. When they conflict, trust the behaviour. Prism surfaces every contradiction between what a rep wrote and what the deal data shows — not as criticism, but as coaching signal and forecast integrity alert.</w:t>
      </w:r>
    </w:p>
    <w:p>
      <w:pPr>
        <w:spacing w:after="0" w:before="60"/>
      </w:pPr>
      <w:r>
        <w:t xml:space="preserve"/>
      </w:r>
    </w:p>
    <w:p>
      <w:pPr>
        <w:spacing w:after="60" w:before="200"/>
      </w:pPr>
      <w:r>
        <w:rPr>
          <w:rFonts w:ascii="Arial" w:cs="Arial" w:eastAsia="Arial" w:hAnsi="Arial"/>
          <w:b/>
          <w:bCs/>
          <w:color w:val="1E2761"/>
          <w:sz w:val="22"/>
          <w:szCs w:val="22"/>
        </w:rPr>
        <w:t xml:space="preserve">Principle 4 — Regional Specificity</w:t>
      </w:r>
    </w:p>
    <w:p>
      <w:pPr>
        <w:spacing w:after="80" w:before="60"/>
      </w:pPr>
      <w:r>
        <w:rPr>
          <w:rFonts w:ascii="Arial" w:cs="Arial" w:eastAsia="Arial" w:hAnsi="Arial"/>
          <w:color w:val="444444"/>
          <w:sz w:val="22"/>
          <w:szCs w:val="22"/>
        </w:rPr>
        <w:t xml:space="preserve">A UK deal and an AU deal of the same size and stage are not the same deal. Each of Simpro's four markets has a distinct buying fingerprint, a distinct competitive landscape, and a distinct loss pattern. Prism applies regional intelligence to every assessment.</w:t>
      </w:r>
    </w:p>
    <w:p>
      <w:pPr>
        <w:spacing w:after="0" w:before="60"/>
      </w:pPr>
      <w:r>
        <w:t xml:space="preserve"/>
      </w:r>
    </w:p>
    <w:p>
      <w:pPr>
        <w:spacing w:after="60" w:before="200"/>
      </w:pPr>
      <w:r>
        <w:rPr>
          <w:rFonts w:ascii="Arial" w:cs="Arial" w:eastAsia="Arial" w:hAnsi="Arial"/>
          <w:b/>
          <w:bCs/>
          <w:color w:val="1E2761"/>
          <w:sz w:val="22"/>
          <w:szCs w:val="22"/>
        </w:rPr>
        <w:t xml:space="preserve">Principle 5 — Forward-Looking by Default</w:t>
      </w:r>
    </w:p>
    <w:p>
      <w:pPr>
        <w:spacing w:after="80" w:before="60"/>
      </w:pPr>
      <w:r>
        <w:rPr>
          <w:rFonts w:ascii="Arial" w:cs="Arial" w:eastAsia="Arial" w:hAnsi="Arial"/>
          <w:color w:val="444444"/>
          <w:sz w:val="22"/>
          <w:szCs w:val="22"/>
        </w:rPr>
        <w:t xml:space="preserve">Every analysis answers: what happens to this deal in the next 7 days if nothing changes? If the answer is 'it slips or loses,' Prism says so now — not after the quarter closes.</w:t>
      </w:r>
    </w:p>
    <w:p>
      <w:pPr>
        <w:spacing w:after="0" w:before="120"/>
      </w:pPr>
      <w:r>
        <w:t xml:space="preserve"/>
      </w:r>
    </w:p>
    <w:p>
      <w:pPr>
        <w:pStyle w:val="Heading2"/>
        <w:spacing w:after="80" w:before="280"/>
      </w:pPr>
      <w:r>
        <w:rPr>
          <w:rFonts w:ascii="Arial" w:cs="Arial" w:eastAsia="Arial" w:hAnsi="Arial"/>
          <w:b/>
          <w:bCs/>
          <w:color w:val="3B72E8"/>
          <w:sz w:val="26"/>
          <w:szCs w:val="26"/>
        </w:rPr>
        <w:t xml:space="preserve">1.2 What Innovation Means in This Context</w:t>
      </w:r>
    </w:p>
    <w:p>
      <w:pPr>
        <w:spacing w:after="80" w:before="60"/>
      </w:pPr>
      <w:r>
        <w:rPr>
          <w:rFonts w:ascii="Arial" w:cs="Arial" w:eastAsia="Arial" w:hAnsi="Arial"/>
          <w:color w:val="444444"/>
          <w:sz w:val="22"/>
          <w:szCs w:val="22"/>
        </w:rPr>
        <w:t xml:space="preserve">The risk with any AI-powered revenue tool is digitising the same thinking that already exists in Salesforce — faster. Stage-based forecasting. Regional win rates. Deal velocity. That is not intelligence. That is reporting with an API key attached.</w:t>
      </w:r>
    </w:p>
    <w:p>
      <w:pPr>
        <w:spacing w:after="0" w:before="60"/>
      </w:pPr>
      <w:r>
        <w:t xml:space="preserve"/>
      </w:r>
    </w:p>
    <w:p>
      <w:pPr>
        <w:spacing w:after="80" w:before="60"/>
      </w:pPr>
      <w:r>
        <w:rPr>
          <w:rFonts w:ascii="Arial" w:cs="Arial" w:eastAsia="Arial" w:hAnsi="Arial"/>
          <w:color w:val="444444"/>
          <w:sz w:val="22"/>
          <w:szCs w:val="22"/>
        </w:rPr>
        <w:t xml:space="preserve">Prism is designed to answer questions that Salesforce cannot ask:</w:t>
      </w:r>
    </w:p>
    <w:p>
      <w:pPr>
        <w:spacing w:after="0" w:before="40"/>
      </w:pPr>
      <w:r>
        <w:t xml:space="preserve"/>
      </w:r>
    </w:p>
    <w:p>
      <w:pPr>
        <w:pStyle w:val="ListParagraph"/>
        <w:numPr>
          <w:ilvl w:val="0"/>
          <w:numId w:val="2"/>
        </w:numPr>
        <w:spacing w:after="40" w:before="40"/>
      </w:pPr>
      <w:r>
        <w:rPr>
          <w:rFonts w:ascii="Arial" w:cs="Arial" w:eastAsia="Arial" w:hAnsi="Arial"/>
          <w:b/>
          <w:bCs/>
          <w:color w:val="1E2761"/>
          <w:sz w:val="22"/>
          <w:szCs w:val="22"/>
        </w:rPr>
        <w:t xml:space="preserve">Why should a customer buy Simpro and not a competitor? </w:t>
      </w:r>
      <w:r>
        <w:rPr>
          <w:rFonts w:ascii="Arial" w:cs="Arial" w:eastAsia="Arial" w:hAnsi="Arial"/>
          <w:color w:val="444444"/>
          <w:sz w:val="22"/>
          <w:szCs w:val="22"/>
        </w:rPr>
        <w:t xml:space="preserve">Not just win rate — the specific mechanism of competitive displacement by region.</w:t>
      </w:r>
    </w:p>
    <w:p>
      <w:pPr>
        <w:pStyle w:val="ListParagraph"/>
        <w:numPr>
          <w:ilvl w:val="0"/>
          <w:numId w:val="2"/>
        </w:numPr>
        <w:spacing w:after="40" w:before="40"/>
      </w:pPr>
      <w:r>
        <w:rPr>
          <w:rFonts w:ascii="Arial" w:cs="Arial" w:eastAsia="Arial" w:hAnsi="Arial"/>
          <w:b/>
          <w:bCs/>
          <w:color w:val="1E2761"/>
          <w:sz w:val="22"/>
          <w:szCs w:val="22"/>
        </w:rPr>
        <w:t xml:space="preserve">Why have they? </w:t>
      </w:r>
      <w:r>
        <w:rPr>
          <w:rFonts w:ascii="Arial" w:cs="Arial" w:eastAsia="Arial" w:hAnsi="Arial"/>
          <w:color w:val="444444"/>
          <w:sz w:val="22"/>
          <w:szCs w:val="22"/>
        </w:rPr>
        <w:t xml:space="preserve">The win pattern that is working in one market but not being systematically replicated in others.</w:t>
      </w:r>
    </w:p>
    <w:p>
      <w:pPr>
        <w:pStyle w:val="ListParagraph"/>
        <w:numPr>
          <w:ilvl w:val="0"/>
          <w:numId w:val="2"/>
        </w:numPr>
        <w:spacing w:after="40" w:before="40"/>
      </w:pPr>
      <w:r>
        <w:rPr>
          <w:rFonts w:ascii="Arial" w:cs="Arial" w:eastAsia="Arial" w:hAnsi="Arial"/>
          <w:b/>
          <w:bCs/>
          <w:color w:val="1E2761"/>
          <w:sz w:val="22"/>
          <w:szCs w:val="22"/>
        </w:rPr>
        <w:t xml:space="preserve">Why haven't they? </w:t>
      </w:r>
      <w:r>
        <w:rPr>
          <w:rFonts w:ascii="Arial" w:cs="Arial" w:eastAsia="Arial" w:hAnsi="Arial"/>
          <w:color w:val="444444"/>
          <w:sz w:val="22"/>
          <w:szCs w:val="22"/>
        </w:rPr>
        <w:t xml:space="preserve">The silent losses, the stalled deals, the urgency that was never created.</w:t>
      </w:r>
    </w:p>
    <w:p>
      <w:pPr>
        <w:pStyle w:val="ListParagraph"/>
        <w:numPr>
          <w:ilvl w:val="0"/>
          <w:numId w:val="2"/>
        </w:numPr>
        <w:spacing w:after="40" w:before="40"/>
      </w:pPr>
      <w:r>
        <w:rPr>
          <w:rFonts w:ascii="Arial" w:cs="Arial" w:eastAsia="Arial" w:hAnsi="Arial"/>
          <w:b/>
          <w:bCs/>
          <w:color w:val="1E2761"/>
          <w:sz w:val="22"/>
          <w:szCs w:val="22"/>
        </w:rPr>
        <w:t xml:space="preserve">Why in one region but not another? </w:t>
      </w:r>
      <w:r>
        <w:rPr>
          <w:rFonts w:ascii="Arial" w:cs="Arial" w:eastAsia="Arial" w:hAnsi="Arial"/>
          <w:color w:val="444444"/>
          <w:sz w:val="22"/>
          <w:szCs w:val="22"/>
        </w:rPr>
        <w:t xml:space="preserve">The cross-regional arbitrage layer — why the same deal profile wins in AU and loses in UK.</w:t>
      </w:r>
    </w:p>
    <w:p>
      <w:pPr>
        <w:pStyle w:val="ListParagraph"/>
        <w:numPr>
          <w:ilvl w:val="0"/>
          <w:numId w:val="2"/>
        </w:numPr>
        <w:spacing w:after="40" w:before="40"/>
      </w:pPr>
      <w:r>
        <w:rPr>
          <w:rFonts w:ascii="Arial" w:cs="Arial" w:eastAsia="Arial" w:hAnsi="Arial"/>
          <w:b/>
          <w:bCs/>
          <w:color w:val="1E2761"/>
          <w:sz w:val="22"/>
          <w:szCs w:val="22"/>
        </w:rPr>
        <w:t xml:space="preserve">What changes between now and the close date? </w:t>
      </w:r>
      <w:r>
        <w:rPr>
          <w:rFonts w:ascii="Arial" w:cs="Arial" w:eastAsia="Arial" w:hAnsi="Arial"/>
          <w:color w:val="444444"/>
          <w:sz w:val="22"/>
          <w:szCs w:val="22"/>
        </w:rPr>
        <w:t xml:space="preserve">The forward-looking prediction, not the point-in-time status report.</w:t>
      </w:r>
    </w:p>
    <w:p>
      <w:pPr>
        <w:spacing w:after="0" w:before="120"/>
      </w:pPr>
      <w:r>
        <w:t xml:space="preserve"/>
      </w:r>
    </w:p>
    <w:p>
      <w:pPr>
        <w:pBdr>
          <w:bottom w:val="single" w:color="CADCFC" w:sz="4" w:space="1"/>
        </w:pBdr>
        <w:spacing w:after="160" w:before="160"/>
      </w:pPr>
      <w:r>
        <w:t xml:space="preserve"/>
      </w:r>
    </w:p>
    <w:p>
      <w:pPr>
        <w:pStyle w:val="Heading1"/>
        <w:spacing w:after="120" w:before="360"/>
      </w:pPr>
      <w:r>
        <w:rPr>
          <w:rFonts w:ascii="Arial" w:cs="Arial" w:eastAsia="Arial" w:hAnsi="Arial"/>
          <w:b/>
          <w:bCs/>
          <w:color w:val="1E2761"/>
          <w:sz w:val="32"/>
          <w:szCs w:val="32"/>
        </w:rPr>
        <w:t xml:space="preserve">2. Four-Market Intelligence Framework</w:t>
      </w:r>
    </w:p>
    <w:p>
      <w:pPr>
        <w:spacing w:after="80" w:before="60"/>
      </w:pPr>
      <w:r>
        <w:rPr>
          <w:rFonts w:ascii="Arial" w:cs="Arial" w:eastAsia="Arial" w:hAnsi="Arial"/>
          <w:color w:val="444444"/>
          <w:sz w:val="22"/>
          <w:szCs w:val="22"/>
        </w:rPr>
        <w:t xml:space="preserve">Prism operates exclusively across Simpro's four active markets. Each market is modelled with a distinct buying fingerprint, competitive landscape, win pattern, and loss mechanism. This regional intelligence is baked into every analysis pass.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60"/>
        <w:gridCol w:w="2400"/>
        <w:gridCol w:w="2400"/>
        <w:gridCol w:w="1400"/>
      </w:tblGrid>
      <w:tr>
        <w:trPr>
          <w:tblHeader/>
        </w:trPr>
        <w:tc>
          <w:tcPr>
            <w:tcW w:type="dxa" w:w="1600"/>
            <w:tcBorders>
              <w:top w:val="single" w:color="CADCFC" w:sz="1"/>
              <w:left w:val="single" w:color="CADCFC" w:sz="1"/>
              <w:bottom w:val="single" w:color="CADCFC" w:sz="1"/>
              <w:right w:val="single" w:color="CADCFC" w:sz="1"/>
            </w:tcBorders>
            <w:shd w:fill="3B72E8"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1560"/>
            <w:tcBorders>
              <w:top w:val="single" w:color="CADCFC" w:sz="1"/>
              <w:left w:val="single" w:color="CADCFC" w:sz="1"/>
              <w:bottom w:val="single" w:color="CADCFC" w:sz="1"/>
              <w:right w:val="single" w:color="CADCFC" w:sz="1"/>
            </w:tcBorders>
            <w:shd w:fill="3B72E8" w:val="clear"/>
            <w:tcMar>
              <w:top w:type="dxa" w:w="80"/>
              <w:left w:type="dxa" w:w="120"/>
              <w:bottom w:type="dxa" w:w="80"/>
              <w:right w:type="dxa" w:w="120"/>
            </w:tcMar>
          </w:tcPr>
          <w:p>
            <w:r>
              <w:rPr>
                <w:rFonts w:ascii="Arial" w:cs="Arial" w:eastAsia="Arial" w:hAnsi="Arial"/>
                <w:b/>
                <w:bCs/>
                <w:color w:val="FFFFFF"/>
                <w:sz w:val="20"/>
                <w:szCs w:val="20"/>
              </w:rPr>
              <w:t xml:space="preserve">Primary Competitor</w:t>
            </w:r>
          </w:p>
        </w:tc>
        <w:tc>
          <w:tcPr>
            <w:tcW w:type="dxa" w:w="2400"/>
            <w:tcBorders>
              <w:top w:val="single" w:color="CADCFC" w:sz="1"/>
              <w:left w:val="single" w:color="CADCFC" w:sz="1"/>
              <w:bottom w:val="single" w:color="CADCFC" w:sz="1"/>
              <w:right w:val="single" w:color="CADCFC" w:sz="1"/>
            </w:tcBorders>
            <w:shd w:fill="3B72E8" w:val="clear"/>
            <w:tcMar>
              <w:top w:type="dxa" w:w="80"/>
              <w:left w:type="dxa" w:w="120"/>
              <w:bottom w:type="dxa" w:w="80"/>
              <w:right w:type="dxa" w:w="120"/>
            </w:tcMar>
          </w:tcPr>
          <w:p>
            <w:r>
              <w:rPr>
                <w:rFonts w:ascii="Arial" w:cs="Arial" w:eastAsia="Arial" w:hAnsi="Arial"/>
                <w:b/>
                <w:bCs/>
                <w:color w:val="FFFFFF"/>
                <w:sz w:val="20"/>
                <w:szCs w:val="20"/>
              </w:rPr>
              <w:t xml:space="preserve">Primary Win Trigger</w:t>
            </w:r>
          </w:p>
        </w:tc>
        <w:tc>
          <w:tcPr>
            <w:tcW w:type="dxa" w:w="2400"/>
            <w:tcBorders>
              <w:top w:val="single" w:color="CADCFC" w:sz="1"/>
              <w:left w:val="single" w:color="CADCFC" w:sz="1"/>
              <w:bottom w:val="single" w:color="CADCFC" w:sz="1"/>
              <w:right w:val="single" w:color="CADCFC" w:sz="1"/>
            </w:tcBorders>
            <w:shd w:fill="3B72E8" w:val="clear"/>
            <w:tcMar>
              <w:top w:type="dxa" w:w="80"/>
              <w:left w:type="dxa" w:w="120"/>
              <w:bottom w:type="dxa" w:w="80"/>
              <w:right w:type="dxa" w:w="120"/>
            </w:tcMar>
          </w:tcPr>
          <w:p>
            <w:r>
              <w:rPr>
                <w:rFonts w:ascii="Arial" w:cs="Arial" w:eastAsia="Arial" w:hAnsi="Arial"/>
                <w:b/>
                <w:bCs/>
                <w:color w:val="FFFFFF"/>
                <w:sz w:val="20"/>
                <w:szCs w:val="20"/>
              </w:rPr>
              <w:t xml:space="preserve">Primary Loss Mechanism</w:t>
            </w:r>
          </w:p>
        </w:tc>
        <w:tc>
          <w:tcPr>
            <w:tcW w:type="dxa" w:w="1400"/>
            <w:tcBorders>
              <w:top w:val="single" w:color="CADCFC" w:sz="1"/>
              <w:left w:val="single" w:color="CADCFC" w:sz="1"/>
              <w:bottom w:val="single" w:color="CADCFC" w:sz="1"/>
              <w:right w:val="single" w:color="CADCFC" w:sz="1"/>
            </w:tcBorders>
            <w:shd w:fill="3B72E8" w:val="clear"/>
            <w:tcMar>
              <w:top w:type="dxa" w:w="80"/>
              <w:left w:type="dxa" w:w="120"/>
              <w:bottom w:type="dxa" w:w="80"/>
              <w:right w:type="dxa" w:w="120"/>
            </w:tcMar>
          </w:tcPr>
          <w:p>
            <w:r>
              <w:rPr>
                <w:rFonts w:ascii="Arial" w:cs="Arial" w:eastAsia="Arial" w:hAnsi="Arial"/>
                <w:b/>
                <w:bCs/>
                <w:color w:val="FFFFFF"/>
                <w:sz w:val="20"/>
                <w:szCs w:val="20"/>
              </w:rPr>
              <w:t xml:space="preserve">Deal Speed</w:t>
            </w:r>
          </w:p>
        </w:tc>
      </w:tr>
      <w:tr>
        <w:tc>
          <w:tcPr>
            <w:tcW w:type="dxa" w:w="160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United Kingdom</w:t>
            </w:r>
          </w:p>
        </w:tc>
        <w:tc>
          <w:tcPr>
            <w:tcW w:type="dxa" w:w="156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19"/>
                <w:szCs w:val="19"/>
              </w:rPr>
              <w:t xml:space="preserve">JobLogic</w:t>
            </w:r>
          </w:p>
        </w:tc>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Growth ambition — outgrowing reporting limits. CFO/FD as champion.</w:t>
            </w:r>
          </w:p>
        </w:tc>
        <w:tc>
          <w:tcPr>
            <w:tcW w:type="dxa" w:w="240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19"/>
                <w:szCs w:val="19"/>
              </w:rPr>
              <w:t xml:space="preserve">Implementation anxiety. JobLogic's 'UK local team' narrative wins when Prism doesn't counter with onboarding plan by Stage 3.</w:t>
            </w:r>
          </w:p>
        </w:tc>
        <w:tc>
          <w:tcPr>
            <w:tcW w:type="dxa" w:w="1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Slowest — committee decisions, 2-4 stakeholders.</w:t>
            </w:r>
          </w:p>
        </w:tc>
      </w:tr>
      <w:tr>
        <w:tc>
          <w:tcPr>
            <w:tcW w:type="dxa" w:w="160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Australia</w:t>
            </w:r>
          </w:p>
        </w:tc>
        <w:tc>
          <w:tcPr>
            <w:tcW w:type="dxa" w:w="156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19"/>
                <w:szCs w:val="19"/>
              </w:rPr>
              <w:t xml:space="preserve">Ascora / AroFlo</w:t>
            </w:r>
          </w:p>
        </w:tc>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'You've outgrown your current software.' 10+ field staff pain points: job costing, subcontractor visibility.</w:t>
            </w:r>
          </w:p>
        </w:tc>
        <w:tc>
          <w:tcPr>
            <w:tcW w:type="dxa" w:w="240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19"/>
                <w:szCs w:val="19"/>
              </w:rPr>
              <w:t xml:space="preserve">Post-demo silence. AU owner-operators disengage fast. Deal stalling 7+ days after proposal = high loss risk.</w:t>
            </w:r>
          </w:p>
        </w:tc>
        <w:tc>
          <w:tcPr>
            <w:tcW w:type="dxa" w:w="1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Fast — owner-operator culture. Move or go cold.</w:t>
            </w:r>
          </w:p>
        </w:tc>
      </w:tr>
      <w:tr>
        <w:tc>
          <w:tcPr>
            <w:tcW w:type="dxa" w:w="160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New Zealand</w:t>
            </w:r>
          </w:p>
        </w:tc>
        <w:tc>
          <w:tcPr>
            <w:tcW w:type="dxa" w:w="156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19"/>
                <w:szCs w:val="19"/>
              </w:rPr>
              <w:t xml:space="preserve">Tradify</w:t>
            </w:r>
          </w:p>
        </w:tc>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Rep relationship quality. NZ buyers champion the deal when they trust the rep.</w:t>
            </w:r>
          </w:p>
        </w:tc>
        <w:tc>
          <w:tcPr>
            <w:tcW w:type="dxa" w:w="240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19"/>
                <w:szCs w:val="19"/>
              </w:rPr>
              <w:t xml:space="preserve">Rep-driven losses. 'Could Not Contact' in NZ is usually rep momentum loss, not prospect disengagement.</w:t>
            </w:r>
          </w:p>
        </w:tc>
        <w:tc>
          <w:tcPr>
            <w:tcW w:type="dxa" w:w="1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Moderate — relationship-paced.</w:t>
            </w:r>
          </w:p>
        </w:tc>
      </w:tr>
      <w:tr>
        <w:tc>
          <w:tcPr>
            <w:tcW w:type="dxa" w:w="160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North America</w:t>
            </w:r>
          </w:p>
        </w:tc>
        <w:tc>
          <w:tcPr>
            <w:tcW w:type="dxa" w:w="156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19"/>
                <w:szCs w:val="19"/>
              </w:rPr>
              <w:t xml:space="preserve">ServiceTitan</w:t>
            </w:r>
          </w:p>
        </w:tc>
        <w:tc>
          <w:tcPr>
            <w:tcW w:type="dxa" w:w="2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ServiceTitan fatigue — complexity and cost. Simpro wins as 'better fit for your size.'</w:t>
            </w:r>
          </w:p>
        </w:tc>
        <w:tc>
          <w:tcPr>
            <w:tcW w:type="dxa" w:w="240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19"/>
                <w:szCs w:val="19"/>
              </w:rPr>
              <w:t xml:space="preserve">Economic buyer not engaged. NA mid-market requires Owner/CFO by Stage 3. Without them, deal doesn't close.</w:t>
            </w:r>
          </w:p>
        </w:tc>
        <w:tc>
          <w:tcPr>
            <w:tcW w:type="dxa" w:w="14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Mixed — SMB fast, enterprise slow.</w:t>
            </w:r>
          </w:p>
        </w:tc>
      </w:tr>
    </w:tbl>
    <w:p>
      <w:pPr>
        <w:spacing w:after="0" w:before="120"/>
      </w:pPr>
      <w:r>
        <w:t xml:space="preserve"/>
      </w:r>
    </w:p>
    <w:p>
      <w:pPr>
        <w:pStyle w:val="Heading2"/>
        <w:spacing w:after="80" w:before="280"/>
      </w:pPr>
      <w:r>
        <w:rPr>
          <w:rFonts w:ascii="Arial" w:cs="Arial" w:eastAsia="Arial" w:hAnsi="Arial"/>
          <w:b/>
          <w:bCs/>
          <w:color w:val="3B72E8"/>
          <w:sz w:val="26"/>
          <w:szCs w:val="26"/>
        </w:rPr>
        <w:t xml:space="preserve">2.1 Cross-Regional Arbitrage Signal</w:t>
      </w:r>
    </w:p>
    <w:p>
      <w:pPr>
        <w:spacing w:after="80" w:before="60"/>
      </w:pPr>
      <w:r>
        <w:rPr>
          <w:rFonts w:ascii="Arial" w:cs="Arial" w:eastAsia="Arial" w:hAnsi="Arial"/>
          <w:color w:val="444444"/>
          <w:sz w:val="22"/>
          <w:szCs w:val="22"/>
        </w:rPr>
        <w:t xml:space="preserve">When a deal in one region behaves like a different region's fingerprint, it is itself a signal worth acting on:</w:t>
      </w:r>
    </w:p>
    <w:p>
      <w:pPr>
        <w:spacing w:after="0" w:before="40"/>
      </w:pPr>
      <w:r>
        <w:t xml:space="preserve"/>
      </w:r>
    </w:p>
    <w:p>
      <w:pPr>
        <w:pStyle w:val="ListParagraph"/>
        <w:numPr>
          <w:ilvl w:val="0"/>
          <w:numId w:val="2"/>
        </w:numPr>
        <w:spacing w:after="40" w:before="40"/>
      </w:pPr>
      <w:r>
        <w:rPr>
          <w:rFonts w:ascii="Arial" w:cs="Arial" w:eastAsia="Arial" w:hAnsi="Arial"/>
          <w:color w:val="444444"/>
          <w:sz w:val="22"/>
          <w:szCs w:val="22"/>
        </w:rPr>
        <w:t xml:space="preserve">A UK deal moving at AU speed = exceptional champion with unusual internal authority. Accelerate immediately.</w:t>
      </w:r>
    </w:p>
    <w:p>
      <w:pPr>
        <w:pStyle w:val="ListParagraph"/>
        <w:numPr>
          <w:ilvl w:val="0"/>
          <w:numId w:val="2"/>
        </w:numPr>
        <w:spacing w:after="40" w:before="40"/>
      </w:pPr>
      <w:r>
        <w:rPr>
          <w:rFonts w:ascii="Arial" w:cs="Arial" w:eastAsia="Arial" w:hAnsi="Arial"/>
          <w:color w:val="444444"/>
          <w:sz w:val="22"/>
          <w:szCs w:val="22"/>
        </w:rPr>
        <w:t xml:space="preserve">An AU deal stalling like a UK committee = a new undisclosed stakeholder has entered. Investigate.</w:t>
      </w:r>
    </w:p>
    <w:p>
      <w:pPr>
        <w:pStyle w:val="ListParagraph"/>
        <w:numPr>
          <w:ilvl w:val="0"/>
          <w:numId w:val="2"/>
        </w:numPr>
        <w:spacing w:after="40" w:before="40"/>
      </w:pPr>
      <w:r>
        <w:rPr>
          <w:rFonts w:ascii="Arial" w:cs="Arial" w:eastAsia="Arial" w:hAnsi="Arial"/>
          <w:color w:val="444444"/>
          <w:sz w:val="22"/>
          <w:szCs w:val="22"/>
        </w:rPr>
        <w:t xml:space="preserve">An AU or NZ deal where ServiceTitan appears = the buyer is evaluating enterprise-seriously. Escalate.</w:t>
      </w:r>
    </w:p>
    <w:p>
      <w:pPr>
        <w:pStyle w:val="ListParagraph"/>
        <w:numPr>
          <w:ilvl w:val="0"/>
          <w:numId w:val="2"/>
        </w:numPr>
        <w:spacing w:after="40" w:before="40"/>
      </w:pPr>
      <w:r>
        <w:rPr>
          <w:rFonts w:ascii="Arial" w:cs="Arial" w:eastAsia="Arial" w:hAnsi="Arial"/>
          <w:color w:val="444444"/>
          <w:sz w:val="22"/>
          <w:szCs w:val="22"/>
        </w:rPr>
        <w:t xml:space="preserve">An NZ deal moving at NA deal speed = rep is performing exceptionally or an external urgency event has occurred.</w:t>
      </w:r>
    </w:p>
    <w:p>
      <w:pPr>
        <w:spacing w:after="0" w:before="80"/>
      </w:pPr>
      <w:r>
        <w:t xml:space="preserve"/>
      </w:r>
    </w:p>
    <w:p>
      <w:pPr>
        <w:spacing w:after="80" w:before="60"/>
      </w:pPr>
      <w:r>
        <w:rPr>
          <w:rFonts w:ascii="Arial" w:cs="Arial" w:eastAsia="Arial" w:hAnsi="Arial"/>
          <w:color w:val="444444"/>
          <w:sz w:val="22"/>
          <w:szCs w:val="22"/>
        </w:rPr>
        <w:t xml:space="preserve">The cross-regional arbitrage layer identifies win patterns working in one market that are not being replicated in others, and prescribes the specific coaching or process change that would transfer the winning formula.</w:t>
      </w:r>
    </w:p>
    <w:p>
      <w:pPr>
        <w:spacing w:after="0" w:before="120"/>
      </w:pPr>
      <w:r>
        <w:t xml:space="preserve"/>
      </w:r>
    </w:p>
    <w:p>
      <w:pPr>
        <w:pBdr>
          <w:bottom w:val="single" w:color="CADCFC" w:sz="4" w:space="1"/>
        </w:pBdr>
        <w:spacing w:after="160" w:before="160"/>
      </w:pPr>
      <w:r>
        <w:t xml:space="preserve"/>
      </w:r>
    </w:p>
    <w:p>
      <w:pPr>
        <w:pStyle w:val="Heading1"/>
        <w:spacing w:after="120" w:before="360"/>
      </w:pPr>
      <w:r>
        <w:rPr>
          <w:rFonts w:ascii="Arial" w:cs="Arial" w:eastAsia="Arial" w:hAnsi="Arial"/>
          <w:b/>
          <w:bCs/>
          <w:color w:val="1E2761"/>
          <w:sz w:val="32"/>
          <w:szCs w:val="32"/>
        </w:rPr>
        <w:t xml:space="preserve">3. Prompt Architecture</w:t>
      </w:r>
    </w:p>
    <w:p>
      <w:pPr>
        <w:spacing w:after="80" w:before="60"/>
      </w:pPr>
      <w:r>
        <w:rPr>
          <w:rFonts w:ascii="Arial" w:cs="Arial" w:eastAsia="Arial" w:hAnsi="Arial"/>
          <w:color w:val="444444"/>
          <w:sz w:val="22"/>
          <w:szCs w:val="22"/>
        </w:rPr>
        <w:t xml:space="preserve">Prism runs three analysis passes on every dataset. Each pass builds on the previous, moving from individual deal intelligence to portfolio patterns to strategic CRO briefing.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560"/>
        <w:gridCol w:w="2600"/>
      </w:tblGrid>
      <w:tr>
        <w:trPr>
          <w:tblHeader/>
        </w:trPr>
        <w:tc>
          <w:tcPr>
            <w:tcW w:type="dxa" w:w="100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220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Prompt</w:t>
            </w:r>
          </w:p>
        </w:tc>
        <w:tc>
          <w:tcPr>
            <w:tcW w:type="dxa" w:w="356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60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00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b/>
                <w:bCs/>
                <w:color w:val="1E2761"/>
                <w:sz w:val="20"/>
                <w:szCs w:val="20"/>
              </w:rPr>
              <w:t xml:space="preserve">Pass 1</w:t>
            </w:r>
          </w:p>
        </w:tc>
        <w:tc>
          <w:tcPr>
            <w:tcW w:type="dxa" w:w="22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Comprehensive Opportunity Analysis</w:t>
            </w:r>
          </w:p>
        </w:tc>
        <w:tc>
          <w:tcPr>
            <w:tcW w:type="dxa" w:w="356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20"/>
                <w:szCs w:val="20"/>
              </w:rPr>
              <w:t xml:space="preserve">Individual deal interrogation. Deal health scoring, narrative vs. reality gap, regional pattern matching, competitive displacement analysis, outcome prediction.</w:t>
            </w:r>
          </w:p>
        </w:tc>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Per-deal JSON: health score, risk signals, narrative gap, regional intel, recommended actions, close probability.</w:t>
            </w:r>
          </w:p>
        </w:tc>
      </w:tr>
      <w:tr>
        <w:tc>
          <w:tcPr>
            <w:tcW w:type="dxa" w:w="100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b/>
                <w:bCs/>
                <w:color w:val="1E2761"/>
                <w:sz w:val="20"/>
                <w:szCs w:val="20"/>
              </w:rPr>
              <w:t xml:space="preserve">Pass 2</w:t>
            </w:r>
          </w:p>
        </w:tc>
        <w:tc>
          <w:tcPr>
            <w:tcW w:type="dxa" w:w="22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Portfolio Aggregation</w:t>
            </w:r>
          </w:p>
        </w:tc>
        <w:tc>
          <w:tcPr>
            <w:tcW w:type="dxa" w:w="356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20"/>
                <w:szCs w:val="20"/>
              </w:rPr>
              <w:t xml:space="preserve">Cross-deal patterns, forecast integrity assessment, cross-regional arbitrage, systemic risk detection, rep performance clustering, competitive momentum by market.</w:t>
            </w:r>
          </w:p>
        </w:tc>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Global report JSON: realistic forecast, regional divergence, systemic risks, 5 prioritised recommendations.</w:t>
            </w:r>
          </w:p>
        </w:tc>
      </w:tr>
      <w:tr>
        <w:tc>
          <w:tcPr>
            <w:tcW w:type="dxa" w:w="100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b/>
                <w:bCs/>
                <w:color w:val="1E2761"/>
                <w:sz w:val="20"/>
                <w:szCs w:val="20"/>
              </w:rPr>
              <w:t xml:space="preserve">Pass 3</w:t>
            </w:r>
          </w:p>
        </w:tc>
        <w:tc>
          <w:tcPr>
            <w:tcW w:type="dxa" w:w="22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Pete's 20 Questions (Phase 1)</w:t>
            </w:r>
          </w:p>
        </w:tc>
        <w:tc>
          <w:tcPr>
            <w:tcW w:type="dxa" w:w="356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20"/>
                <w:szCs w:val="20"/>
              </w:rPr>
              <w:t xml:space="preserve">Seven direct-answer questions for the CRO. Named deals, named reps, specific MRR figures. No hedging. Covers slip risk, ghost pipeline, rep quality ranking, velocity reality, stage bottlenecks, and forecast fiction.</w:t>
            </w:r>
          </w:p>
        </w:tc>
        <w:tc>
          <w:tcPr>
            <w:tcW w:type="dxa" w:w="2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Q1-Q7 JSON: direct answers with named deals, reps, MRR, and ranked lists.</w:t>
            </w:r>
          </w:p>
        </w:tc>
      </w:tr>
    </w:tbl>
    <w:p>
      <w:pPr>
        <w:spacing w:after="0" w:before="120"/>
      </w:pPr>
      <w:r>
        <w:t xml:space="preserve"/>
      </w:r>
    </w:p>
    <w:p>
      <w:pPr>
        <w:pBdr>
          <w:bottom w:val="single" w:color="CADCFC" w:sz="4" w:space="1"/>
        </w:pBdr>
        <w:spacing w:after="160" w:before="160"/>
      </w:pPr>
      <w:r>
        <w:t xml:space="preserve"/>
      </w:r>
    </w:p>
    <w:p>
      <w:pPr>
        <w:pStyle w:val="Heading1"/>
        <w:spacing w:after="120" w:before="360"/>
      </w:pPr>
      <w:r>
        <w:rPr>
          <w:rFonts w:ascii="Arial" w:cs="Arial" w:eastAsia="Arial" w:hAnsi="Arial"/>
          <w:b/>
          <w:bCs/>
          <w:color w:val="1E2761"/>
          <w:sz w:val="32"/>
          <w:szCs w:val="32"/>
        </w:rPr>
        <w:t xml:space="preserve">4. Pass 1 — Opportunity Intelligence</w:t>
      </w:r>
    </w:p>
    <w:p>
      <w:pPr>
        <w:spacing w:after="80" w:before="60"/>
      </w:pPr>
      <w:r>
        <w:rPr>
          <w:rFonts w:ascii="Arial" w:cs="Arial" w:eastAsia="Arial" w:hAnsi="Arial"/>
          <w:color w:val="444444"/>
          <w:sz w:val="22"/>
          <w:szCs w:val="22"/>
        </w:rPr>
        <w:t xml:space="preserve">Every deal in the pipeline is individually interrogated across seven dimensions. This is not a scoring model — it is a structured reasoning exercise that surfaces what the rep may not have noticed, or may not have written down.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2E8" w:sz="8"/>
              <w:left w:val="single" w:color="CADCFC" w:sz="1"/>
              <w:bottom w:val="single" w:color="CADCFC" w:sz="1"/>
              <w:right w:val="single" w:color="CADCFC" w:sz="1"/>
            </w:tcBorders>
            <w:shd w:fill="F4F7FF" w:val="clear"/>
            <w:tcMar>
              <w:top w:type="dxa" w:w="120"/>
              <w:left w:type="dxa" w:w="200"/>
              <w:bottom w:type="dxa" w:w="120"/>
              <w:right w:type="dxa" w:w="200"/>
            </w:tcMar>
          </w:tcPr>
          <w:p>
            <w:pPr>
              <w:spacing w:after="100" w:before="0"/>
            </w:pPr>
            <w:r>
              <w:rPr>
                <w:rFonts w:ascii="Arial" w:cs="Arial" w:eastAsia="Arial" w:hAnsi="Arial"/>
                <w:b/>
                <w:bCs/>
                <w:color w:val="3B72E8"/>
                <w:sz w:val="21"/>
                <w:szCs w:val="21"/>
              </w:rPr>
              <w:t xml:space="preserve">DEAL HEALTH SCORE (0-100)</w:t>
            </w:r>
          </w:p>
          <w:p>
            <w:pPr>
              <w:spacing w:after="40" w:before="0"/>
            </w:pPr>
            <w:r>
              <w:rPr>
                <w:rFonts w:ascii="Arial" w:cs="Arial" w:eastAsia="Arial" w:hAnsi="Arial"/>
                <w:color w:val="444444"/>
                <w:sz w:val="20"/>
                <w:szCs w:val="20"/>
              </w:rPr>
              <w:t xml:space="preserve">Four equally-weighted dimensions:</w:t>
            </w:r>
          </w:p>
          <w:p>
            <w:pPr>
              <w:spacing w:after="40" w:before="0"/>
            </w:pPr>
            <w:r>
              <w:rPr>
                <w:rFonts w:ascii="Arial" w:cs="Arial" w:eastAsia="Arial" w:hAnsi="Arial"/>
                <w:color w:val="444444"/>
                <w:sz w:val="20"/>
                <w:szCs w:val="20"/>
              </w:rPr>
              <w:t xml:space="preserve">  Stage Integrity (25 pts): Does the deal have required fields for its stage? Is the close date achievable?</w:t>
            </w:r>
          </w:p>
          <w:p>
            <w:pPr>
              <w:spacing w:after="40" w:before="0"/>
            </w:pPr>
            <w:r>
              <w:rPr>
                <w:rFonts w:ascii="Arial" w:cs="Arial" w:eastAsia="Arial" w:hAnsi="Arial"/>
                <w:color w:val="444444"/>
                <w:sz w:val="20"/>
                <w:szCs w:val="20"/>
              </w:rPr>
              <w:t xml:space="preserve">  Buyer Engagement Quality (25 pts): Is there a champion? What quality? Is there an economic buyer for $2K+ MRR deals?</w:t>
            </w:r>
          </w:p>
          <w:p>
            <w:pPr>
              <w:spacing w:after="40" w:before="0"/>
            </w:pPr>
            <w:r>
              <w:rPr>
                <w:rFonts w:ascii="Arial" w:cs="Arial" w:eastAsia="Arial" w:hAnsi="Arial"/>
                <w:color w:val="444444"/>
                <w:sz w:val="20"/>
                <w:szCs w:val="20"/>
              </w:rPr>
              <w:t xml:space="preserve">  Competitive Clarity (25 pts): Is the primary regional competitor named? Is Simpro's positioning documented?</w:t>
            </w:r>
          </w:p>
          <w:p>
            <w:pPr>
              <w:spacing w:after="40" w:before="0"/>
            </w:pPr>
            <w:r>
              <w:rPr>
                <w:rFonts w:ascii="Arial" w:cs="Arial" w:eastAsia="Arial" w:hAnsi="Arial"/>
                <w:color w:val="444444"/>
                <w:sz w:val="20"/>
                <w:szCs w:val="20"/>
              </w:rPr>
              <w:t xml:space="preserve">  Momentum Signals (25 pts): Is the deal advancing or bouncing? Next step documented? Dead Cat pattern present?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8"/>
              <w:left w:val="single" w:color="CADCFC" w:sz="1"/>
              <w:bottom w:val="single" w:color="CADCFC" w:sz="1"/>
              <w:right w:val="single" w:color="CADCFC" w:sz="1"/>
            </w:tcBorders>
            <w:shd w:fill="F4F7FF" w:val="clear"/>
            <w:tcMar>
              <w:top w:type="dxa" w:w="120"/>
              <w:left w:type="dxa" w:w="200"/>
              <w:bottom w:type="dxa" w:w="120"/>
              <w:right w:type="dxa" w:w="200"/>
            </w:tcMar>
          </w:tcPr>
          <w:p>
            <w:pPr>
              <w:spacing w:after="100" w:before="0"/>
            </w:pPr>
            <w:r>
              <w:rPr>
                <w:rFonts w:ascii="Arial" w:cs="Arial" w:eastAsia="Arial" w:hAnsi="Arial"/>
                <w:b/>
                <w:bCs/>
                <w:color w:val="1E2761"/>
                <w:sz w:val="21"/>
                <w:szCs w:val="21"/>
              </w:rPr>
              <w:t xml:space="preserve">NARRATIVE vs. REALITY GAP (New in v2.0)</w:t>
            </w:r>
          </w:p>
          <w:p>
            <w:pPr>
              <w:spacing w:after="40" w:before="0"/>
            </w:pPr>
            <w:r>
              <w:rPr>
                <w:rFonts w:ascii="Arial" w:cs="Arial" w:eastAsia="Arial" w:hAnsi="Arial"/>
                <w:color w:val="444444"/>
                <w:sz w:val="20"/>
                <w:szCs w:val="20"/>
              </w:rPr>
              <w:t xml:space="preserve">The most important new capability in Prism v2.0.</w:t>
            </w:r>
          </w:p>
          <w:p>
            <w:pPr>
              <w:spacing w:after="40" w:before="0"/>
            </w:pPr>
            <w:r>
              <w:rPr>
                <w:rFonts w:ascii="Arial" w:cs="Arial" w:eastAsia="Arial" w:hAnsi="Arial"/>
                <w:color w:val="444444"/>
                <w:sz w:val="20"/>
                <w:szCs w:val="20"/>
              </w:rPr>
              <w:t xml:space="preserve"/>
            </w:r>
          </w:p>
          <w:p>
            <w:pPr>
              <w:spacing w:after="40" w:before="0"/>
            </w:pPr>
            <w:r>
              <w:rPr>
                <w:rFonts w:ascii="Arial" w:cs="Arial" w:eastAsia="Arial" w:hAnsi="Arial"/>
                <w:color w:val="444444"/>
                <w:sz w:val="20"/>
                <w:szCs w:val="20"/>
              </w:rPr>
              <w:t xml:space="preserve">Every CRM record has two stories: what the rep wrote, and what the deal behaviour shows.</w:t>
            </w:r>
          </w:p>
          <w:p>
            <w:pPr>
              <w:spacing w:after="40" w:before="0"/>
            </w:pPr>
            <w:r>
              <w:rPr>
                <w:rFonts w:ascii="Arial" w:cs="Arial" w:eastAsia="Arial" w:hAnsi="Arial"/>
                <w:color w:val="444444"/>
                <w:sz w:val="20"/>
                <w:szCs w:val="20"/>
              </w:rPr>
              <w:t xml:space="preserve">Prism compares them and surfaces the contradictions explicitly:</w:t>
            </w:r>
          </w:p>
          <w:p>
            <w:pPr>
              <w:spacing w:after="40" w:before="0"/>
            </w:pPr>
            <w:r>
              <w:rPr>
                <w:rFonts w:ascii="Arial" w:cs="Arial" w:eastAsia="Arial" w:hAnsi="Arial"/>
                <w:color w:val="444444"/>
                <w:sz w:val="20"/>
                <w:szCs w:val="20"/>
              </w:rPr>
              <w:t xml:space="preserve"/>
            </w:r>
          </w:p>
          <w:p>
            <w:pPr>
              <w:spacing w:after="40" w:before="0"/>
            </w:pPr>
            <w:r>
              <w:rPr>
                <w:rFonts w:ascii="Arial" w:cs="Arial" w:eastAsia="Arial" w:hAnsi="Arial"/>
                <w:color w:val="444444"/>
                <w:sz w:val="20"/>
                <w:szCs w:val="20"/>
              </w:rPr>
              <w:t xml:space="preserve">  'Strong champion' in notes + no activity for 5 days = champion is not driving</w:t>
            </w:r>
          </w:p>
          <w:p>
            <w:pPr>
              <w:spacing w:after="40" w:before="0"/>
            </w:pPr>
            <w:r>
              <w:rPr>
                <w:rFonts w:ascii="Arial" w:cs="Arial" w:eastAsia="Arial" w:hAnsi="Arial"/>
                <w:color w:val="444444"/>
                <w:sz w:val="20"/>
                <w:szCs w:val="20"/>
              </w:rPr>
              <w:t xml:space="preserve">  'Customer very interested' + close date moved twice = interest without urgency</w:t>
            </w:r>
          </w:p>
          <w:p>
            <w:pPr>
              <w:spacing w:after="40" w:before="0"/>
            </w:pPr>
            <w:r>
              <w:rPr>
                <w:rFonts w:ascii="Arial" w:cs="Arial" w:eastAsia="Arial" w:hAnsi="Arial"/>
                <w:color w:val="444444"/>
                <w:sz w:val="20"/>
                <w:szCs w:val="20"/>
              </w:rPr>
              <w:t xml:space="preserve">  'Just waiting on contract' + no verbal commit field = waiting for something not secured</w:t>
            </w:r>
          </w:p>
          <w:p>
            <w:pPr>
              <w:spacing w:after="40" w:before="0"/>
            </w:pPr>
            <w:r>
              <w:rPr>
                <w:rFonts w:ascii="Arial" w:cs="Arial" w:eastAsia="Arial" w:hAnsi="Arial"/>
                <w:color w:val="444444"/>
                <w:sz w:val="20"/>
                <w:szCs w:val="20"/>
              </w:rPr>
              <w:t xml:space="preserve">  'Price was the issue' as loss reason + deal was never in Commitment = value case wasn't made</w:t>
            </w:r>
          </w:p>
          <w:p>
            <w:pPr>
              <w:spacing w:after="40" w:before="0"/>
            </w:pPr>
            <w:r>
              <w:rPr>
                <w:rFonts w:ascii="Arial" w:cs="Arial" w:eastAsia="Arial" w:hAnsi="Arial"/>
                <w:color w:val="444444"/>
                <w:sz w:val="20"/>
                <w:szCs w:val="20"/>
              </w:rPr>
              <w:t xml:space="preserve">  'Could Not Contact' + 1-2 touchpoints = rep abandoned the deal, not the prospect</w:t>
            </w:r>
          </w:p>
          <w:p>
            <w:pPr>
              <w:spacing w:after="40" w:before="0"/>
            </w:pPr>
            <w:r>
              <w:rPr>
                <w:rFonts w:ascii="Arial" w:cs="Arial" w:eastAsia="Arial" w:hAnsi="Arial"/>
                <w:color w:val="444444"/>
                <w:sz w:val="20"/>
                <w:szCs w:val="20"/>
              </w:rPr>
              <w:t xml:space="preserve"/>
            </w:r>
          </w:p>
          <w:p>
            <w:pPr>
              <w:spacing w:after="40" w:before="0"/>
            </w:pPr>
            <w:r>
              <w:rPr>
                <w:rFonts w:ascii="Arial" w:cs="Arial" w:eastAsia="Arial" w:hAnsi="Arial"/>
                <w:color w:val="444444"/>
                <w:sz w:val="20"/>
                <w:szCs w:val="20"/>
              </w:rPr>
              <w:t xml:space="preserve">Each contradiction is flagged as both a coaching signal and a forecast integrity alert.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2E8" w:sz="8"/>
              <w:left w:val="single" w:color="CADCFC" w:sz="1"/>
              <w:bottom w:val="single" w:color="CADCFC" w:sz="1"/>
              <w:right w:val="single" w:color="CADCFC" w:sz="1"/>
            </w:tcBorders>
            <w:shd w:fill="F4F7FF" w:val="clear"/>
            <w:tcMar>
              <w:top w:type="dxa" w:w="120"/>
              <w:left w:type="dxa" w:w="200"/>
              <w:bottom w:type="dxa" w:w="120"/>
              <w:right w:type="dxa" w:w="200"/>
            </w:tcMar>
          </w:tcPr>
          <w:p>
            <w:pPr>
              <w:spacing w:after="100" w:before="0"/>
            </w:pPr>
            <w:r>
              <w:rPr>
                <w:rFonts w:ascii="Arial" w:cs="Arial" w:eastAsia="Arial" w:hAnsi="Arial"/>
                <w:b/>
                <w:bCs/>
                <w:color w:val="3B72E8"/>
                <w:sz w:val="21"/>
                <w:szCs w:val="21"/>
              </w:rPr>
              <w:t xml:space="preserve">REGIONAL INTELLIGENCE LAYER (New in v2.0)</w:t>
            </w:r>
          </w:p>
          <w:p>
            <w:pPr>
              <w:spacing w:after="40" w:before="0"/>
            </w:pPr>
            <w:r>
              <w:rPr>
                <w:rFonts w:ascii="Arial" w:cs="Arial" w:eastAsia="Arial" w:hAnsi="Arial"/>
                <w:color w:val="444444"/>
                <w:sz w:val="20"/>
                <w:szCs w:val="20"/>
              </w:rPr>
              <w:t xml:space="preserve">Every deal is assessed against its market's expected fingerprint:</w:t>
            </w:r>
          </w:p>
          <w:p>
            <w:pPr>
              <w:spacing w:after="40" w:before="0"/>
            </w:pPr>
            <w:r>
              <w:rPr>
                <w:rFonts w:ascii="Arial" w:cs="Arial" w:eastAsia="Arial" w:hAnsi="Arial"/>
                <w:color w:val="444444"/>
                <w:sz w:val="20"/>
                <w:szCs w:val="20"/>
              </w:rPr>
              <w:t xml:space="preserve"/>
            </w:r>
          </w:p>
          <w:p>
            <w:pPr>
              <w:spacing w:after="40" w:before="0"/>
            </w:pPr>
            <w:r>
              <w:rPr>
                <w:rFonts w:ascii="Arial" w:cs="Arial" w:eastAsia="Arial" w:hAnsi="Arial"/>
                <w:color w:val="444444"/>
                <w:sz w:val="20"/>
                <w:szCs w:val="20"/>
              </w:rPr>
              <w:t xml:space="preserve">  Does this deal behave as expected for its region?</w:t>
            </w:r>
          </w:p>
          <w:p>
            <w:pPr>
              <w:spacing w:after="40" w:before="0"/>
            </w:pPr>
            <w:r>
              <w:rPr>
                <w:rFonts w:ascii="Arial" w:cs="Arial" w:eastAsia="Arial" w:hAnsi="Arial"/>
                <w:color w:val="444444"/>
                <w:sz w:val="20"/>
                <w:szCs w:val="20"/>
              </w:rPr>
              <w:t xml:space="preserve">  Is the primary regional competitor present? If not — why not?</w:t>
            </w:r>
          </w:p>
          <w:p>
            <w:pPr>
              <w:spacing w:after="40" w:before="0"/>
            </w:pPr>
            <w:r>
              <w:rPr>
                <w:rFonts w:ascii="Arial" w:cs="Arial" w:eastAsia="Arial" w:hAnsi="Arial"/>
                <w:color w:val="444444"/>
                <w:sz w:val="20"/>
                <w:szCs w:val="20"/>
              </w:rPr>
              <w:t xml:space="preserve">  Does this deal match a win or loss pattern from a different region?</w:t>
            </w:r>
          </w:p>
          <w:p>
            <w:pPr>
              <w:spacing w:after="40" w:before="0"/>
            </w:pPr>
            <w:r>
              <w:rPr>
                <w:rFonts w:ascii="Arial" w:cs="Arial" w:eastAsia="Arial" w:hAnsi="Arial"/>
                <w:color w:val="444444"/>
                <w:sz w:val="20"/>
                <w:szCs w:val="20"/>
              </w:rPr>
              <w:t xml:space="preserve">  What is the region-specific risk signal for this deal?</w:t>
            </w:r>
          </w:p>
          <w:p>
            <w:pPr>
              <w:spacing w:after="40" w:before="0"/>
            </w:pPr>
            <w:r>
              <w:rPr>
                <w:rFonts w:ascii="Arial" w:cs="Arial" w:eastAsia="Arial" w:hAnsi="Arial"/>
                <w:color w:val="444444"/>
                <w:sz w:val="20"/>
                <w:szCs w:val="20"/>
              </w:rPr>
              <w:t xml:space="preserve"/>
            </w:r>
          </w:p>
          <w:p>
            <w:pPr>
              <w:spacing w:after="40" w:before="0"/>
            </w:pPr>
            <w:r>
              <w:rPr>
                <w:rFonts w:ascii="Arial" w:cs="Arial" w:eastAsia="Arial" w:hAnsi="Arial"/>
                <w:color w:val="444444"/>
                <w:sz w:val="20"/>
                <w:szCs w:val="20"/>
              </w:rPr>
              <w:t xml:space="preserve">When a deal deviates from its regional fingerprint, the system flags the deviation</w:t>
            </w:r>
          </w:p>
          <w:p>
            <w:pPr>
              <w:spacing w:after="40" w:before="0"/>
            </w:pPr>
            <w:r>
              <w:rPr>
                <w:rFonts w:ascii="Arial" w:cs="Arial" w:eastAsia="Arial" w:hAnsi="Arial"/>
                <w:color w:val="444444"/>
                <w:sz w:val="20"/>
                <w:szCs w:val="20"/>
              </w:rPr>
              <w:t xml:space="preserve">and interprets what it means — not just that it's unusual.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8"/>
              <w:left w:val="single" w:color="CADCFC" w:sz="1"/>
              <w:bottom w:val="single" w:color="CADCFC" w:sz="1"/>
              <w:right w:val="single" w:color="CADCFC" w:sz="1"/>
            </w:tcBorders>
            <w:shd w:fill="F4F7FF" w:val="clear"/>
            <w:tcMar>
              <w:top w:type="dxa" w:w="120"/>
              <w:left w:type="dxa" w:w="200"/>
              <w:bottom w:type="dxa" w:w="120"/>
              <w:right w:type="dxa" w:w="200"/>
            </w:tcMar>
          </w:tcPr>
          <w:p>
            <w:pPr>
              <w:spacing w:after="100" w:before="0"/>
            </w:pPr>
            <w:r>
              <w:rPr>
                <w:rFonts w:ascii="Arial" w:cs="Arial" w:eastAsia="Arial" w:hAnsi="Arial"/>
                <w:b/>
                <w:bCs/>
                <w:color w:val="1E2761"/>
                <w:sz w:val="21"/>
                <w:szCs w:val="21"/>
              </w:rPr>
              <w:t xml:space="preserve">COMPETITIVE DISPLACEMENT ANALYSIS (New in v2.0)</w:t>
            </w:r>
          </w:p>
          <w:p>
            <w:pPr>
              <w:spacing w:after="40" w:before="0"/>
            </w:pPr>
            <w:r>
              <w:rPr>
                <w:rFonts w:ascii="Arial" w:cs="Arial" w:eastAsia="Arial" w:hAnsi="Arial"/>
                <w:color w:val="444444"/>
                <w:sz w:val="20"/>
                <w:szCs w:val="20"/>
              </w:rPr>
              <w:t xml:space="preserve">Goes beyond naming the competitor to answering:</w:t>
            </w:r>
          </w:p>
          <w:p>
            <w:pPr>
              <w:spacing w:after="40" w:before="0"/>
            </w:pPr>
            <w:r>
              <w:rPr>
                <w:rFonts w:ascii="Arial" w:cs="Arial" w:eastAsia="Arial" w:hAnsi="Arial"/>
                <w:color w:val="444444"/>
                <w:sz w:val="20"/>
                <w:szCs w:val="20"/>
              </w:rPr>
              <w:t xml:space="preserve"/>
            </w:r>
          </w:p>
          <w:p>
            <w:pPr>
              <w:spacing w:after="40" w:before="0"/>
            </w:pPr>
            <w:r>
              <w:rPr>
                <w:rFonts w:ascii="Arial" w:cs="Arial" w:eastAsia="Arial" w:hAnsi="Arial"/>
                <w:color w:val="444444"/>
                <w:sz w:val="20"/>
                <w:szCs w:val="20"/>
              </w:rPr>
              <w:t xml:space="preserve">  What is the competitor's strongest claim in this deal's context?</w:t>
            </w:r>
          </w:p>
          <w:p>
            <w:pPr>
              <w:spacing w:after="40" w:before="0"/>
            </w:pPr>
            <w:r>
              <w:rPr>
                <w:rFonts w:ascii="Arial" w:cs="Arial" w:eastAsia="Arial" w:hAnsi="Arial"/>
                <w:color w:val="444444"/>
                <w:sz w:val="20"/>
                <w:szCs w:val="20"/>
              </w:rPr>
              <w:t xml:space="preserve">  What is Simpro's most credible counter for this specific region?</w:t>
            </w:r>
          </w:p>
          <w:p>
            <w:pPr>
              <w:spacing w:after="40" w:before="0"/>
            </w:pPr>
            <w:r>
              <w:rPr>
                <w:rFonts w:ascii="Arial" w:cs="Arial" w:eastAsia="Arial" w:hAnsi="Arial"/>
                <w:color w:val="444444"/>
                <w:sz w:val="20"/>
                <w:szCs w:val="20"/>
              </w:rPr>
              <w:t xml:space="preserve">  Is the rep fighting the right competitive battle, or the wrong one?</w:t>
            </w:r>
          </w:p>
          <w:p>
            <w:pPr>
              <w:spacing w:after="40" w:before="0"/>
            </w:pPr>
            <w:r>
              <w:rPr>
                <w:rFonts w:ascii="Arial" w:cs="Arial" w:eastAsia="Arial" w:hAnsi="Arial"/>
                <w:color w:val="444444"/>
                <w:sz w:val="20"/>
                <w:szCs w:val="20"/>
              </w:rPr>
              <w:t xml:space="preserve">  What proof point would shift the competitive balance?</w:t>
            </w:r>
          </w:p>
          <w:p>
            <w:pPr>
              <w:spacing w:after="40" w:before="0"/>
            </w:pPr>
            <w:r>
              <w:rPr>
                <w:rFonts w:ascii="Arial" w:cs="Arial" w:eastAsia="Arial" w:hAnsi="Arial"/>
                <w:color w:val="444444"/>
                <w:sz w:val="20"/>
                <w:szCs w:val="20"/>
              </w:rPr>
              <w:t xml:space="preserve">  What is the specific trigger that would cause Simpro to lose this deal?</w:t>
            </w:r>
          </w:p>
        </w:tc>
      </w:tr>
    </w:tbl>
    <w:p>
      <w:pPr>
        <w:spacing w:after="0" w:before="120"/>
      </w:pPr>
      <w:r>
        <w:t xml:space="preserve"/>
      </w:r>
    </w:p>
    <w:p>
      <w:pPr>
        <w:pBdr>
          <w:bottom w:val="single" w:color="CADCFC" w:sz="4" w:space="1"/>
        </w:pBdr>
        <w:spacing w:after="160" w:before="160"/>
      </w:pPr>
      <w:r>
        <w:t xml:space="preserve"/>
      </w:r>
    </w:p>
    <w:p>
      <w:pPr>
        <w:pStyle w:val="Heading1"/>
        <w:spacing w:after="120" w:before="360"/>
      </w:pPr>
      <w:r>
        <w:rPr>
          <w:rFonts w:ascii="Arial" w:cs="Arial" w:eastAsia="Arial" w:hAnsi="Arial"/>
          <w:b/>
          <w:bCs/>
          <w:color w:val="1E2761"/>
          <w:sz w:val="32"/>
          <w:szCs w:val="32"/>
        </w:rPr>
        <w:t xml:space="preserve">5. Pass 2 — Portfolio Intelligence</w:t>
      </w:r>
    </w:p>
    <w:p>
      <w:pPr>
        <w:spacing w:after="80" w:before="60"/>
      </w:pPr>
      <w:r>
        <w:rPr>
          <w:rFonts w:ascii="Arial" w:cs="Arial" w:eastAsia="Arial" w:hAnsi="Arial"/>
          <w:color w:val="444444"/>
          <w:sz w:val="22"/>
          <w:szCs w:val="22"/>
        </w:rPr>
        <w:t xml:space="preserve">After individual deal analysis, Prism aggregates across the full pipeline to find patterns no single deal review reveals. The portfolio pass is where systemic intelligence lives.</w:t>
      </w:r>
    </w:p>
    <w:p>
      <w:pPr>
        <w:spacing w:after="0" w:before="80"/>
      </w:pPr>
      <w:r>
        <w:t xml:space="preserve"/>
      </w:r>
    </w:p>
    <w:p>
      <w:pPr>
        <w:pStyle w:val="Heading2"/>
        <w:spacing w:after="80" w:before="280"/>
      </w:pPr>
      <w:r>
        <w:rPr>
          <w:rFonts w:ascii="Arial" w:cs="Arial" w:eastAsia="Arial" w:hAnsi="Arial"/>
          <w:b/>
          <w:bCs/>
          <w:color w:val="3B72E8"/>
          <w:sz w:val="26"/>
          <w:szCs w:val="26"/>
        </w:rPr>
        <w:t xml:space="preserve">5.1 Forecast Integrity Assessment</w:t>
      </w:r>
    </w:p>
    <w:p>
      <w:pPr>
        <w:spacing w:after="80" w:before="60"/>
      </w:pPr>
      <w:r>
        <w:rPr>
          <w:rFonts w:ascii="Arial" w:cs="Arial" w:eastAsia="Arial" w:hAnsi="Arial"/>
          <w:color w:val="444444"/>
          <w:sz w:val="22"/>
          <w:szCs w:val="22"/>
        </w:rPr>
        <w:t xml:space="preserve">Prism produces three views of the pipeline simultaneously:</w:t>
      </w:r>
    </w:p>
    <w:p>
      <w:pPr>
        <w:spacing w:after="0" w:before="40"/>
      </w:pPr>
      <w:r>
        <w:t xml:space="preserve"/>
      </w:r>
    </w:p>
    <w:p>
      <w:pPr>
        <w:pStyle w:val="ListParagraph"/>
        <w:numPr>
          <w:ilvl w:val="0"/>
          <w:numId w:val="2"/>
        </w:numPr>
        <w:spacing w:after="40" w:before="40"/>
      </w:pPr>
      <w:r>
        <w:rPr>
          <w:rFonts w:ascii="Arial" w:cs="Arial" w:eastAsia="Arial" w:hAnsi="Arial"/>
          <w:b/>
          <w:bCs/>
          <w:color w:val="1E2761"/>
          <w:sz w:val="22"/>
          <w:szCs w:val="22"/>
        </w:rPr>
        <w:t xml:space="preserve">Reported Pipeline: </w:t>
      </w:r>
      <w:r>
        <w:rPr>
          <w:rFonts w:ascii="Arial" w:cs="Arial" w:eastAsia="Arial" w:hAnsi="Arial"/>
          <w:color w:val="444444"/>
          <w:sz w:val="22"/>
          <w:szCs w:val="22"/>
        </w:rPr>
        <w:t xml:space="preserve">What Salesforce shows at face value.</w:t>
      </w:r>
    </w:p>
    <w:p>
      <w:pPr>
        <w:pStyle w:val="ListParagraph"/>
        <w:numPr>
          <w:ilvl w:val="0"/>
          <w:numId w:val="2"/>
        </w:numPr>
        <w:spacing w:after="40" w:before="40"/>
      </w:pPr>
      <w:r>
        <w:rPr>
          <w:rFonts w:ascii="Arial" w:cs="Arial" w:eastAsia="Arial" w:hAnsi="Arial"/>
          <w:b/>
          <w:bCs/>
          <w:color w:val="1E2761"/>
          <w:sz w:val="22"/>
          <w:szCs w:val="22"/>
        </w:rPr>
        <w:t xml:space="preserve">Ghost-Stripped Pipeline: </w:t>
      </w:r>
      <w:r>
        <w:rPr>
          <w:rFonts w:ascii="Arial" w:cs="Arial" w:eastAsia="Arial" w:hAnsi="Arial"/>
          <w:color w:val="444444"/>
          <w:sz w:val="22"/>
          <w:szCs w:val="22"/>
        </w:rPr>
        <w:t xml:space="preserve">Reported pipeline minus deals with 30+ days no activity. This is the difference between what we think we have and what exists.</w:t>
      </w:r>
    </w:p>
    <w:p>
      <w:pPr>
        <w:pStyle w:val="ListParagraph"/>
        <w:numPr>
          <w:ilvl w:val="0"/>
          <w:numId w:val="2"/>
        </w:numPr>
        <w:spacing w:after="40" w:before="40"/>
      </w:pPr>
      <w:r>
        <w:rPr>
          <w:rFonts w:ascii="Arial" w:cs="Arial" w:eastAsia="Arial" w:hAnsi="Arial"/>
          <w:b/>
          <w:bCs/>
          <w:color w:val="1E2761"/>
          <w:sz w:val="22"/>
          <w:szCs w:val="22"/>
        </w:rPr>
        <w:t xml:space="preserve">Commit-Integrity Pipeline: </w:t>
      </w:r>
      <w:r>
        <w:rPr>
          <w:rFonts w:ascii="Arial" w:cs="Arial" w:eastAsia="Arial" w:hAnsi="Arial"/>
          <w:color w:val="444444"/>
          <w:sz w:val="22"/>
          <w:szCs w:val="22"/>
        </w:rPr>
        <w:t xml:space="preserve">Ghost-stripped pipeline minus Commitment deals without a verbal commit. This is the realistic forecast — what the data actually supports.</w:t>
      </w:r>
    </w:p>
    <w:p>
      <w:pPr>
        <w:spacing w:after="0" w:before="80"/>
      </w:pPr>
      <w:r>
        <w:t xml:space="preserve"/>
      </w:r>
    </w:p>
    <w:p>
      <w:pPr>
        <w:spacing w:after="80" w:before="60"/>
      </w:pPr>
      <w:r>
        <w:rPr>
          <w:rFonts w:ascii="Arial" w:cs="Arial" w:eastAsia="Arial" w:hAnsi="Arial"/>
          <w:color w:val="444444"/>
          <w:sz w:val="22"/>
          <w:szCs w:val="22"/>
        </w:rPr>
        <w:t xml:space="preserve">The delta between reported and realistic forecast is always named, always quantified in MRR, and always explained.</w:t>
      </w:r>
    </w:p>
    <w:p>
      <w:pPr>
        <w:spacing w:after="0" w:before="120"/>
      </w:pPr>
      <w:r>
        <w:t xml:space="preserve"/>
      </w:r>
    </w:p>
    <w:p>
      <w:pPr>
        <w:pStyle w:val="Heading2"/>
        <w:spacing w:after="80" w:before="280"/>
      </w:pPr>
      <w:r>
        <w:rPr>
          <w:rFonts w:ascii="Arial" w:cs="Arial" w:eastAsia="Arial" w:hAnsi="Arial"/>
          <w:b/>
          <w:bCs/>
          <w:color w:val="3B72E8"/>
          <w:sz w:val="26"/>
          <w:szCs w:val="26"/>
        </w:rPr>
        <w:t xml:space="preserve">5.2 Cross-Regional Arbitrage</w:t>
      </w:r>
    </w:p>
    <w:p>
      <w:pPr>
        <w:spacing w:after="80" w:before="60"/>
      </w:pPr>
      <w:r>
        <w:rPr>
          <w:rFonts w:ascii="Arial" w:cs="Arial" w:eastAsia="Arial" w:hAnsi="Arial"/>
          <w:color w:val="444444"/>
          <w:sz w:val="22"/>
          <w:szCs w:val="22"/>
        </w:rPr>
        <w:t xml:space="preserve">This is the intelligence layer that separates Prism from any conventional reporting tool. The system identifies:</w:t>
      </w:r>
    </w:p>
    <w:p>
      <w:pPr>
        <w:spacing w:after="0" w:before="40"/>
      </w:pPr>
      <w:r>
        <w:t xml:space="preserve"/>
      </w:r>
    </w:p>
    <w:p>
      <w:pPr>
        <w:pStyle w:val="ListParagraph"/>
        <w:numPr>
          <w:ilvl w:val="0"/>
          <w:numId w:val="2"/>
        </w:numPr>
        <w:spacing w:after="40" w:before="40"/>
      </w:pPr>
      <w:r>
        <w:rPr>
          <w:rFonts w:ascii="Arial" w:cs="Arial" w:eastAsia="Arial" w:hAnsi="Arial"/>
          <w:color w:val="444444"/>
          <w:sz w:val="22"/>
          <w:szCs w:val="22"/>
        </w:rPr>
        <w:t xml:space="preserve">Where one region is significantly outperforming expectations on a specific deal profile — and why.</w:t>
      </w:r>
    </w:p>
    <w:p>
      <w:pPr>
        <w:pStyle w:val="ListParagraph"/>
        <w:numPr>
          <w:ilvl w:val="0"/>
          <w:numId w:val="2"/>
        </w:numPr>
        <w:spacing w:after="40" w:before="40"/>
      </w:pPr>
      <w:r>
        <w:rPr>
          <w:rFonts w:ascii="Arial" w:cs="Arial" w:eastAsia="Arial" w:hAnsi="Arial"/>
          <w:color w:val="444444"/>
          <w:sz w:val="22"/>
          <w:szCs w:val="22"/>
        </w:rPr>
        <w:t xml:space="preserve">Win patterns working in one market that are absent in others — and the coaching change that would transfer them.</w:t>
      </w:r>
    </w:p>
    <w:p>
      <w:pPr>
        <w:pStyle w:val="ListParagraph"/>
        <w:numPr>
          <w:ilvl w:val="0"/>
          <w:numId w:val="2"/>
        </w:numPr>
        <w:spacing w:after="40" w:before="40"/>
      </w:pPr>
      <w:r>
        <w:rPr>
          <w:rFonts w:ascii="Arial" w:cs="Arial" w:eastAsia="Arial" w:hAnsi="Arial"/>
          <w:color w:val="444444"/>
          <w:sz w:val="22"/>
          <w:szCs w:val="22"/>
        </w:rPr>
        <w:t xml:space="preserve">Competitive momentum shifts by market — which competitors are gaining or losing ground, and in which specific segments.</w:t>
      </w:r>
    </w:p>
    <w:p>
      <w:pPr>
        <w:pStyle w:val="ListParagraph"/>
        <w:numPr>
          <w:ilvl w:val="0"/>
          <w:numId w:val="2"/>
        </w:numPr>
        <w:spacing w:after="40" w:before="40"/>
      </w:pPr>
      <w:r>
        <w:rPr>
          <w:rFonts w:ascii="Arial" w:cs="Arial" w:eastAsia="Arial" w:hAnsi="Arial"/>
          <w:color w:val="444444"/>
          <w:sz w:val="22"/>
          <w:szCs w:val="22"/>
        </w:rPr>
        <w:t xml:space="preserve">Cross-regional anomalies — ServiceTitan appearing in AU deals, JobLogic appearing in NA deals. These are strategic signals.</w:t>
      </w:r>
    </w:p>
    <w:p>
      <w:pPr>
        <w:spacing w:after="0" w:before="120"/>
      </w:pPr>
      <w:r>
        <w:t xml:space="preserve"/>
      </w:r>
    </w:p>
    <w:p>
      <w:pPr>
        <w:pStyle w:val="Heading2"/>
        <w:spacing w:after="80" w:before="280"/>
      </w:pPr>
      <w:r>
        <w:rPr>
          <w:rFonts w:ascii="Arial" w:cs="Arial" w:eastAsia="Arial" w:hAnsi="Arial"/>
          <w:b/>
          <w:bCs/>
          <w:color w:val="3B72E8"/>
          <w:sz w:val="26"/>
          <w:szCs w:val="26"/>
        </w:rPr>
        <w:t xml:space="preserve">5.3 Systemic Risk Detection</w:t>
      </w:r>
    </w:p>
    <w:p>
      <w:pPr>
        <w:spacing w:after="80" w:before="60"/>
      </w:pPr>
      <w:r>
        <w:rPr>
          <w:rFonts w:ascii="Arial" w:cs="Arial" w:eastAsia="Arial" w:hAnsi="Arial"/>
          <w:color w:val="444444"/>
          <w:sz w:val="22"/>
          <w:szCs w:val="22"/>
        </w:rPr>
        <w:t xml:space="preserve">Losses cluster. Prism finds the cluster and names it:</w:t>
      </w:r>
    </w:p>
    <w:p>
      <w:pPr>
        <w:spacing w:after="0" w:before="40"/>
      </w:pPr>
      <w:r>
        <w:t xml:space="preserve"/>
      </w:r>
    </w:p>
    <w:p>
      <w:pPr>
        <w:pStyle w:val="ListParagraph"/>
        <w:numPr>
          <w:ilvl w:val="0"/>
          <w:numId w:val="2"/>
        </w:numPr>
        <w:spacing w:after="40" w:before="40"/>
      </w:pPr>
      <w:r>
        <w:rPr>
          <w:rFonts w:ascii="Arial" w:cs="Arial" w:eastAsia="Arial" w:hAnsi="Arial"/>
          <w:color w:val="444444"/>
          <w:sz w:val="22"/>
          <w:szCs w:val="22"/>
        </w:rPr>
        <w:t xml:space="preserve">Rep-pattern analysis: Are losses clustering around specific reps (capability issue)? Are wins clustering around specific reps (best practices not shared)?</w:t>
      </w:r>
    </w:p>
    <w:p>
      <w:pPr>
        <w:pStyle w:val="ListParagraph"/>
        <w:numPr>
          <w:ilvl w:val="0"/>
          <w:numId w:val="2"/>
        </w:numPr>
        <w:spacing w:after="40" w:before="40"/>
      </w:pPr>
      <w:r>
        <w:rPr>
          <w:rFonts w:ascii="Arial" w:cs="Arial" w:eastAsia="Arial" w:hAnsi="Arial"/>
          <w:color w:val="444444"/>
          <w:sz w:val="22"/>
          <w:szCs w:val="22"/>
        </w:rPr>
        <w:t xml:space="preserve">Stage bottleneck identification: Which stage has the most deals exceeding duration targets? Is this systemic or rep-specific?</w:t>
      </w:r>
    </w:p>
    <w:p>
      <w:pPr>
        <w:pStyle w:val="ListParagraph"/>
        <w:numPr>
          <w:ilvl w:val="0"/>
          <w:numId w:val="2"/>
        </w:numPr>
        <w:spacing w:after="40" w:before="40"/>
      </w:pPr>
      <w:r>
        <w:rPr>
          <w:rFonts w:ascii="Arial" w:cs="Arial" w:eastAsia="Arial" w:hAnsi="Arial"/>
          <w:color w:val="444444"/>
          <w:sz w:val="22"/>
          <w:szCs w:val="22"/>
        </w:rPr>
        <w:t xml:space="preserve">Loss reason integrity check: How many 'Price' losses had no documented value discussion? How many 'Could Not Contact' had fewer than 3 touchpoints? The gap between stated and real loss reasons is quantified.</w:t>
      </w:r>
    </w:p>
    <w:p>
      <w:pPr>
        <w:spacing w:after="0" w:before="120"/>
      </w:pPr>
      <w:r>
        <w:t xml:space="preserve"/>
      </w:r>
    </w:p>
    <w:p>
      <w:pPr>
        <w:pBdr>
          <w:bottom w:val="single" w:color="CADCFC" w:sz="4" w:space="1"/>
        </w:pBdr>
        <w:spacing w:after="160" w:before="160"/>
      </w:pPr>
      <w:r>
        <w:t xml:space="preserve"/>
      </w:r>
    </w:p>
    <w:p>
      <w:pPr>
        <w:pStyle w:val="Heading1"/>
        <w:spacing w:after="120" w:before="360"/>
      </w:pPr>
      <w:r>
        <w:rPr>
          <w:rFonts w:ascii="Arial" w:cs="Arial" w:eastAsia="Arial" w:hAnsi="Arial"/>
          <w:b/>
          <w:bCs/>
          <w:color w:val="1E2761"/>
          <w:sz w:val="32"/>
          <w:szCs w:val="32"/>
        </w:rPr>
        <w:t xml:space="preserve">6. Pass 3 — Pete's 20 Questions</w:t>
      </w:r>
    </w:p>
    <w:p>
      <w:pPr>
        <w:spacing w:after="80" w:before="60"/>
      </w:pPr>
      <w:r>
        <w:rPr>
          <w:rFonts w:ascii="Arial" w:cs="Arial" w:eastAsia="Arial" w:hAnsi="Arial"/>
          <w:color w:val="444444"/>
          <w:sz w:val="22"/>
          <w:szCs w:val="22"/>
        </w:rPr>
        <w:t xml:space="preserve">The third pass answers seven direct questions for the CRO. These are not dashboard widgets or trend charts. They are the questions a trusted analyst would answer in a pre-meeting briefing — with named deals, named reps, and specific MRR figures.</w:t>
      </w:r>
    </w:p>
    <w:p>
      <w:pPr>
        <w:spacing w:after="0" w:before="80"/>
      </w:pPr>
      <w:r>
        <w:t xml:space="preserve"/>
      </w:r>
    </w:p>
    <w:p>
      <w:pPr>
        <w:spacing w:after="80" w:before="60"/>
      </w:pPr>
      <w:r>
        <w:rPr>
          <w:rFonts w:ascii="Arial" w:cs="Arial" w:eastAsia="Arial" w:hAnsi="Arial"/>
          <w:color w:val="444444"/>
          <w:sz w:val="22"/>
          <w:szCs w:val="22"/>
        </w:rPr>
        <w:t xml:space="preserve">No hedging. No 'potentially' or 'may indicate.' Direct answers.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300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56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What the Answer Includes</w:t>
            </w:r>
          </w:p>
        </w:tc>
      </w:tr>
      <w:tr>
        <w:tc>
          <w:tcPr>
            <w:tcW w:type="dxa" w:w="800"/>
            <w:tcBorders>
              <w:top w:val="single" w:color="CADCFC" w:sz="1"/>
              <w:left w:val="single" w:color="CADCFC" w:sz="1"/>
              <w:bottom w:val="single" w:color="CADCFC" w:sz="1"/>
              <w:right w:val="single" w:color="CADCFC" w:sz="1"/>
            </w:tcBorders>
            <w:shd w:fill="E8EEF8" w:val="clear"/>
            <w:tcMar>
              <w:top w:type="dxa" w:w="80"/>
              <w:left w:type="dxa" w:w="120"/>
              <w:bottom w:type="dxa" w:w="80"/>
              <w:right w:type="dxa" w:w="120"/>
            </w:tcMar>
          </w:tcPr>
          <w:p>
            <w:r>
              <w:rPr>
                <w:rFonts w:ascii="Arial" w:cs="Arial" w:eastAsia="Arial" w:hAnsi="Arial"/>
                <w:b/>
                <w:bCs/>
                <w:color w:val="1E2761"/>
                <w:sz w:val="20"/>
                <w:szCs w:val="20"/>
              </w:rPr>
              <w:t xml:space="preserve">Q1</w:t>
            </w:r>
          </w:p>
        </w:tc>
        <w:tc>
          <w:tcPr>
            <w:tcW w:type="dxa" w:w="30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Where are deals most likely to slip this quarter?</w:t>
            </w:r>
          </w:p>
        </w:tc>
        <w:tc>
          <w:tcPr>
            <w:tcW w:type="dxa" w:w="556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20"/>
                <w:szCs w:val="20"/>
              </w:rPr>
              <w:t xml:space="preserve">Named deals, reps, regions, MRR values. Specific slip reason (not a category — the actual cause). Ranked by revenue at risk.</w:t>
            </w:r>
          </w:p>
        </w:tc>
      </w:tr>
      <w:tr>
        <w:tc>
          <w:tcPr>
            <w:tcW w:type="dxa" w:w="800"/>
            <w:tcBorders>
              <w:top w:val="single" w:color="CADCFC" w:sz="1"/>
              <w:left w:val="single" w:color="CADCFC" w:sz="1"/>
              <w:bottom w:val="single" w:color="CADCFC" w:sz="1"/>
              <w:right w:val="single" w:color="CADCFC" w:sz="1"/>
            </w:tcBorders>
            <w:shd w:fill="E8EEF8" w:val="clear"/>
            <w:tcMar>
              <w:top w:type="dxa" w:w="80"/>
              <w:left w:type="dxa" w:w="120"/>
              <w:bottom w:type="dxa" w:w="80"/>
              <w:right w:type="dxa" w:w="120"/>
            </w:tcMar>
          </w:tcPr>
          <w:p>
            <w:r>
              <w:rPr>
                <w:rFonts w:ascii="Arial" w:cs="Arial" w:eastAsia="Arial" w:hAnsi="Arial"/>
                <w:b/>
                <w:bCs/>
                <w:color w:val="1E2761"/>
                <w:sz w:val="20"/>
                <w:szCs w:val="20"/>
              </w:rPr>
              <w:t xml:space="preserve">Q2</w:t>
            </w:r>
          </w:p>
        </w:tc>
        <w:tc>
          <w:tcPr>
            <w:tcW w:type="dxa" w:w="30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What does pipeline look like without 30-day inactive deals?</w:t>
            </w:r>
          </w:p>
        </w:tc>
        <w:tc>
          <w:tcPr>
            <w:tcW w:type="dxa" w:w="556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20"/>
                <w:szCs w:val="20"/>
              </w:rPr>
              <w:t xml:space="preserve">Ghost-stripped MRR vs. reported MRR. The delta. Every inactive deal named with last activity date.</w:t>
            </w:r>
          </w:p>
        </w:tc>
      </w:tr>
      <w:tr>
        <w:tc>
          <w:tcPr>
            <w:tcW w:type="dxa" w:w="800"/>
            <w:tcBorders>
              <w:top w:val="single" w:color="CADCFC" w:sz="1"/>
              <w:left w:val="single" w:color="CADCFC" w:sz="1"/>
              <w:bottom w:val="single" w:color="CADCFC" w:sz="1"/>
              <w:right w:val="single" w:color="CADCFC" w:sz="1"/>
            </w:tcBorders>
            <w:shd w:fill="E8EEF8" w:val="clear"/>
            <w:tcMar>
              <w:top w:type="dxa" w:w="80"/>
              <w:left w:type="dxa" w:w="120"/>
              <w:bottom w:type="dxa" w:w="80"/>
              <w:right w:type="dxa" w:w="120"/>
            </w:tcMar>
          </w:tcPr>
          <w:p>
            <w:r>
              <w:rPr>
                <w:rFonts w:ascii="Arial" w:cs="Arial" w:eastAsia="Arial" w:hAnsi="Arial"/>
                <w:b/>
                <w:bCs/>
                <w:color w:val="1E2761"/>
                <w:sz w:val="20"/>
                <w:szCs w:val="20"/>
              </w:rPr>
              <w:t xml:space="preserve">Q3</w:t>
            </w:r>
          </w:p>
        </w:tc>
        <w:tc>
          <w:tcPr>
            <w:tcW w:type="dxa" w:w="30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Which reps have the healthiest pipeline by buyer engagement?</w:t>
            </w:r>
          </w:p>
        </w:tc>
        <w:tc>
          <w:tcPr>
            <w:tcW w:type="dxa" w:w="556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20"/>
                <w:szCs w:val="20"/>
              </w:rPr>
              <w:t xml:space="preserve">Top 3 and bottom 3 reps by pipeline quality (not value). Specific evidence for each ranking.</w:t>
            </w:r>
          </w:p>
        </w:tc>
      </w:tr>
      <w:tr>
        <w:tc>
          <w:tcPr>
            <w:tcW w:type="dxa" w:w="800"/>
            <w:tcBorders>
              <w:top w:val="single" w:color="CADCFC" w:sz="1"/>
              <w:left w:val="single" w:color="CADCFC" w:sz="1"/>
              <w:bottom w:val="single" w:color="CADCFC" w:sz="1"/>
              <w:right w:val="single" w:color="CADCFC" w:sz="1"/>
            </w:tcBorders>
            <w:shd w:fill="E8EEF8" w:val="clear"/>
            <w:tcMar>
              <w:top w:type="dxa" w:w="80"/>
              <w:left w:type="dxa" w:w="120"/>
              <w:bottom w:type="dxa" w:w="80"/>
              <w:right w:type="dxa" w:w="120"/>
            </w:tcMar>
          </w:tcPr>
          <w:p>
            <w:r>
              <w:rPr>
                <w:rFonts w:ascii="Arial" w:cs="Arial" w:eastAsia="Arial" w:hAnsi="Arial"/>
                <w:b/>
                <w:bCs/>
                <w:color w:val="1E2761"/>
                <w:sz w:val="20"/>
                <w:szCs w:val="20"/>
              </w:rPr>
              <w:t xml:space="preserve">Q4</w:t>
            </w:r>
          </w:p>
        </w:tc>
        <w:tc>
          <w:tcPr>
            <w:tcW w:type="dxa" w:w="30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Where is velocity actually improving vs. where we think it is?</w:t>
            </w:r>
          </w:p>
        </w:tc>
        <w:tc>
          <w:tcPr>
            <w:tcW w:type="dxa" w:w="556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20"/>
                <w:szCs w:val="20"/>
              </w:rPr>
              <w:t xml:space="preserve">Regions/segments with genuine acceleration vs. apparent health masking actual slowdown.</w:t>
            </w:r>
          </w:p>
        </w:tc>
      </w:tr>
      <w:tr>
        <w:tc>
          <w:tcPr>
            <w:tcW w:type="dxa" w:w="800"/>
            <w:tcBorders>
              <w:top w:val="single" w:color="CADCFC" w:sz="1"/>
              <w:left w:val="single" w:color="CADCFC" w:sz="1"/>
              <w:bottom w:val="single" w:color="CADCFC" w:sz="1"/>
              <w:right w:val="single" w:color="CADCFC" w:sz="1"/>
            </w:tcBorders>
            <w:shd w:fill="E8EEF8" w:val="clear"/>
            <w:tcMar>
              <w:top w:type="dxa" w:w="80"/>
              <w:left w:type="dxa" w:w="120"/>
              <w:bottom w:type="dxa" w:w="80"/>
              <w:right w:type="dxa" w:w="120"/>
            </w:tcMar>
          </w:tcPr>
          <w:p>
            <w:r>
              <w:rPr>
                <w:rFonts w:ascii="Arial" w:cs="Arial" w:eastAsia="Arial" w:hAnsi="Arial"/>
                <w:b/>
                <w:bCs/>
                <w:color w:val="1E2761"/>
                <w:sz w:val="20"/>
                <w:szCs w:val="20"/>
              </w:rPr>
              <w:t xml:space="preserve">Q5</w:t>
            </w:r>
          </w:p>
        </w:tc>
        <w:tc>
          <w:tcPr>
            <w:tcW w:type="dxa" w:w="30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Which deals have velocity below historical benchmark?</w:t>
            </w:r>
          </w:p>
        </w:tc>
        <w:tc>
          <w:tcPr>
            <w:tcW w:type="dxa" w:w="556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20"/>
                <w:szCs w:val="20"/>
              </w:rPr>
              <w:t xml:space="preserve">Deals exceeding 1.5x stage duration benchmark. Named deals, days in stage, what normal looks like.</w:t>
            </w:r>
          </w:p>
        </w:tc>
      </w:tr>
      <w:tr>
        <w:tc>
          <w:tcPr>
            <w:tcW w:type="dxa" w:w="800"/>
            <w:tcBorders>
              <w:top w:val="single" w:color="CADCFC" w:sz="1"/>
              <w:left w:val="single" w:color="CADCFC" w:sz="1"/>
              <w:bottom w:val="single" w:color="CADCFC" w:sz="1"/>
              <w:right w:val="single" w:color="CADCFC" w:sz="1"/>
            </w:tcBorders>
            <w:shd w:fill="E8EEF8" w:val="clear"/>
            <w:tcMar>
              <w:top w:type="dxa" w:w="80"/>
              <w:left w:type="dxa" w:w="120"/>
              <w:bottom w:type="dxa" w:w="80"/>
              <w:right w:type="dxa" w:w="120"/>
            </w:tcMar>
          </w:tcPr>
          <w:p>
            <w:r>
              <w:rPr>
                <w:rFonts w:ascii="Arial" w:cs="Arial" w:eastAsia="Arial" w:hAnsi="Arial"/>
                <w:b/>
                <w:bCs/>
                <w:color w:val="1E2761"/>
                <w:sz w:val="20"/>
                <w:szCs w:val="20"/>
              </w:rPr>
              <w:t xml:space="preserve">Q6</w:t>
            </w:r>
          </w:p>
        </w:tc>
        <w:tc>
          <w:tcPr>
            <w:tcW w:type="dxa" w:w="30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Where are stages accumulating beyond aging thresholds?</w:t>
            </w:r>
          </w:p>
        </w:tc>
        <w:tc>
          <w:tcPr>
            <w:tcW w:type="dxa" w:w="556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20"/>
                <w:szCs w:val="20"/>
              </w:rPr>
              <w:t xml:space="preserve">The funnel logjam. Stage, combined MRR stuck, whether systemic or rep-specific. Named deals.</w:t>
            </w:r>
          </w:p>
        </w:tc>
      </w:tr>
      <w:tr>
        <w:tc>
          <w:tcPr>
            <w:tcW w:type="dxa" w:w="800"/>
            <w:tcBorders>
              <w:top w:val="single" w:color="CADCFC" w:sz="1"/>
              <w:left w:val="single" w:color="CADCFC" w:sz="1"/>
              <w:bottom w:val="single" w:color="CADCFC" w:sz="1"/>
              <w:right w:val="single" w:color="CADCFC" w:sz="1"/>
            </w:tcBorders>
            <w:shd w:fill="E8EEF8" w:val="clear"/>
            <w:tcMar>
              <w:top w:type="dxa" w:w="80"/>
              <w:left w:type="dxa" w:w="120"/>
              <w:bottom w:type="dxa" w:w="80"/>
              <w:right w:type="dxa" w:w="120"/>
            </w:tcMar>
          </w:tcPr>
          <w:p>
            <w:r>
              <w:rPr>
                <w:rFonts w:ascii="Arial" w:cs="Arial" w:eastAsia="Arial" w:hAnsi="Arial"/>
                <w:b/>
                <w:bCs/>
                <w:color w:val="1E2761"/>
                <w:sz w:val="20"/>
                <w:szCs w:val="20"/>
              </w:rPr>
              <w:t xml:space="preserve">Q7</w:t>
            </w:r>
          </w:p>
        </w:tc>
        <w:tc>
          <w:tcPr>
            <w:tcW w:type="dxa" w:w="30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What commit pipeline statistically won't close?</w:t>
            </w:r>
          </w:p>
        </w:tc>
        <w:tc>
          <w:tcPr>
            <w:tcW w:type="dxa" w:w="556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20"/>
                <w:szCs w:val="20"/>
              </w:rPr>
              <w:t xml:space="preserve">Realistic forecast vs. reported forecast. Named deals most likely to miss. The truth, not the comfort.</w:t>
            </w:r>
          </w:p>
        </w:tc>
      </w:tr>
    </w:tbl>
    <w:p>
      <w:pPr>
        <w:spacing w:after="0" w:before="120"/>
      </w:pPr>
      <w:r>
        <w:t xml:space="preserve"/>
      </w:r>
    </w:p>
    <w:p>
      <w:pPr>
        <w:spacing w:after="40" w:before="40"/>
      </w:pPr>
      <w:r>
        <w:rPr>
          <w:rFonts w:ascii="Arial" w:cs="Arial" w:eastAsia="Arial" w:hAnsi="Arial"/>
          <w:i/>
          <w:iCs/>
          <w:color w:val="666666"/>
          <w:sz w:val="18"/>
          <w:szCs w:val="18"/>
        </w:rPr>
        <w:t xml:space="preserve">Phase 2 (Q8–Q13) and Phase 3 (Q14–Q20) to follow once Phase 1 is validated with Pete Mansel.</w:t>
      </w:r>
    </w:p>
    <w:p>
      <w:pPr>
        <w:spacing w:after="0" w:before="120"/>
      </w:pPr>
      <w:r>
        <w:t xml:space="preserve"/>
      </w:r>
    </w:p>
    <w:p>
      <w:pPr>
        <w:pBdr>
          <w:bottom w:val="single" w:color="CADCFC" w:sz="4" w:space="1"/>
        </w:pBdr>
        <w:spacing w:after="160" w:before="160"/>
      </w:pPr>
      <w:r>
        <w:t xml:space="preserve"/>
      </w:r>
    </w:p>
    <w:p>
      <w:pPr>
        <w:pStyle w:val="Heading1"/>
        <w:spacing w:after="120" w:before="360"/>
      </w:pPr>
      <w:r>
        <w:rPr>
          <w:rFonts w:ascii="Arial" w:cs="Arial" w:eastAsia="Arial" w:hAnsi="Arial"/>
          <w:b/>
          <w:bCs/>
          <w:color w:val="1E2761"/>
          <w:sz w:val="32"/>
          <w:szCs w:val="32"/>
        </w:rPr>
        <w:t xml:space="preserve">7. Competitive Displacement Intelligence</w:t>
      </w:r>
    </w:p>
    <w:p>
      <w:pPr>
        <w:spacing w:after="80" w:before="60"/>
      </w:pPr>
      <w:r>
        <w:rPr>
          <w:rFonts w:ascii="Arial" w:cs="Arial" w:eastAsia="Arial" w:hAnsi="Arial"/>
          <w:color w:val="444444"/>
          <w:sz w:val="22"/>
          <w:szCs w:val="22"/>
        </w:rPr>
        <w:t xml:space="preserve">Prism includes a dedicated competitive intelligence pass designed to answer the most strategically important revenue questions: why do customers choose Simpro over a specific competitor, why don't they, and why does the answer differ by market?</w:t>
      </w:r>
    </w:p>
    <w:p>
      <w:pPr>
        <w:spacing w:after="0" w:before="80"/>
      </w:pPr>
      <w:r>
        <w:t xml:space="preserve"/>
      </w:r>
    </w:p>
    <w:p>
      <w:pPr>
        <w:pStyle w:val="Heading2"/>
        <w:spacing w:after="80" w:before="280"/>
      </w:pPr>
      <w:r>
        <w:rPr>
          <w:rFonts w:ascii="Arial" w:cs="Arial" w:eastAsia="Arial" w:hAnsi="Arial"/>
          <w:b/>
          <w:bCs/>
          <w:color w:val="3B72E8"/>
          <w:sz w:val="26"/>
          <w:szCs w:val="26"/>
        </w:rPr>
        <w:t xml:space="preserve">7.1 The Four Competitive Questions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DCFC" w:sz="1"/>
              <w:left w:val="single" w:color="CADCFC" w:sz="1"/>
              <w:bottom w:val="single" w:color="CADCFC" w:sz="1"/>
              <w:right w:val="single" w:color="CADCFC" w:sz="1"/>
            </w:tcBorders>
            <w:shd w:fill="E8EEF8" w:val="clear"/>
            <w:tcMar>
              <w:top w:type="dxa" w:w="120"/>
              <w:left w:type="dxa" w:w="200"/>
              <w:bottom w:type="dxa" w:w="120"/>
              <w:right w:type="dxa" w:w="200"/>
            </w:tcMar>
          </w:tcPr>
          <w:p>
            <w:pPr>
              <w:spacing w:after="60" w:before="0"/>
            </w:pPr>
            <w:r>
              <w:rPr>
                <w:rFonts w:ascii="Arial" w:cs="Arial" w:eastAsia="Arial" w:hAnsi="Arial"/>
                <w:b/>
                <w:bCs/>
                <w:color w:val="3B72E8"/>
                <w:sz w:val="20"/>
                <w:szCs w:val="20"/>
              </w:rPr>
              <w:t xml:space="preserve">Question 1 — Why should they buy Simpro over a competitor?</w:t>
            </w:r>
          </w:p>
          <w:p>
            <w:pPr>
              <w:spacing w:after="0" w:before="0"/>
            </w:pPr>
            <w:r>
              <w:rPr>
                <w:rFonts w:ascii="Arial" w:cs="Arial" w:eastAsia="Arial" w:hAnsi="Arial"/>
                <w:i/>
                <w:iCs/>
                <w:color w:val="444444"/>
                <w:sz w:val="20"/>
                <w:szCs w:val="20"/>
              </w:rPr>
              <w:t xml:space="preserve">The specific switching trigger and decisive proof point, by region and by competitor. Not a feature list — the mechanism of competitive displacement.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DCFC" w:sz="1"/>
              <w:left w:val="single" w:color="CADCFC" w:sz="1"/>
              <w:bottom w:val="single" w:color="CADCFC" w:sz="1"/>
              <w:right w:val="single" w:color="CADCFC" w:sz="1"/>
            </w:tcBorders>
            <w:shd w:fill="E8EEF8" w:val="clear"/>
            <w:tcMar>
              <w:top w:type="dxa" w:w="120"/>
              <w:left w:type="dxa" w:w="200"/>
              <w:bottom w:type="dxa" w:w="120"/>
              <w:right w:type="dxa" w:w="200"/>
            </w:tcMar>
          </w:tcPr>
          <w:p>
            <w:pPr>
              <w:spacing w:after="60" w:before="0"/>
            </w:pPr>
            <w:r>
              <w:rPr>
                <w:rFonts w:ascii="Arial" w:cs="Arial" w:eastAsia="Arial" w:hAnsi="Arial"/>
                <w:b/>
                <w:bCs/>
                <w:color w:val="3B72E8"/>
                <w:sz w:val="20"/>
                <w:szCs w:val="20"/>
              </w:rPr>
              <w:t xml:space="preserve">Question 2 — Why have they?</w:t>
            </w:r>
          </w:p>
          <w:p>
            <w:pPr>
              <w:spacing w:after="0" w:before="0"/>
            </w:pPr>
            <w:r>
              <w:rPr>
                <w:rFonts w:ascii="Arial" w:cs="Arial" w:eastAsia="Arial" w:hAnsi="Arial"/>
                <w:i/>
                <w:iCs/>
                <w:color w:val="444444"/>
                <w:sz w:val="20"/>
                <w:szCs w:val="20"/>
              </w:rPr>
              <w:t xml:space="preserve">The win pattern that is working in each market. Champion profile, trigger event, proof point. What the winning deals have in common that isn't being systematically replicated.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DCFC" w:sz="1"/>
              <w:left w:val="single" w:color="CADCFC" w:sz="1"/>
              <w:bottom w:val="single" w:color="CADCFC" w:sz="1"/>
              <w:right w:val="single" w:color="CADCFC" w:sz="1"/>
            </w:tcBorders>
            <w:shd w:fill="E8EEF8" w:val="clear"/>
            <w:tcMar>
              <w:top w:type="dxa" w:w="120"/>
              <w:left w:type="dxa" w:w="200"/>
              <w:bottom w:type="dxa" w:w="120"/>
              <w:right w:type="dxa" w:w="200"/>
            </w:tcMar>
          </w:tcPr>
          <w:p>
            <w:pPr>
              <w:spacing w:after="60" w:before="0"/>
            </w:pPr>
            <w:r>
              <w:rPr>
                <w:rFonts w:ascii="Arial" w:cs="Arial" w:eastAsia="Arial" w:hAnsi="Arial"/>
                <w:b/>
                <w:bCs/>
                <w:color w:val="3B72E8"/>
                <w:sz w:val="20"/>
                <w:szCs w:val="20"/>
              </w:rPr>
              <w:t xml:space="preserve">Question 3 — Why haven't they?</w:t>
            </w:r>
          </w:p>
          <w:p>
            <w:pPr>
              <w:spacing w:after="0" w:before="0"/>
            </w:pPr>
            <w:r>
              <w:rPr>
                <w:rFonts w:ascii="Arial" w:cs="Arial" w:eastAsia="Arial" w:hAnsi="Arial"/>
                <w:i/>
                <w:iCs/>
                <w:color w:val="444444"/>
                <w:sz w:val="20"/>
                <w:szCs w:val="20"/>
              </w:rPr>
              <w:t xml:space="preserve">The loss mechanism — not the stated reason, the real cause. JobLogic's 'UK local team' narrative. ServiceTitan's enterprise positioning in NA. AroFlo's feature parity claim in AU. Named, specific, with prescribed counter.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DCFC" w:sz="1"/>
              <w:left w:val="single" w:color="CADCFC" w:sz="1"/>
              <w:bottom w:val="single" w:color="CADCFC" w:sz="1"/>
              <w:right w:val="single" w:color="CADCFC" w:sz="1"/>
            </w:tcBorders>
            <w:shd w:fill="E8EEF8" w:val="clear"/>
            <w:tcMar>
              <w:top w:type="dxa" w:w="120"/>
              <w:left w:type="dxa" w:w="200"/>
              <w:bottom w:type="dxa" w:w="120"/>
              <w:right w:type="dxa" w:w="200"/>
            </w:tcMar>
          </w:tcPr>
          <w:p>
            <w:pPr>
              <w:spacing w:after="60" w:before="0"/>
            </w:pPr>
            <w:r>
              <w:rPr>
                <w:rFonts w:ascii="Arial" w:cs="Arial" w:eastAsia="Arial" w:hAnsi="Arial"/>
                <w:b/>
                <w:bCs/>
                <w:color w:val="3B72E8"/>
                <w:sz w:val="20"/>
                <w:szCs w:val="20"/>
              </w:rPr>
              <w:t xml:space="preserve">Question 4 — Why in one region but not another?</w:t>
            </w:r>
          </w:p>
          <w:p>
            <w:pPr>
              <w:spacing w:after="0" w:before="0"/>
            </w:pPr>
            <w:r>
              <w:rPr>
                <w:rFonts w:ascii="Arial" w:cs="Arial" w:eastAsia="Arial" w:hAnsi="Arial"/>
                <w:i/>
                <w:iCs/>
                <w:color w:val="444444"/>
                <w:sz w:val="20"/>
                <w:szCs w:val="20"/>
              </w:rPr>
              <w:t xml:space="preserve">The cross-regional arbitrage layer. When the same deal profile wins in AU and loses in UK — Prism identifies the structural divergence cause and prescribes how to transfer the winning formula.</w:t>
            </w:r>
          </w:p>
        </w:tc>
      </w:tr>
    </w:tbl>
    <w:p>
      <w:pPr>
        <w:spacing w:after="0" w:before="120"/>
      </w:pPr>
      <w:r>
        <w:t xml:space="preserve"/>
      </w:r>
    </w:p>
    <w:p>
      <w:pPr>
        <w:pStyle w:val="Heading2"/>
        <w:spacing w:after="80" w:before="280"/>
      </w:pPr>
      <w:r>
        <w:rPr>
          <w:rFonts w:ascii="Arial" w:cs="Arial" w:eastAsia="Arial" w:hAnsi="Arial"/>
          <w:b/>
          <w:bCs/>
          <w:color w:val="3B72E8"/>
          <w:sz w:val="26"/>
          <w:szCs w:val="26"/>
        </w:rPr>
        <w:t xml:space="preserve">7.2 Rewarm Intelligence</w:t>
      </w:r>
    </w:p>
    <w:p>
      <w:pPr>
        <w:spacing w:after="80" w:before="60"/>
      </w:pPr>
      <w:r>
        <w:rPr>
          <w:rFonts w:ascii="Arial" w:cs="Arial" w:eastAsia="Arial" w:hAnsi="Arial"/>
          <w:color w:val="444444"/>
          <w:sz w:val="22"/>
          <w:szCs w:val="22"/>
        </w:rPr>
        <w:t xml:space="preserve">Deals closed for recoverable reasons (Wrong Timing, Price, Could Not Contact, Lost to Competitor) are identified as rewarm opportunities. Prism generates a specific re-engagement narrative for each recovery segment — not a generic follow-up template, but a context-aware reason to re-engage based on what has changed.</w:t>
      </w:r>
    </w:p>
    <w:p>
      <w:pPr>
        <w:spacing w:after="0" w:before="120"/>
      </w:pPr>
      <w:r>
        <w:t xml:space="preserve"/>
      </w:r>
    </w:p>
    <w:p>
      <w:pPr>
        <w:pBdr>
          <w:bottom w:val="single" w:color="CADCFC" w:sz="4" w:space="1"/>
        </w:pBdr>
        <w:spacing w:after="160" w:before="160"/>
      </w:pPr>
      <w:r>
        <w:t xml:space="preserve"/>
      </w:r>
    </w:p>
    <w:p>
      <w:pPr>
        <w:pStyle w:val="Heading1"/>
        <w:spacing w:after="120" w:before="360"/>
      </w:pPr>
      <w:r>
        <w:rPr>
          <w:rFonts w:ascii="Arial" w:cs="Arial" w:eastAsia="Arial" w:hAnsi="Arial"/>
          <w:b/>
          <w:bCs/>
          <w:color w:val="1E2761"/>
          <w:sz w:val="32"/>
          <w:szCs w:val="32"/>
        </w:rPr>
        <w:t xml:space="preserve">8. Simpro Sales Cycle Reference</w:t>
      </w:r>
    </w:p>
    <w:p>
      <w:pPr>
        <w:spacing w:after="80" w:before="60"/>
      </w:pPr>
      <w:r>
        <w:rPr>
          <w:rFonts w:ascii="Arial" w:cs="Arial" w:eastAsia="Arial" w:hAnsi="Arial"/>
          <w:color w:val="444444"/>
          <w:sz w:val="22"/>
          <w:szCs w:val="22"/>
        </w:rPr>
        <w:t xml:space="preserve">Prism's stage assessments are grounded in Simpro's defined 14-day sales cycle. Every deal is evaluated against this benchmark — not general SaaS norms.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200"/>
        <w:gridCol w:w="3160"/>
      </w:tblGrid>
      <w:tr>
        <w:trPr>
          <w:tblHeader/>
        </w:trPr>
        <w:tc>
          <w:tcPr>
            <w:tcW w:type="dxa" w:w="140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60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Target Duration</w:t>
            </w:r>
          </w:p>
        </w:tc>
        <w:tc>
          <w:tcPr>
            <w:tcW w:type="dxa" w:w="320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Required Fields</w:t>
            </w:r>
          </w:p>
        </w:tc>
        <w:tc>
          <w:tcPr>
            <w:tcW w:type="dxa" w:w="316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Critical Risk Signal</w:t>
            </w:r>
          </w:p>
        </w:tc>
      </w:tr>
      <w:tr>
        <w:tc>
          <w:tcPr>
            <w:tcW w:type="dxa" w:w="140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b/>
                <w:bCs/>
                <w:color w:val="1E2761"/>
                <w:sz w:val="20"/>
                <w:szCs w:val="20"/>
              </w:rPr>
              <w:t xml:space="preserve">Discovery</w:t>
            </w:r>
          </w:p>
        </w:tc>
        <w:tc>
          <w:tcPr>
            <w:tcW w:type="dxa" w:w="1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Days 1–3</w:t>
            </w:r>
          </w:p>
        </w:tc>
        <w:tc>
          <w:tcPr>
            <w:tcW w:type="dxa" w:w="320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19"/>
                <w:szCs w:val="19"/>
              </w:rPr>
              <w:t xml:space="preserve">Discovery call date, Business problem confirmed, Expected MRR, Next Steps</w:t>
            </w:r>
          </w:p>
        </w:tc>
        <w:tc>
          <w:tcPr>
            <w:tcW w:type="dxa" w:w="31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No documented business problem = unqualified opportunity.</w:t>
            </w:r>
          </w:p>
        </w:tc>
      </w:tr>
      <w:tr>
        <w:tc>
          <w:tcPr>
            <w:tcW w:type="dxa" w:w="140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b/>
                <w:bCs/>
                <w:color w:val="1E2761"/>
                <w:sz w:val="20"/>
                <w:szCs w:val="20"/>
              </w:rPr>
              <w:t xml:space="preserve">Validation</w:t>
            </w:r>
          </w:p>
        </w:tc>
        <w:tc>
          <w:tcPr>
            <w:tcW w:type="dxa" w:w="1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Days 3–6</w:t>
            </w:r>
          </w:p>
        </w:tc>
        <w:tc>
          <w:tcPr>
            <w:tcW w:type="dxa" w:w="320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19"/>
                <w:szCs w:val="19"/>
              </w:rPr>
              <w:t xml:space="preserve">Validation meeting, Champion identified, Competitor identified, Mutual Success Plan</w:t>
            </w:r>
          </w:p>
        </w:tc>
        <w:tc>
          <w:tcPr>
            <w:tcW w:type="dxa" w:w="31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No champion AND no competitor past Validation = pipeline integrity failure.</w:t>
            </w:r>
          </w:p>
        </w:tc>
      </w:tr>
      <w:tr>
        <w:tc>
          <w:tcPr>
            <w:tcW w:type="dxa" w:w="140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b/>
                <w:bCs/>
                <w:color w:val="1E2761"/>
                <w:sz w:val="20"/>
                <w:szCs w:val="20"/>
              </w:rPr>
              <w:t xml:space="preserve">Solution Review &amp; Quote</w:t>
            </w:r>
          </w:p>
        </w:tc>
        <w:tc>
          <w:tcPr>
            <w:tcW w:type="dxa" w:w="1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Days 6–9</w:t>
            </w:r>
          </w:p>
        </w:tc>
        <w:tc>
          <w:tcPr>
            <w:tcW w:type="dxa" w:w="320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19"/>
                <w:szCs w:val="19"/>
              </w:rPr>
              <w:t xml:space="preserve">Demo date, Value discussion, Executive alignment ($2K+ MRR), Onboarding discussed</w:t>
            </w:r>
          </w:p>
        </w:tc>
        <w:tc>
          <w:tcPr>
            <w:tcW w:type="dxa" w:w="31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Enterprise deals without economic buyer = undersupported and unlikely to close.</w:t>
            </w:r>
          </w:p>
        </w:tc>
      </w:tr>
      <w:tr>
        <w:tc>
          <w:tcPr>
            <w:tcW w:type="dxa" w:w="140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b/>
                <w:bCs/>
                <w:color w:val="1E2761"/>
                <w:sz w:val="20"/>
                <w:szCs w:val="20"/>
              </w:rPr>
              <w:t xml:space="preserve">Commitment</w:t>
            </w:r>
          </w:p>
        </w:tc>
        <w:tc>
          <w:tcPr>
            <w:tcW w:type="dxa" w:w="1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Days 9–12</w:t>
            </w:r>
          </w:p>
        </w:tc>
        <w:tc>
          <w:tcPr>
            <w:tcW w:type="dxa" w:w="320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19"/>
                <w:szCs w:val="19"/>
              </w:rPr>
              <w:t xml:space="preserve">Verbal commit received, Contract in progress, Mutual Success Plan agreed</w:t>
            </w:r>
          </w:p>
        </w:tc>
        <w:tc>
          <w:tcPr>
            <w:tcW w:type="dxa" w:w="31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No verbal commit in Commitment = forecast fiction. Not a real commit.</w:t>
            </w:r>
          </w:p>
        </w:tc>
      </w:tr>
      <w:tr>
        <w:tc>
          <w:tcPr>
            <w:tcW w:type="dxa" w:w="140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b/>
                <w:bCs/>
                <w:color w:val="1E2761"/>
                <w:sz w:val="20"/>
                <w:szCs w:val="20"/>
              </w:rPr>
              <w:t xml:space="preserve">Closed Won</w:t>
            </w:r>
          </w:p>
        </w:tc>
        <w:tc>
          <w:tcPr>
            <w:tcW w:type="dxa" w:w="16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Days 12–14</w:t>
            </w:r>
          </w:p>
        </w:tc>
        <w:tc>
          <w:tcPr>
            <w:tcW w:type="dxa" w:w="3200"/>
            <w:tcBorders>
              <w:top w:val="single" w:color="CADCFC" w:sz="1"/>
              <w:left w:val="single" w:color="CADCFC" w:sz="1"/>
              <w:bottom w:val="single" w:color="CADCFC" w:sz="1"/>
              <w:right w:val="single" w:color="CADCFC" w:sz="1"/>
            </w:tcBorders>
            <w:shd w:fill="F4F7FF" w:val="clear"/>
            <w:tcMar>
              <w:top w:type="dxa" w:w="80"/>
              <w:left w:type="dxa" w:w="120"/>
              <w:bottom w:type="dxa" w:w="80"/>
              <w:right w:type="dxa" w:w="120"/>
            </w:tcMar>
          </w:tcPr>
          <w:p>
            <w:r>
              <w:rPr>
                <w:rFonts w:ascii="Arial" w:cs="Arial" w:eastAsia="Arial" w:hAnsi="Arial"/>
                <w:color w:val="444444"/>
                <w:sz w:val="19"/>
                <w:szCs w:val="19"/>
              </w:rPr>
              <w:t xml:space="preserve">Onboarding form completed, MSP handoff</w:t>
            </w:r>
          </w:p>
        </w:tc>
        <w:tc>
          <w:tcPr>
            <w:tcW w:type="dxa" w:w="31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Arial" w:cs="Arial" w:eastAsia="Arial" w:hAnsi="Arial"/>
                <w:i/>
                <w:iCs/>
                <w:color w:val="444444"/>
                <w:sz w:val="19"/>
                <w:szCs w:val="19"/>
              </w:rPr>
              <w:t xml:space="preserve">Implementation handoff not completed = churn risk begins at Day 1.</w:t>
            </w:r>
          </w:p>
        </w:tc>
      </w:tr>
    </w:tbl>
    <w:p>
      <w:pPr>
        <w:spacing w:after="0" w:before="120"/>
      </w:pPr>
      <w:r>
        <w:t xml:space="preserve"/>
      </w:r>
    </w:p>
    <w:p>
      <w:pPr>
        <w:pBdr>
          <w:bottom w:val="single" w:color="CADCFC" w:sz="4" w:space="1"/>
        </w:pBdr>
        <w:spacing w:after="160" w:before="160"/>
      </w:pPr>
      <w:r>
        <w:t xml:space="preserve"/>
      </w:r>
    </w:p>
    <w:p>
      <w:pPr>
        <w:pStyle w:val="Heading1"/>
        <w:spacing w:after="120" w:before="360"/>
      </w:pPr>
      <w:r>
        <w:rPr>
          <w:rFonts w:ascii="Arial" w:cs="Arial" w:eastAsia="Arial" w:hAnsi="Arial"/>
          <w:b/>
          <w:bCs/>
          <w:color w:val="1E2761"/>
          <w:sz w:val="32"/>
          <w:szCs w:val="32"/>
        </w:rPr>
        <w:t xml:space="preserve">9. Roadmap</w:t>
      </w:r>
    </w:p>
    <w:p>
      <w:pPr>
        <w:spacing w:after="80" w:before="60"/>
      </w:pPr>
      <w:r>
        <w:rPr>
          <w:rFonts w:ascii="Arial" w:cs="Arial" w:eastAsia="Arial" w:hAnsi="Arial"/>
          <w:color w:val="444444"/>
          <w:sz w:val="22"/>
          <w:szCs w:val="22"/>
        </w:rPr>
        <w:t xml:space="preserve">Prism v2.0 establishes the intelligence foundation. The following capabilities are planned for subsequent phases:</w:t>
      </w:r>
    </w:p>
    <w:p>
      <w:pPr>
        <w:spacing w:after="0" w:before="80"/>
      </w:pPr>
      <w:r>
        <w:t xml:space="preserve"/>
      </w:r>
    </w:p>
    <w:p>
      <w:pPr>
        <w:pStyle w:val="Heading2"/>
        <w:spacing w:after="80" w:before="280"/>
      </w:pPr>
      <w:r>
        <w:rPr>
          <w:rFonts w:ascii="Arial" w:cs="Arial" w:eastAsia="Arial" w:hAnsi="Arial"/>
          <w:b/>
          <w:bCs/>
          <w:color w:val="3B72E8"/>
          <w:sz w:val="26"/>
          <w:szCs w:val="26"/>
        </w:rPr>
        <w:t xml:space="preserve">Phase 2 — Pete's 20 Questions: Q8–Q13</w:t>
      </w:r>
    </w:p>
    <w:p>
      <w:pPr>
        <w:spacing w:after="80" w:before="60"/>
      </w:pPr>
      <w:r>
        <w:rPr>
          <w:rFonts w:ascii="Arial" w:cs="Arial" w:eastAsia="Arial" w:hAnsi="Arial"/>
          <w:color w:val="444444"/>
          <w:sz w:val="22"/>
          <w:szCs w:val="22"/>
        </w:rPr>
        <w:t xml:space="preserve">The second set of seven CRO questions, covering territory performance, ICP fit scoring, expansion pipeline intelligence, and competitive win/loss pattern evolution.</w:t>
      </w:r>
    </w:p>
    <w:p>
      <w:pPr>
        <w:spacing w:after="0" w:before="80"/>
      </w:pPr>
      <w:r>
        <w:t xml:space="preserve"/>
      </w:r>
    </w:p>
    <w:p>
      <w:pPr>
        <w:pStyle w:val="Heading2"/>
        <w:spacing w:after="80" w:before="280"/>
      </w:pPr>
      <w:r>
        <w:rPr>
          <w:rFonts w:ascii="Arial" w:cs="Arial" w:eastAsia="Arial" w:hAnsi="Arial"/>
          <w:b/>
          <w:bCs/>
          <w:color w:val="3B72E8"/>
          <w:sz w:val="26"/>
          <w:szCs w:val="26"/>
        </w:rPr>
        <w:t xml:space="preserve">Phase 3 — Pete's 20 Questions: Q14–Q20</w:t>
      </w:r>
    </w:p>
    <w:p>
      <w:pPr>
        <w:spacing w:after="80" w:before="60"/>
      </w:pPr>
      <w:r>
        <w:rPr>
          <w:rFonts w:ascii="Arial" w:cs="Arial" w:eastAsia="Arial" w:hAnsi="Arial"/>
          <w:color w:val="444444"/>
          <w:sz w:val="22"/>
          <w:szCs w:val="22"/>
        </w:rPr>
        <w:t xml:space="preserve">The final seven questions, covering forecasting model accuracy, leading indicator calibration, and strategic market positioning.</w:t>
      </w:r>
    </w:p>
    <w:p>
      <w:pPr>
        <w:spacing w:after="0" w:before="80"/>
      </w:pPr>
      <w:r>
        <w:t xml:space="preserve"/>
      </w:r>
    </w:p>
    <w:p>
      <w:pPr>
        <w:pStyle w:val="Heading2"/>
        <w:spacing w:after="80" w:before="280"/>
      </w:pPr>
      <w:r>
        <w:rPr>
          <w:rFonts w:ascii="Arial" w:cs="Arial" w:eastAsia="Arial" w:hAnsi="Arial"/>
          <w:b/>
          <w:bCs/>
          <w:color w:val="3B72E8"/>
          <w:sz w:val="26"/>
          <w:szCs w:val="26"/>
        </w:rPr>
        <w:t xml:space="preserve">BigQuery Integration</w:t>
      </w:r>
    </w:p>
    <w:p>
      <w:pPr>
        <w:spacing w:after="80" w:before="60"/>
      </w:pPr>
      <w:r>
        <w:rPr>
          <w:rFonts w:ascii="Arial" w:cs="Arial" w:eastAsia="Arial" w:hAnsi="Arial"/>
          <w:color w:val="444444"/>
          <w:sz w:val="22"/>
          <w:szCs w:val="22"/>
        </w:rPr>
        <w:t xml:space="preserve">Direct connection to Simpro's data warehouse for real-time pipeline analysis without CSV export dependency. The fetchFromBigQuery endpoint is deployed and ready for data team credentials.</w:t>
      </w:r>
    </w:p>
    <w:p>
      <w:pPr>
        <w:spacing w:after="0" w:before="80"/>
      </w:pPr>
      <w:r>
        <w:t xml:space="preserve"/>
      </w:r>
    </w:p>
    <w:p>
      <w:pPr>
        <w:pStyle w:val="Heading2"/>
        <w:spacing w:after="80" w:before="280"/>
      </w:pPr>
      <w:r>
        <w:rPr>
          <w:rFonts w:ascii="Arial" w:cs="Arial" w:eastAsia="Arial" w:hAnsi="Arial"/>
          <w:b/>
          <w:bCs/>
          <w:color w:val="3B72E8"/>
          <w:sz w:val="26"/>
          <w:szCs w:val="26"/>
        </w:rPr>
        <w:t xml:space="preserve">Feedback Loop</w:t>
      </w:r>
    </w:p>
    <w:p>
      <w:pPr>
        <w:spacing w:after="80" w:before="60"/>
      </w:pPr>
      <w:r>
        <w:rPr>
          <w:rFonts w:ascii="Arial" w:cs="Arial" w:eastAsia="Arial" w:hAnsi="Arial"/>
          <w:color w:val="444444"/>
          <w:sz w:val="22"/>
          <w:szCs w:val="22"/>
        </w:rPr>
        <w:t xml:space="preserve">Closed deal outcomes fed back into the prompt system to continuously calibrate health scores, risk signals, and regional benchmarks against actual results. The system improves as it accumulates deal history.</w:t>
      </w:r>
    </w:p>
    <w:p>
      <w:pPr>
        <w:spacing w:after="0" w:before="120"/>
      </w:pPr>
      <w:r>
        <w:t xml:space="preserve"/>
      </w:r>
    </w:p>
    <w:p>
      <w:pPr>
        <w:pBdr>
          <w:bottom w:val="single" w:color="CADCFC" w:sz="4" w:space="1"/>
        </w:pBdr>
        <w:spacing w:after="160" w:before="16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2761" w:val="clear"/>
            <w:tcMar>
              <w:top w:type="dxa" w:w="360"/>
              <w:left w:type="dxa" w:w="480"/>
              <w:bottom w:type="dxa" w:w="360"/>
              <w:right w:type="dxa" w:w="480"/>
            </w:tcMar>
          </w:tcPr>
          <w:p>
            <w:pPr>
              <w:spacing w:after="80" w:before="0"/>
            </w:pPr>
            <w:r>
              <w:rPr>
                <w:rFonts w:ascii="Arial" w:cs="Arial" w:eastAsia="Arial" w:hAnsi="Arial"/>
                <w:b/>
                <w:bCs/>
                <w:color w:val="FFFFFF"/>
                <w:sz w:val="28"/>
                <w:szCs w:val="28"/>
              </w:rPr>
              <w:t xml:space="preserve">Built for the AI-First CRO.</w:t>
            </w:r>
          </w:p>
          <w:p>
            <w:pPr>
              <w:spacing w:after="80" w:before="0"/>
            </w:pPr>
            <w:r>
              <w:rPr>
                <w:rFonts w:ascii="Arial" w:cs="Arial" w:eastAsia="Arial" w:hAnsi="Arial"/>
                <w:i/>
                <w:iCs/>
                <w:color w:val="CADCFC"/>
                <w:sz w:val="22"/>
                <w:szCs w:val="22"/>
              </w:rPr>
              <w:t xml:space="preserve">Not a faster report. A different kind of intelligence.</w:t>
            </w:r>
          </w:p>
          <w:p>
            <w:r>
              <w:rPr>
                <w:rFonts w:ascii="Arial" w:cs="Arial" w:eastAsia="Arial" w:hAnsi="Arial"/>
                <w:color w:val="CADCFC"/>
                <w:sz w:val="20"/>
                <w:szCs w:val="20"/>
              </w:rPr>
              <w:t xml:space="preserve">UK  ·  AU  ·  NZ  ·  North America</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ADCFC" w:sz="4" w:space="1"/>
      </w:pBdr>
      <w:tabs>
        <w:tab w:val="right" w:pos="9026"/>
      </w:tabs>
      <w:spacing w:after="0" w:before="80"/>
    </w:pPr>
    <w:r>
      <w:rPr>
        <w:rFonts w:ascii="Arial" w:cs="Arial" w:eastAsia="Arial" w:hAnsi="Arial"/>
        <w:color w:val="666666"/>
        <w:sz w:val="16"/>
        <w:szCs w:val="16"/>
      </w:rPr>
      <w:t xml:space="preserve">simpro.com</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DCFC" w:sz="4" w:space="1"/>
      </w:pBdr>
      <w:tabs>
        <w:tab w:val="right" w:pos="9026"/>
      </w:tabs>
      <w:spacing w:after="80" w:before="0"/>
    </w:pPr>
    <w:r>
      <w:rPr>
        <w:rFonts w:ascii="Arial" w:cs="Arial" w:eastAsia="Arial" w:hAnsi="Arial"/>
        <w:color w:val="666666"/>
        <w:sz w:val="16"/>
        <w:szCs w:val="16"/>
      </w:rPr>
      <w:t xml:space="preserve">PROJECT PRISM — REVENUE INTELLIGENCE ENGINE</w:t>
    </w:r>
    <w:r>
      <w:rPr>
        <w:rFonts w:ascii="Arial" w:cs="Arial" w:eastAsia="Arial" w:hAnsi="Arial"/>
        <w:sz w:val="16"/>
        <w:szCs w:val="16"/>
      </w:rPr>
      <w:t xml:space="preserve">	</w:t>
    </w:r>
    <w:r>
      <w:rPr>
        <w:rFonts w:ascii="Arial" w:cs="Arial" w:eastAsia="Arial" w:hAnsi="Arial"/>
        <w:color w:val="666666"/>
        <w:sz w:val="16"/>
        <w:szCs w:val="16"/>
      </w:rPr>
      <w:t xml:space="preserve">CONFIDENTIAL — FOR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80" w:before="280"/>
      <w:outlineLvl w:val="1"/>
    </w:pPr>
    <w:rPr>
      <w:rFonts w:ascii="Arial" w:cs="Arial" w:eastAsia="Arial" w:hAnsi="Arial"/>
      <w:b/>
      <w:bCs/>
      <w:color w:val="3B72E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2026-03-06T10:00:40.015Z</dcterms:created>
  <dcterms:modified xsi:type="dcterms:W3CDTF">2026-03-06T10:00:40.015Z</dcterms:modified>
</cp:coreProperties>
</file>

<file path=docProps/custom.xml><?xml version="1.0" encoding="utf-8"?>
<Properties xmlns="http://schemas.openxmlformats.org/officeDocument/2006/custom-properties" xmlns:vt="http://schemas.openxmlformats.org/officeDocument/2006/docPropsVTypes"/>
</file>