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E5B9A"/>
          <w:sz w:val="48"/>
          <w:szCs w:val="48"/>
        </w:rPr>
        <w:t xml:space="preserve">SE Attainment Tracker</w:t>
      </w:r>
    </w:p>
    <w:p>
      <w:pPr>
        <w:spacing w:after="40"/>
      </w:pPr>
      <w:r>
        <w:rPr>
          <w:color w:val="6B7280"/>
          <w:sz w:val="30"/>
          <w:szCs w:val="30"/>
        </w:rPr>
        <w:t xml:space="preserve">User Guide</w:t>
      </w:r>
    </w:p>
    <w:p>
      <w:pPr>
        <w:spacing w:after="40"/>
      </w:pPr>
      <w:r>
        <w:rPr>
          <w:color w:val="6B7280"/>
          <w:sz w:val="22"/>
          <w:szCs w:val="22"/>
        </w:rPr>
        <w:t xml:space="preserve">Simpro Group — Sales Engineering</w:t>
      </w:r>
    </w:p>
    <w:p>
      <w:pPr>
        <w:spacing w:after="240"/>
      </w:pPr>
      <w:r>
        <w:rPr>
          <w:sz w:val="22"/>
          <w:szCs w:val="22"/>
        </w:rPr>
        <w:t xml:space="preserve">App: </w:t>
      </w:r>
      <w:r>
        <w:rPr>
          <w:b/>
          <w:bCs/>
          <w:color w:val="1E5B9A"/>
          <w:sz w:val="22"/>
          <w:szCs w:val="22"/>
        </w:rPr>
        <w:t xml:space="preserve">https://se-quota-tracker.web.app</w:t>
      </w:r>
    </w:p>
    <w:p>
      <w:pPr>
        <w:pBdr>
          <w:bottom w:val="single" w:color="1E5B9A" w:sz="6" w:space="1"/>
        </w:pBdr>
        <w:spacing w:after="240"/>
      </w:pPr>
    </w:p>
    <w:p>
      <w:pPr>
        <w:pStyle w:val="Heading1"/>
      </w:pPr>
      <w:r>
        <w:t xml:space="preserve">1. What this tool is</w:t>
      </w:r>
    </w:p>
    <w:p>
      <w:pPr>
        <w:spacing w:after="120"/>
      </w:pPr>
      <w:r>
        <w:t xml:space="preserve">The SE Attainment Tracker shows each SE team's Closed Won attainment against quota and the estimated commission that results from it. The Closed Won figures come straight from BigQuery (the company data warehouse) and refresh automatically — there is nothing to enter by hand.</w:t>
      </w:r>
    </w:p>
    <w:p>
      <w:pPr>
        <w:spacing w:after="120"/>
      </w:pPr>
      <w:r>
        <w:t xml:space="preserve">There are two views:</w:t>
      </w:r>
    </w:p>
    <w:p>
      <w:pPr>
        <w:pStyle w:val="ListParagraph"/>
        <w:numPr>
          <w:ilvl w:val="0"/>
          <w:numId w:val="2"/>
        </w:numPr>
        <w:spacing w:after="60"/>
      </w:pPr>
      <w:r>
        <w:rPr>
          <w:b/>
          <w:bCs/>
        </w:rPr>
        <w:t xml:space="preserve">My Dashboard</w:t>
      </w:r>
      <w:r>
        <w:t xml:space="preserve"> — your team’s pool, attainment, pay curve, and monthly draws.</w:t>
      </w:r>
    </w:p>
    <w:p>
      <w:pPr>
        <w:pStyle w:val="ListParagraph"/>
        <w:numPr>
          <w:ilvl w:val="0"/>
          <w:numId w:val="2"/>
        </w:numPr>
        <w:spacing w:after="60"/>
      </w:pPr>
      <w:r>
        <w:rPr>
          <w:b/>
          <w:bCs/>
        </w:rPr>
        <w:t xml:space="preserve">Team View</w:t>
      </w:r>
      <w:r>
        <w:t xml:space="preserve"> — (leaders/admins only) every region’s attainment in one place, with drill-down into each region’s AEs and SEs.</w:t>
      </w:r>
    </w:p>
    <w:p>
      <w:pPr>
        <w:pStyle w:val="Heading1"/>
      </w:pPr>
      <w:r>
        <w:t xml:space="preserve">2. Key concepts (read this first)</w:t>
      </w:r>
    </w:p>
    <w:p>
      <w:pPr>
        <w:spacing w:after="120"/>
      </w:pPr>
      <w:r>
        <w:t xml:space="preserve">Understanding these makes every number on screen make sense.</w:t>
      </w:r>
    </w:p>
    <w:p>
      <w:pPr>
        <w:pStyle w:val="ListParagraph"/>
        <w:numPr>
          <w:ilvl w:val="0"/>
          <w:numId w:val="2"/>
        </w:numPr>
        <w:spacing w:after="60"/>
      </w:pPr>
      <w:r>
        <w:rPr>
          <w:b/>
          <w:bCs/>
        </w:rPr>
        <w:t xml:space="preserve">You carry your region’s team number.</w:t>
      </w:r>
      <w:r>
        <w:t xml:space="preserve"> Commission is based on your whole region’s Closed Won versus your region’s quota — not an individual deal list. Every SE in a region shares the same attainment number.</w:t>
      </w:r>
    </w:p>
    <w:p>
      <w:pPr>
        <w:pStyle w:val="ListParagraph"/>
        <w:numPr>
          <w:ilvl w:val="0"/>
          <w:numId w:val="2"/>
        </w:numPr>
        <w:spacing w:after="60"/>
      </w:pPr>
      <w:r>
        <w:rPr>
          <w:b/>
          <w:bCs/>
        </w:rPr>
        <w:t xml:space="preserve">Regions:</w:t>
      </w:r>
      <w:r>
        <w:t xml:space="preserve"> Simpro UK, BigChange, Simpro US, Simpro ANZ, ClockShark. (Australia and New Zealand are combined as “Simpro ANZ”.)</w:t>
      </w:r>
    </w:p>
    <w:p>
      <w:pPr>
        <w:pStyle w:val="ListParagraph"/>
        <w:numPr>
          <w:ilvl w:val="0"/>
          <w:numId w:val="2"/>
        </w:numPr>
        <w:spacing w:after="60"/>
      </w:pPr>
      <w:r>
        <w:rPr>
          <w:b/>
          <w:bCs/>
        </w:rPr>
        <w:t xml:space="preserve">AEs (Account Executives)</w:t>
      </w:r>
      <w:r>
        <w:t xml:space="preserve"> are the deal owners whose Closed Won rolls up into your region’s pool. Their names and numbers come from BigQuery.</w:t>
      </w:r>
    </w:p>
    <w:p>
      <w:pPr>
        <w:pStyle w:val="ListParagraph"/>
        <w:numPr>
          <w:ilvl w:val="0"/>
          <w:numId w:val="2"/>
        </w:numPr>
        <w:spacing w:after="60"/>
      </w:pPr>
      <w:r>
        <w:rPr>
          <w:b/>
          <w:bCs/>
        </w:rPr>
        <w:t xml:space="preserve">Attainment</w:t>
      </w:r>
      <w:r>
        <w:t xml:space="preserve"> = region Closed Won (USD) ÷ region quota.</w:t>
      </w:r>
    </w:p>
    <w:p>
      <w:pPr>
        <w:pStyle w:val="ListParagraph"/>
        <w:numPr>
          <w:ilvl w:val="0"/>
          <w:numId w:val="2"/>
        </w:numPr>
        <w:spacing w:after="60"/>
      </w:pPr>
      <w:r>
        <w:rPr>
          <w:b/>
          <w:bCs/>
        </w:rPr>
        <w:t xml:space="preserve">All amounts are shown in USD.</w:t>
      </w:r>
    </w:p>
    <w:p>
      <w:pPr>
        <w:pStyle w:val="ListParagraph"/>
        <w:numPr>
          <w:ilvl w:val="0"/>
          <w:numId w:val="2"/>
        </w:numPr>
        <w:spacing w:after="60"/>
      </w:pPr>
      <w:r>
        <w:rPr>
          <w:b/>
          <w:bCs/>
        </w:rPr>
        <w:t xml:space="preserve">Commission is paid from the first dollar</w:t>
      </w:r>
      <w:r>
        <w:t xml:space="preserve"> — there is no floor. 25% attainment pays 25% of your OTE.</w:t>
      </w:r>
    </w:p>
    <w:p>
      <w:pPr>
        <w:pStyle w:val="ListParagraph"/>
        <w:numPr>
          <w:ilvl w:val="0"/>
          <w:numId w:val="2"/>
        </w:numPr>
        <w:spacing w:after="60"/>
      </w:pPr>
      <w:r>
        <w:rPr>
          <w:b/>
          <w:bCs/>
        </w:rPr>
        <w:t xml:space="preserve">Commission is capped at 200% of OTE.</w:t>
      </w:r>
      <w:r>
        <w:t xml:space="preserve"> Attainment above 200% does not pay more.</w:t>
      </w:r>
    </w:p>
    <w:p>
      <w:pPr>
        <w:spacing w:after="120"/>
      </w:pPr>
      <w:r>
        <w:rPr>
          <w:b/>
          <w:bCs/>
        </w:rPr>
        <w:t xml:space="preserve">Formula: Commission = (Attainment, capped at 200%) × Quarterly 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Attainment</w:t>
            </w:r>
          </w:p>
        </w:tc>
        <w:tc>
          <w:tcPr>
            <w:tcW w:type="dxa" w:w="62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Commission</w:t>
            </w:r>
          </w:p>
        </w:tc>
      </w:tr>
      <w:tr>
        <w:trPr>
          <w:tblHeader w:val="false"/>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50%</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50% of OTE</w:t>
            </w:r>
          </w:p>
        </w:tc>
      </w:tr>
      <w:tr>
        <w:trPr>
          <w:tblHeader w:val="false"/>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100%</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100% of OTE</w:t>
            </w:r>
          </w:p>
        </w:tc>
      </w:tr>
      <w:tr>
        <w:trPr>
          <w:tblHeader w:val="false"/>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220%</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200% of OTE (capped)</w:t>
            </w:r>
          </w:p>
        </w:tc>
      </w:tr>
    </w:tbl>
    <w:p>
      <w:pPr>
        <w:pStyle w:val="Heading1"/>
      </w:pPr>
      <w:r>
        <w:t xml:space="preserve">3. Getting started</w:t>
      </w:r>
    </w:p>
    <w:p>
      <w:pPr>
        <w:pStyle w:val="Heading2"/>
      </w:pPr>
      <w:r>
        <w:t xml:space="preserve">3.1 Sign in</w:t>
      </w:r>
    </w:p>
    <w:p>
      <w:pPr>
        <w:pStyle w:val="ListParagraph"/>
        <w:numPr>
          <w:ilvl w:val="0"/>
          <w:numId w:val="3"/>
        </w:numPr>
        <w:spacing w:after="60"/>
      </w:pPr>
      <w:r>
        <w:t xml:space="preserve">Go to https://se-quota-tracker.web.app.</w:t>
      </w:r>
    </w:p>
    <w:p>
      <w:pPr>
        <w:pStyle w:val="ListParagraph"/>
        <w:numPr>
          <w:ilvl w:val="0"/>
          <w:numId w:val="3"/>
        </w:numPr>
        <w:spacing w:after="60"/>
      </w:pPr>
      <w:r>
        <w:t xml:space="preserve">Click Sign in with Google.</w:t>
      </w:r>
    </w:p>
    <w:p>
      <w:pPr>
        <w:pStyle w:val="ListParagraph"/>
        <w:numPr>
          <w:ilvl w:val="0"/>
          <w:numId w:val="3"/>
        </w:numPr>
        <w:spacing w:after="60"/>
      </w:pPr>
      <w:r>
        <w:t xml:space="preserve">Choose your work Google account. Access is limited to approved Simpro Group domains. If you see “access restricted”, you’re using a personal account — switch to your work account.</w:t>
      </w:r>
    </w:p>
    <w:p>
      <w:pPr>
        <w:pStyle w:val="Heading2"/>
      </w:pPr>
      <w:r>
        <w:t xml:space="preserve">3.2 First-time setup (onboarding)</w:t>
      </w:r>
    </w:p>
    <w:p>
      <w:pPr>
        <w:spacing w:after="120"/>
      </w:pPr>
      <w:r>
        <w:t xml:space="preserve">The first time you sign in you’ll be asked for a few details:</w:t>
      </w:r>
    </w:p>
    <w:p>
      <w:pPr>
        <w:pStyle w:val="ListParagraph"/>
        <w:numPr>
          <w:ilvl w:val="0"/>
          <w:numId w:val="3"/>
        </w:numPr>
        <w:spacing w:after="60"/>
      </w:pPr>
      <w:r>
        <w:t xml:space="preserve">Your name and Region — pick the region you support.</w:t>
      </w:r>
    </w:p>
    <w:p>
      <w:pPr>
        <w:pStyle w:val="ListParagraph"/>
        <w:numPr>
          <w:ilvl w:val="0"/>
          <w:numId w:val="3"/>
        </w:numPr>
        <w:spacing w:after="60"/>
      </w:pPr>
      <w:r>
        <w:t xml:space="preserve">Annual OTE — your on-target earnings. This drives your commission estimate and stays private to your view.</w:t>
      </w:r>
    </w:p>
    <w:p>
      <w:pPr>
        <w:pStyle w:val="ListParagraph"/>
        <w:numPr>
          <w:ilvl w:val="0"/>
          <w:numId w:val="3"/>
        </w:numPr>
        <w:spacing w:after="60"/>
      </w:pPr>
      <w:r>
        <w:t xml:space="preserve">Quarterly quotas — these are pre-filled; your leader manages the real per-region quotas centrally, so you can accept the defaults.</w:t>
      </w:r>
    </w:p>
    <w:p>
      <w:pPr>
        <w:pStyle w:val="ListParagraph"/>
        <w:numPr>
          <w:ilvl w:val="0"/>
          <w:numId w:val="3"/>
        </w:numPr>
        <w:spacing w:after="60"/>
      </w:pPr>
      <w:r>
        <w:t xml:space="preserve">Click Launch Dashboard.</w:t>
      </w:r>
    </w:p>
    <w:p>
      <w:pPr>
        <w:spacing w:after="120"/>
      </w:pPr>
      <w:r>
        <w:t xml:space="preserve">You only do this once. Next time you sign in, you go straight to your dashboard.</w:t>
      </w:r>
    </w:p>
    <w:p>
      <w:pPr>
        <w:pStyle w:val="Heading1"/>
      </w:pPr>
      <w:r>
        <w:t xml:space="preserve">4. My Dashboard — guided tour</w:t>
      </w:r>
    </w:p>
    <w:p>
      <w:pPr>
        <w:pStyle w:val="Heading2"/>
      </w:pPr>
      <w:r>
        <w:t xml:space="preserve">4.1 The top bar</w:t>
      </w:r>
    </w:p>
    <w:p>
      <w:pPr>
        <w:spacing w:after="120"/>
      </w:pPr>
      <w:r>
        <w:t xml:space="preserve">Across the top you’ll see four summary tiles:</w:t>
      </w:r>
    </w:p>
    <w:p>
      <w:pPr>
        <w:pStyle w:val="ListParagraph"/>
        <w:numPr>
          <w:ilvl w:val="0"/>
          <w:numId w:val="2"/>
        </w:numPr>
        <w:spacing w:after="60"/>
      </w:pPr>
      <w:r>
        <w:rPr>
          <w:b/>
          <w:bCs/>
        </w:rPr>
        <w:t xml:space="preserve">Commission to Quota</w:t>
      </w:r>
      <w:r>
        <w:t xml:space="preserve"> — your attainment percentage, with “$ earned of $ quota” and a progress bar beneath it.</w:t>
      </w:r>
    </w:p>
    <w:p>
      <w:pPr>
        <w:pStyle w:val="ListParagraph"/>
        <w:numPr>
          <w:ilvl w:val="0"/>
          <w:numId w:val="2"/>
        </w:numPr>
        <w:spacing w:after="60"/>
      </w:pPr>
      <w:r>
        <w:rPr>
          <w:b/>
          <w:bCs/>
        </w:rPr>
        <w:t xml:space="preserve">Attainment</w:t>
      </w:r>
      <w:r>
        <w:t xml:space="preserve"> — your estimated commission ($) for the selected quarter, plus a status badge.</w:t>
      </w:r>
    </w:p>
    <w:p>
      <w:pPr>
        <w:pStyle w:val="ListParagraph"/>
        <w:numPr>
          <w:ilvl w:val="0"/>
          <w:numId w:val="2"/>
        </w:numPr>
        <w:spacing w:after="60"/>
      </w:pPr>
      <w:r>
        <w:rPr>
          <w:b/>
          <w:bCs/>
        </w:rPr>
        <w:t xml:space="preserve">Net Topline</w:t>
      </w:r>
      <w:r>
        <w:t xml:space="preserve"> — total Closed Won (USD) in your region’s pool.</w:t>
      </w:r>
    </w:p>
    <w:p>
      <w:pPr>
        <w:pStyle w:val="ListParagraph"/>
        <w:numPr>
          <w:ilvl w:val="0"/>
          <w:numId w:val="2"/>
        </w:numPr>
        <w:spacing w:after="60"/>
      </w:pPr>
      <w:r>
        <w:rPr>
          <w:b/>
          <w:bCs/>
        </w:rPr>
        <w:t xml:space="preserve">Days Remaining</w:t>
      </w:r>
      <w:r>
        <w:t xml:space="preserve"> — days left in the selected quarter.</w:t>
      </w:r>
    </w:p>
    <w:p>
      <w:pPr>
        <w:spacing w:after="120"/>
      </w:pPr>
      <w:r>
        <w:rPr>
          <w:b/>
          <w:bCs/>
        </w:rPr>
        <w:t xml:space="preserve">Status badges: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Badge</w:t>
            </w:r>
          </w:p>
        </w:tc>
        <w:tc>
          <w:tcPr>
            <w:tcW w:type="dxa" w:w="6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Meaning</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Quota Hit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 or above 100% attainment</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On Track</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80%–99% attainment</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Building</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Below 80% (still earning — there is no floor)</w:t>
            </w:r>
          </w:p>
        </w:tc>
      </w:tr>
      <w:tr>
        <w:trPr>
          <w:tblHeader w:val="false"/>
        </w:trP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200%+ Cap</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 or above the 200% cap</w:t>
            </w:r>
          </w:p>
        </w:tc>
      </w:tr>
    </w:tbl>
    <w:p>
      <w:pPr>
        <w:spacing w:after="60"/>
      </w:pPr>
    </w:p>
    <w:p>
      <w:pPr>
        <w:pStyle w:val="Heading2"/>
      </w:pPr>
      <w:r>
        <w:t xml:space="preserve">4.2 Quarter selector</w:t>
      </w:r>
    </w:p>
    <w:p>
      <w:pPr>
        <w:spacing w:after="120"/>
      </w:pPr>
      <w:r>
        <w:t xml:space="preserve">Top-right, next to the view buttons. The dashboard opens on the current quarter automatically. Switch quarters (Q1–Q4 2026) to see other periods. Only quarters that have synced data will show figures.</w:t>
      </w:r>
    </w:p>
    <w:p>
      <w:pPr>
        <w:pStyle w:val="Heading2"/>
      </w:pPr>
      <w:r>
        <w:t xml:space="preserve">4.3 Comp Plan panel (left)</w:t>
      </w:r>
    </w:p>
    <w:p>
      <w:pPr>
        <w:pStyle w:val="ListParagraph"/>
        <w:numPr>
          <w:ilvl w:val="0"/>
          <w:numId w:val="2"/>
        </w:numPr>
        <w:spacing w:after="60"/>
      </w:pPr>
      <w:r>
        <w:rPr>
          <w:b/>
          <w:bCs/>
        </w:rPr>
        <w:t xml:space="preserve">Annual OTE / Quarterly OTE</w:t>
      </w:r>
      <w:r>
        <w:t xml:space="preserve"> — editable; your commission estimate is based on this.</w:t>
      </w:r>
    </w:p>
    <w:p>
      <w:pPr>
        <w:pStyle w:val="ListParagraph"/>
        <w:numPr>
          <w:ilvl w:val="0"/>
          <w:numId w:val="2"/>
        </w:numPr>
        <w:spacing w:after="60"/>
      </w:pPr>
      <w:r>
        <w:rPr>
          <w:b/>
          <w:bCs/>
        </w:rPr>
        <w:t xml:space="preserve">Team / Regional Quota</w:t>
      </w:r>
      <w:r>
        <w:t xml:space="preserve"> — shown for reference (set centrally by your leader).</w:t>
      </w:r>
    </w:p>
    <w:p>
      <w:pPr>
        <w:pStyle w:val="ListParagraph"/>
        <w:numPr>
          <w:ilvl w:val="0"/>
          <w:numId w:val="2"/>
        </w:numPr>
        <w:spacing w:after="60"/>
      </w:pPr>
      <w:r>
        <w:rPr>
          <w:b/>
          <w:bCs/>
        </w:rPr>
        <w:t xml:space="preserve">FX Rate</w:t>
      </w:r>
      <w:r>
        <w:t xml:space="preserve"> — fixed at 1.0 because all figures are already in USD.</w:t>
      </w:r>
    </w:p>
    <w:p>
      <w:pPr>
        <w:pStyle w:val="Heading2"/>
      </w:pPr>
      <w:r>
        <w:t xml:space="preserve">4.4 Quota Progress (centre)</w:t>
      </w:r>
    </w:p>
    <w:p>
      <w:pPr>
        <w:spacing w:after="120"/>
      </w:pPr>
      <w:r>
        <w:t xml:space="preserve">A bar showing how far your region’s revenue is toward 100% of quota, with 80% and 100% markers.</w:t>
      </w:r>
    </w:p>
    <w:p>
      <w:pPr>
        <w:pStyle w:val="Heading2"/>
      </w:pPr>
      <w:r>
        <w:t xml:space="preserve">4.5 AE Revenue Pool (centre)</w:t>
      </w:r>
    </w:p>
    <w:p>
      <w:pPr>
        <w:spacing w:after="120"/>
      </w:pPr>
      <w:r>
        <w:t xml:space="preserve">The list of AEs in your region and their Closed Won (USD), synced from BigQuery. This is read-only — it reflects the actuals in the warehouse. The note at the top shows when it was last synced.</w:t>
      </w:r>
    </w:p>
    <w:p>
      <w:pPr>
        <w:pStyle w:val="Heading2"/>
      </w:pPr>
      <w:r>
        <w:t xml:space="preserve">4.6 Pay Curve (centre)</w:t>
      </w:r>
    </w:p>
    <w:p>
      <w:pPr>
        <w:spacing w:after="120"/>
      </w:pPr>
      <w:r>
        <w:t xml:space="preserve">A chart of commission vs. Closed Won: a straight line from the first dollar up to the 200% cap. The dot marks where your region currently sits.</w:t>
      </w:r>
    </w:p>
    <w:p>
      <w:pPr>
        <w:pStyle w:val="Heading2"/>
      </w:pPr>
      <w:r>
        <w:t xml:space="preserve">4.7 Monthly Draw Breakdown (right)</w:t>
      </w:r>
    </w:p>
    <w:p>
      <w:pPr>
        <w:spacing w:after="120"/>
      </w:pPr>
      <w:r>
        <w:t xml:space="preserve">How commission is paid across the quarter — a draw in each of the three months, with a true-up in the final month that reconciles to the full quarter result.</w:t>
      </w:r>
    </w:p>
    <w:p>
      <w:pPr>
        <w:pStyle w:val="Heading2"/>
      </w:pPr>
      <w:r>
        <w:t xml:space="preserve">4.8 Threshold Calculator (right)</w:t>
      </w:r>
    </w:p>
    <w:p>
      <w:pPr>
        <w:spacing w:after="120"/>
      </w:pPr>
      <w:r>
        <w:t xml:space="preserve">Shows how much more Closed Won is needed to reach key milestones (50%, 80%, 100%) and the commission at each point.</w:t>
      </w:r>
    </w:p>
    <w:p>
      <w:r>
        <w:br w:type="page"/>
      </w:r>
    </w:p>
    <w:p>
      <w:pPr>
        <w:pStyle w:val="Heading1"/>
      </w:pPr>
      <w:r>
        <w:t xml:space="preserve">5. For Leaders &amp; Admins</w:t>
      </w:r>
    </w:p>
    <w:p>
      <w:pPr>
        <w:spacing w:after="120"/>
      </w:pPr>
      <w:r>
        <w:t xml:space="preserve">Admins (SE leadership) have extra controls.</w:t>
      </w:r>
    </w:p>
    <w:p>
      <w:pPr>
        <w:pStyle w:val="Heading2"/>
      </w:pPr>
      <w:r>
        <w:t xml:space="preserve">5.1 Region selector on your dashboard</w:t>
      </w:r>
    </w:p>
    <w:p>
      <w:pPr>
        <w:spacing w:after="120"/>
      </w:pPr>
      <w:r>
        <w:t xml:space="preserve">As an admin you’ll see a region dropdown in the top bar:</w:t>
      </w:r>
    </w:p>
    <w:p>
      <w:pPr>
        <w:pStyle w:val="ListParagraph"/>
        <w:numPr>
          <w:ilvl w:val="0"/>
          <w:numId w:val="2"/>
        </w:numPr>
        <w:spacing w:after="60"/>
      </w:pPr>
      <w:r>
        <w:rPr>
          <w:b/>
          <w:bCs/>
        </w:rPr>
        <w:t xml:space="preserve">All Regions</w:t>
      </w:r>
      <w:r>
        <w:t xml:space="preserve"> (default) — your dashboard shows every region’s AEs grouped together, with global attainment (total Closed Won vs combined quota). The per-SE commission tools are hidden here because they’re region-specific.</w:t>
      </w:r>
    </w:p>
    <w:p>
      <w:pPr>
        <w:pStyle w:val="ListParagraph"/>
        <w:numPr>
          <w:ilvl w:val="0"/>
          <w:numId w:val="2"/>
        </w:numPr>
        <w:spacing w:after="60"/>
      </w:pPr>
      <w:r>
        <w:rPr>
          <w:b/>
          <w:bCs/>
        </w:rPr>
        <w:t xml:space="preserve">A single region</w:t>
      </w:r>
      <w:r>
        <w:t xml:space="preserve"> (e.g. BigChange) — shows that region’s full detail: its AE pool, attainment, pay curve, and draws.</w:t>
      </w:r>
    </w:p>
    <w:p>
      <w:pPr>
        <w:pStyle w:val="Heading2"/>
      </w:pPr>
      <w:r>
        <w:t xml:space="preserve">5.2 Team View</w:t>
      </w:r>
    </w:p>
    <w:p>
      <w:pPr>
        <w:spacing w:after="120"/>
      </w:pPr>
      <w:r>
        <w:t xml:space="preserve">Click Team View in the top bar. You’ll see a card for every region with attainment %, progress bar, Closed Won / quota, and the number of AEs and SEs.</w:t>
      </w:r>
    </w:p>
    <w:p>
      <w:pPr>
        <w:spacing w:after="120"/>
      </w:pPr>
      <w:r>
        <w:t xml:space="preserve">Click any region card to drill in and see:</w:t>
      </w:r>
    </w:p>
    <w:p>
      <w:pPr>
        <w:pStyle w:val="ListParagraph"/>
        <w:numPr>
          <w:ilvl w:val="0"/>
          <w:numId w:val="2"/>
        </w:numPr>
        <w:spacing w:after="60"/>
      </w:pPr>
      <w:r>
        <w:t xml:space="preserve">Region KPIs — attainment, Closed Won, quota, gap to quota, gap to 200% cap.</w:t>
      </w:r>
    </w:p>
    <w:p>
      <w:pPr>
        <w:pStyle w:val="ListParagraph"/>
        <w:numPr>
          <w:ilvl w:val="0"/>
          <w:numId w:val="2"/>
        </w:numPr>
        <w:spacing w:after="60"/>
      </w:pPr>
      <w:r>
        <w:t xml:space="preserve">Sales Engineers assigned to the region, each with their estimated commission (once OTEs are entered).</w:t>
      </w:r>
    </w:p>
    <w:p>
      <w:pPr>
        <w:pStyle w:val="ListParagraph"/>
        <w:numPr>
          <w:ilvl w:val="0"/>
          <w:numId w:val="2"/>
        </w:numPr>
        <w:spacing w:after="60"/>
      </w:pPr>
      <w:r>
        <w:t xml:space="preserve">AE Closed Won — the full list of AEs and their contribution, from BigQuery.</w:t>
      </w:r>
    </w:p>
    <w:p>
      <w:pPr>
        <w:pStyle w:val="Heading2"/>
      </w:pPr>
      <w:r>
        <w:t xml:space="preserve">5.3 Setting regional quotas</w:t>
      </w:r>
    </w:p>
    <w:p>
      <w:pPr>
        <w:spacing w:after="120"/>
      </w:pPr>
      <w:r>
        <w:t xml:space="preserve">At the top of the Team View is the Regional Quotas editor. For each region, enter the quarterly quota (USD) and click Save. Attainment everywhere recalculates immediately. Until you set them, regions use a default placeholder quota.</w:t>
      </w:r>
    </w:p>
    <w:p>
      <w:pPr>
        <w:pStyle w:val="Heading2"/>
      </w:pPr>
      <w:r>
        <w:t xml:space="preserve">5.4 Refreshing the data</w:t>
      </w:r>
    </w:p>
    <w:p>
      <w:pPr>
        <w:pStyle w:val="ListParagraph"/>
        <w:numPr>
          <w:ilvl w:val="0"/>
          <w:numId w:val="2"/>
        </w:numPr>
        <w:spacing w:after="60"/>
      </w:pPr>
      <w:r>
        <w:t xml:space="preserve">Data refreshes automatically every night.</w:t>
      </w:r>
    </w:p>
    <w:p>
      <w:pPr>
        <w:pStyle w:val="ListParagraph"/>
        <w:numPr>
          <w:ilvl w:val="0"/>
          <w:numId w:val="2"/>
        </w:numPr>
        <w:spacing w:after="60"/>
      </w:pPr>
      <w:r>
        <w:t xml:space="preserve">To pull the latest immediately, click Sync Now (top-left, admins only). The “Synced …” note shows the last refresh time.</w:t>
      </w:r>
    </w:p>
    <w:p>
      <w:pPr>
        <w:pStyle w:val="ListParagraph"/>
        <w:numPr>
          <w:ilvl w:val="0"/>
          <w:numId w:val="2"/>
        </w:numPr>
        <w:spacing w:after="60"/>
      </w:pPr>
      <w:r>
        <w:t xml:space="preserve">The BQ Sync panel in the Team View shows the last run and which regions were updated.</w:t>
      </w:r>
    </w:p>
    <w:p>
      <w:pPr>
        <w:pStyle w:val="Heading1"/>
      </w:pPr>
      <w:r>
        <w:t xml:space="preserve">6. Where the data comes from</w:t>
      </w:r>
    </w:p>
    <w:p>
      <w:pPr>
        <w:pStyle w:val="ListParagraph"/>
        <w:numPr>
          <w:ilvl w:val="0"/>
          <w:numId w:val="2"/>
        </w:numPr>
        <w:spacing w:after="60"/>
      </w:pPr>
      <w:r>
        <w:t xml:space="preserve">Closed Won actuals come from BigQuery (group_sales_opportunity), matched to each region by the AE (deal owner).</w:t>
      </w:r>
    </w:p>
    <w:p>
      <w:pPr>
        <w:pStyle w:val="ListParagraph"/>
        <w:numPr>
          <w:ilvl w:val="0"/>
          <w:numId w:val="2"/>
        </w:numPr>
        <w:spacing w:after="60"/>
      </w:pPr>
      <w:r>
        <w:t xml:space="preserve">A scheduled job refreshes the figures once a day; admins can also trigger Sync Now.</w:t>
      </w:r>
    </w:p>
    <w:p>
      <w:pPr>
        <w:pStyle w:val="ListParagraph"/>
        <w:numPr>
          <w:ilvl w:val="0"/>
          <w:numId w:val="2"/>
        </w:numPr>
        <w:spacing w:after="60"/>
      </w:pPr>
      <w:r>
        <w:t xml:space="preserve">The tool reads this data only — it never writes back to the warehouse.</w:t>
      </w:r>
    </w:p>
    <w:p>
      <w:pPr>
        <w:pStyle w:val="Heading1"/>
      </w:pPr>
      <w:r>
        <w:t xml:space="preserve">7. FAQ &amp;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tblHeader/>
        </w:trPr>
        <w:tc>
          <w:tcPr>
            <w:tcW w:type="dxa" w:w="3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w:t>
            </w:r>
          </w:p>
        </w:tc>
        <w:tc>
          <w:tcPr>
            <w:tcW w:type="dxa" w:w="56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Answer</w:t>
            </w:r>
          </w:p>
        </w:tc>
      </w:tr>
      <w:tr>
        <w:trPr>
          <w:tblHeader w:val="false"/>
        </w:trPr>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 can’t sign in / “access restricted.”</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You’re likely using a personal Google account. Sign out and use your Simpro Group work account.</w:t>
            </w:r>
          </w:p>
        </w:tc>
      </w:tr>
      <w:tr>
        <w:trPr>
          <w:tblHeader w:val="false"/>
        </w:trPr>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My AE pool looks empty.</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the quarter selector — only the current quarter has data. Make sure it’s set to the live quarter.</w:t>
            </w:r>
          </w:p>
        </w:tc>
      </w:tr>
      <w:tr>
        <w:trPr>
          <w:tblHeader w:val="false"/>
        </w:trPr>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numbers look stale.</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Admins: click Sync Now. Otherwise the data refreshes overnight.</w:t>
            </w:r>
          </w:p>
        </w:tc>
      </w:tr>
      <w:tr>
        <w:trPr>
          <w:tblHeader w:val="false"/>
        </w:trPr>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My attainment % seems off.</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Attainment uses your region’s quota. If it hasn’t been set it uses a placeholder — ask your leader to set the real regional quota in the Team View.</w:t>
            </w:r>
          </w:p>
        </w:tc>
      </w:tr>
      <w:tr>
        <w:trPr>
          <w:tblHeader w:val="false"/>
        </w:trPr>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Commission shows “—” for SEs in the Team View.</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That SE doesn’t have an OTE entered yet. Commission estimates appear once OTEs are added.</w:t>
            </w:r>
          </w:p>
        </w:tc>
      </w:tr>
      <w:tr>
        <w:trPr>
          <w:tblHeader w:val="false"/>
        </w:trPr>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 changed my OTE — is that saved?</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Yes, your OTE saves automatically to your profile.</w:t>
            </w:r>
          </w:p>
        </w:tc>
      </w:tr>
    </w:tbl>
    <w:p>
      <w:pPr>
        <w:pStyle w:val="Heading1"/>
      </w:pPr>
      <w: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Term</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Definition</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Account Executive (deal owner). Their Closed Won rolls up into a region pool.</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Sales Engineer.</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Closed Won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Revenue from won deals (MRR, in USD).</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On-Target Earnings (your commission target).</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Attainment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Closed Won ÷ quota.</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Quota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region’s revenue target for the quarter.</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Draw</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monthly commission payment within a quarter.</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True-up</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final-month reconciliation to the full quarter result.</w:t>
            </w:r>
          </w:p>
        </w:tc>
      </w:tr>
      <w:tr>
        <w:trPr>
          <w:tblHeader w:val="false"/>
        </w:trP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Cap</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200%-of-OTE maximum on commission.</w:t>
            </w:r>
          </w:p>
        </w:tc>
      </w:tr>
    </w:tbl>
    <w:p>
      <w:pPr>
        <w:spacing w:after="60"/>
      </w:pPr>
    </w:p>
    <w:p>
      <w:r>
        <w:rPr>
          <w:i/>
          <w:iCs/>
          <w:color w:val="6B7280"/>
        </w:rPr>
        <w:t xml:space="preserve">Questions or something not matching what you see? Contact Brad Towers (SE Leadership).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7280"/>
        <w:sz w:val="16"/>
        <w:szCs w:val="16"/>
      </w:rPr>
      <w:t xml:space="preserve">SE Attainment Tracker — User Guide</w:t>
    </w:r>
    <w:r>
      <w:rPr>
        <w:color w:val="6B7280"/>
        <w:sz w:val="16"/>
        <w:szCs w:val="16"/>
      </w:rPr>
      <w:t xml:space="preserve">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E5B9A"/>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3333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2026-06-19T13:31:35.228Z</dcterms:created>
  <dcterms:modified xsi:type="dcterms:W3CDTF">2026-06-19T13:31:35.228Z</dcterms:modified>
</cp:coreProperties>
</file>

<file path=docProps/custom.xml><?xml version="1.0" encoding="utf-8"?>
<Properties xmlns="http://schemas.openxmlformats.org/officeDocument/2006/custom-properties" xmlns:vt="http://schemas.openxmlformats.org/officeDocument/2006/docPropsVTypes"/>
</file>