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Progetto</w:t>
      </w:r>
    </w:p>
    <w:p w14:paraId="71440EED" w14:textId="3A30D41E" w:rsidR="006116EA" w:rsidRDefault="006116EA" w:rsidP="006116EA">
      <w:pPr>
        <w:pStyle w:val="Title"/>
        <w:jc w:val="center"/>
        <w:rPr>
          <w:lang w:val="it-IT"/>
        </w:rPr>
      </w:pPr>
      <w:r>
        <w:rPr>
          <w:lang w:val="it-IT"/>
        </w:rPr>
        <w:t>“SIPO — Sistema Informativo dei Servizi alla Persona”</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Identità, profilazione e integrazione con IAM</w:t>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14:paraId="01764D28" w14:textId="77777777" w:rsidR="002A1555" w:rsidRPr="00F02C31" w:rsidRDefault="002A1555" w:rsidP="00F02C31">
            <w:pPr>
              <w:spacing w:before="60" w:after="60"/>
              <w:jc w:val="center"/>
              <w:rPr>
                <w:rFonts w:cstheme="minorHAnsi"/>
                <w:b/>
                <w:color w:val="FFFFFF" w:themeColor="background1"/>
                <w:sz w:val="20"/>
                <w:szCs w:val="20"/>
              </w:rPr>
            </w:pP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2727731A" w14:textId="77777777" w:rsidR="008D7035" w:rsidRPr="00F02C31" w:rsidRDefault="008D7035" w:rsidP="00F02C31">
            <w:pPr>
              <w:spacing w:before="60" w:after="60"/>
              <w:jc w:val="center"/>
              <w:rPr>
                <w:rFonts w:cstheme="minorHAnsi"/>
                <w:b/>
                <w:color w:val="FFFFFF" w:themeColor="background1"/>
                <w:sz w:val="20"/>
                <w:szCs w:val="20"/>
              </w:rPr>
            </w:pP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549DB84A" w14:textId="77777777" w:rsidR="00324BBC" w:rsidRPr="00F02C31" w:rsidRDefault="00324BBC" w:rsidP="00F02C31">
            <w:pPr>
              <w:spacing w:before="60" w:after="60"/>
              <w:jc w:val="center"/>
              <w:rPr>
                <w:rFonts w:cstheme="minorHAnsi"/>
                <w:b/>
                <w:color w:val="FFFFFF" w:themeColor="background1"/>
                <w:sz w:val="20"/>
                <w:szCs w:val="20"/>
              </w:rPr>
            </w:pP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14:paraId="72A456C4" w14:textId="77777777" w:rsidR="00DA1BEF" w:rsidRPr="00F02C31" w:rsidRDefault="00DA1BEF" w:rsidP="00F02C31">
            <w:pPr>
              <w:spacing w:before="60" w:after="60"/>
              <w:jc w:val="center"/>
              <w:rPr>
                <w:rFonts w:cstheme="minorHAnsi"/>
                <w:b/>
                <w:color w:val="FFFFFF" w:themeColor="background1"/>
                <w:sz w:val="20"/>
                <w:szCs w:val="20"/>
              </w:rPr>
            </w:pP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10CC4FFD" w14:textId="77777777" w:rsidR="00DA1BEF" w:rsidRPr="00F02C31" w:rsidRDefault="00DA1BEF" w:rsidP="00F02C31">
            <w:pPr>
              <w:spacing w:before="60" w:after="60"/>
              <w:jc w:val="center"/>
              <w:rPr>
                <w:rFonts w:cstheme="minorHAnsi"/>
                <w:b/>
                <w:color w:val="FFFFFF" w:themeColor="background1"/>
                <w:sz w:val="20"/>
                <w:szCs w:val="20"/>
              </w:rPr>
            </w:pP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425FD443" w14:textId="3E2781EA" w:rsidR="004B6070" w:rsidRPr="00F02C31" w:rsidRDefault="004B6070" w:rsidP="00F02C31">
            <w:pPr>
              <w:spacing w:before="60" w:after="60"/>
              <w:jc w:val="center"/>
              <w:rPr>
                <w:rFonts w:cstheme="minorHAnsi"/>
                <w:b/>
                <w:color w:val="FFFFFF" w:themeColor="background1"/>
                <w:sz w:val="20"/>
                <w:szCs w:val="20"/>
              </w:rPr>
            </w:pPr>
            <w:r>
              <w:t>SIPO — Identità e profilazione</w:t>
            </w: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14:paraId="70F6FC4E" w14:textId="77777777" w:rsidR="0025049A" w:rsidRPr="00F02C31" w:rsidRDefault="0025049A" w:rsidP="00F02C31">
            <w:pPr>
              <w:spacing w:before="60" w:after="60"/>
              <w:jc w:val="center"/>
              <w:rPr>
                <w:rFonts w:cstheme="minorHAnsi"/>
                <w:b/>
                <w:color w:val="FFFFFF" w:themeColor="background1"/>
                <w:sz w:val="20"/>
                <w:szCs w:val="20"/>
              </w:rPr>
            </w:pPr>
            <w:r>
              <w:t>02/10/2026</w:t>
            </w: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14:paraId="391AB004" w14:textId="2AF45F79" w:rsidR="0025049A" w:rsidRPr="00F02C31" w:rsidRDefault="0025049A" w:rsidP="00F02C31">
            <w:pPr>
              <w:spacing w:before="60" w:after="60"/>
              <w:jc w:val="center"/>
              <w:rPr>
                <w:rFonts w:cstheme="minorHAnsi"/>
                <w:b/>
                <w:color w:val="FFFFFF" w:themeColor="background1"/>
                <w:sz w:val="20"/>
                <w:szCs w:val="20"/>
              </w:rPr>
            </w:pPr>
            <w:r>
              <w:t>0.1</w:t>
            </w: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14:paraId="41EA3B3F" w14:textId="6C486E9E" w:rsidR="004B6070" w:rsidRPr="00F02C31" w:rsidRDefault="004B6070" w:rsidP="00F02C31">
            <w:pPr>
              <w:spacing w:before="60" w:after="60"/>
              <w:jc w:val="center"/>
              <w:rPr>
                <w:rFonts w:cstheme="minorHAnsi"/>
                <w:b/>
                <w:color w:val="FFFFFF" w:themeColor="background1"/>
                <w:sz w:val="20"/>
                <w:szCs w:val="20"/>
              </w:rPr>
            </w:pPr>
            <w:r>
              <w:t>ANALISI_Identita-Profilazione-IAM_v0.1</w:t>
            </w: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14:paraId="0E32B42E" w14:textId="77777777" w:rsidR="0025049A" w:rsidRPr="00F02C31" w:rsidRDefault="0025049A" w:rsidP="00F02C31">
            <w:pPr>
              <w:spacing w:before="60" w:after="60"/>
              <w:jc w:val="center"/>
              <w:rPr>
                <w:rFonts w:cstheme="minorHAnsi"/>
                <w:b/>
                <w:color w:val="FFFFFF" w:themeColor="background1"/>
                <w:sz w:val="20"/>
                <w:szCs w:val="20"/>
              </w:rPr>
            </w:pP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14:paraId="00E20F7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14:paraId="61BEFC58" w14:textId="77777777"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02/10/2026</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0.1</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Tutti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Prima stesura. Accorpa la ricognizione sui sorgenti dell’intero perimetro, l’analisi sul campione Decessi e l’analisi di integrazione con l’IAM dell’ente. Le tre ricognizioni concordano su tutti i punti d’impianto; le tre divergenze sono state verificate sui sorgenti e risolte. Registro unico di ventinove rilievi con la corrispondenza alle fonti, sei decisioni istruite con raccomandazione, raccordo fra i rilievi e ciò che l’integrazione chiude, piano per fasi e sedici punti aperti. Sostituisce ASIS_Autenticazione-Profilazione_SIPO_v0.2, che resta agli atti come versione storica.</w:t>
            </w: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14:paraId="4B3AA062" w14:textId="240046AA" w:rsidR="00BD3F39" w:rsidRDefault="03A4E128">
          <w:pPr>
            <w:pStyle w:val="TOC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25282841" w:history="1">
            <w:r w:rsidR="00BD3F39" w:rsidRPr="00B5309A">
              <w:rPr>
                <w:rStyle w:val="Hyperlink"/>
                <w:noProof/>
                <w:lang w:val="it-IT"/>
              </w:rPr>
              <w:t>1.</w:t>
            </w:r>
            <w:r w:rsidR="00BD3F39">
              <w:rPr>
                <w:rFonts w:eastAsiaTheme="minorEastAsia"/>
                <w:noProof/>
                <w:lang w:val="it-IT" w:eastAsia="it-IT"/>
              </w:rPr>
              <w:tab/>
            </w:r>
            <w:r w:rsidR="00BD3F39" w:rsidRPr="00B5309A">
              <w:rPr>
                <w:rStyle w:val="Hyperlink"/>
                <w:noProof/>
                <w:lang w:val="it-IT"/>
              </w:rPr>
              <w:t>Scopo del documento</w:t>
            </w:r>
            <w:r w:rsidR="00BD3F39">
              <w:rPr>
                <w:noProof/>
                <w:webHidden/>
              </w:rPr>
              <w:tab/>
            </w:r>
            <w:r w:rsidR="00BD3F39">
              <w:rPr>
                <w:noProof/>
                <w:webHidden/>
              </w:rPr>
              <w:fldChar w:fldCharType="begin"/>
            </w:r>
            <w:r w:rsidR="00BD3F39">
              <w:rPr>
                <w:noProof/>
                <w:webHidden/>
              </w:rPr>
              <w:instrText xml:space="preserve"> PAGEREF _Toc225282841 \h </w:instrText>
            </w:r>
            <w:r w:rsidR="00BD3F39">
              <w:rPr>
                <w:noProof/>
                <w:webHidden/>
              </w:rPr>
            </w:r>
            <w:r w:rsidR="00BD3F39">
              <w:rPr>
                <w:noProof/>
                <w:webHidden/>
              </w:rPr>
              <w:fldChar w:fldCharType="separate"/>
            </w:r>
            <w:r w:rsidR="00BD3F39">
              <w:rPr>
                <w:noProof/>
                <w:webHidden/>
              </w:rPr>
              <w:t>6</w:t>
            </w:r>
            <w:r w:rsidR="00BD3F39">
              <w:rPr>
                <w:noProof/>
                <w:webHidden/>
              </w:rPr>
              <w:fldChar w:fldCharType="end"/>
            </w:r>
          </w:hyperlink>
        </w:p>
        <w:p w14:paraId="2327AD0A" w14:textId="58BFEDD7" w:rsidR="00BD3F39" w:rsidRDefault="00BD3F39">
          <w:pPr>
            <w:pStyle w:val="TOC2"/>
            <w:tabs>
              <w:tab w:val="left" w:pos="960"/>
              <w:tab w:val="right" w:leader="dot" w:pos="9350"/>
            </w:tabs>
            <w:rPr>
              <w:rFonts w:eastAsiaTheme="minorEastAsia"/>
              <w:noProof/>
              <w:lang w:val="it-IT" w:eastAsia="it-IT"/>
            </w:rPr>
          </w:pPr>
          <w:hyperlink w:anchor="_Toc225282842" w:history="1">
            <w:r w:rsidRPr="00B5309A">
              <w:rPr>
                <w:rStyle w:val="Hyperlink"/>
                <w:noProof/>
                <w:lang w:val="it-IT"/>
              </w:rPr>
              <w:t>1.1.</w:t>
            </w:r>
            <w:r>
              <w:rPr>
                <w:rFonts w:eastAsiaTheme="minorEastAsia"/>
                <w:noProof/>
                <w:lang w:val="it-IT" w:eastAsia="it-IT"/>
              </w:rPr>
              <w:tab/>
            </w:r>
            <w:r w:rsidRPr="00B5309A">
              <w:rPr>
                <w:rStyle w:val="Hyperlink"/>
                <w:noProof/>
                <w:lang w:val="it-IT"/>
              </w:rPr>
              <w:t>Glossario</w:t>
            </w:r>
            <w:r>
              <w:rPr>
                <w:noProof/>
                <w:webHidden/>
              </w:rPr>
              <w:tab/>
            </w:r>
            <w:r>
              <w:rPr>
                <w:noProof/>
                <w:webHidden/>
              </w:rPr>
              <w:fldChar w:fldCharType="begin"/>
            </w:r>
            <w:r>
              <w:rPr>
                <w:noProof/>
                <w:webHidden/>
              </w:rPr>
              <w:instrText xml:space="preserve"> PAGEREF _Toc225282842 \h </w:instrText>
            </w:r>
            <w:r>
              <w:rPr>
                <w:noProof/>
                <w:webHidden/>
              </w:rPr>
            </w:r>
            <w:r>
              <w:rPr>
                <w:noProof/>
                <w:webHidden/>
              </w:rPr>
              <w:fldChar w:fldCharType="separate"/>
            </w:r>
            <w:r>
              <w:rPr>
                <w:noProof/>
                <w:webHidden/>
              </w:rPr>
              <w:t>6</w:t>
            </w:r>
            <w:r>
              <w:rPr>
                <w:noProof/>
                <w:webHidden/>
              </w:rPr>
              <w:fldChar w:fldCharType="end"/>
            </w:r>
          </w:hyperlink>
        </w:p>
        <w:p w14:paraId="44261F84" w14:textId="622FF003" w:rsidR="00BD3F39" w:rsidRDefault="00BD3F39">
          <w:pPr>
            <w:pStyle w:val="TOC2"/>
            <w:tabs>
              <w:tab w:val="left" w:pos="960"/>
              <w:tab w:val="right" w:leader="dot" w:pos="9350"/>
            </w:tabs>
            <w:rPr>
              <w:rFonts w:eastAsiaTheme="minorEastAsia"/>
              <w:noProof/>
              <w:lang w:val="it-IT" w:eastAsia="it-IT"/>
            </w:rPr>
          </w:pPr>
          <w:hyperlink w:anchor="_Toc225282843" w:history="1">
            <w:r w:rsidRPr="00B5309A">
              <w:rPr>
                <w:rStyle w:val="Hyperlink"/>
                <w:noProof/>
                <w:lang w:val="it-IT"/>
              </w:rPr>
              <w:t>1.2.</w:t>
            </w:r>
            <w:r>
              <w:rPr>
                <w:rFonts w:eastAsiaTheme="minorEastAsia"/>
                <w:noProof/>
                <w:lang w:val="it-IT" w:eastAsia="it-IT"/>
              </w:rPr>
              <w:tab/>
            </w:r>
            <w:r w:rsidRPr="00B5309A">
              <w:rPr>
                <w:rStyle w:val="Hyperlink"/>
                <w:noProof/>
                <w:lang w:val="it-IT"/>
              </w:rPr>
              <w:t>Riferimenti</w:t>
            </w:r>
            <w:r>
              <w:rPr>
                <w:noProof/>
                <w:webHidden/>
              </w:rPr>
              <w:tab/>
            </w:r>
            <w:r>
              <w:rPr>
                <w:noProof/>
                <w:webHidden/>
              </w:rPr>
              <w:fldChar w:fldCharType="begin"/>
            </w:r>
            <w:r>
              <w:rPr>
                <w:noProof/>
                <w:webHidden/>
              </w:rPr>
              <w:instrText xml:space="preserve"> PAGEREF _Toc225282843 \h </w:instrText>
            </w:r>
            <w:r>
              <w:rPr>
                <w:noProof/>
                <w:webHidden/>
              </w:rPr>
            </w:r>
            <w:r>
              <w:rPr>
                <w:noProof/>
                <w:webHidden/>
              </w:rPr>
              <w:fldChar w:fldCharType="separate"/>
            </w:r>
            <w:r>
              <w:rPr>
                <w:noProof/>
                <w:webHidden/>
              </w:rPr>
              <w:t>6</w:t>
            </w:r>
            <w:r>
              <w:rPr>
                <w:noProof/>
                <w:webHidden/>
              </w:rPr>
              <w:fldChar w:fldCharType="end"/>
            </w:r>
          </w:hyperlink>
        </w:p>
        <w:p w14:paraId="0593DE5A" w14:textId="74CD005F" w:rsidR="00BD3F39" w:rsidRDefault="00BD3F39">
          <w:pPr>
            <w:pStyle w:val="TOC1"/>
            <w:tabs>
              <w:tab w:val="left" w:pos="480"/>
              <w:tab w:val="right" w:leader="dot" w:pos="9350"/>
            </w:tabs>
            <w:rPr>
              <w:rFonts w:eastAsiaTheme="minorEastAsia"/>
              <w:noProof/>
              <w:lang w:val="it-IT" w:eastAsia="it-IT"/>
            </w:rPr>
          </w:pPr>
          <w:hyperlink w:anchor="_Toc225282844" w:history="1">
            <w:r w:rsidRPr="00B5309A">
              <w:rPr>
                <w:rStyle w:val="Hyperlink"/>
                <w:noProof/>
                <w:lang w:val="it-IT"/>
              </w:rPr>
              <w:t>2.</w:t>
            </w:r>
            <w:r>
              <w:rPr>
                <w:rFonts w:eastAsiaTheme="minorEastAsia"/>
                <w:noProof/>
                <w:lang w:val="it-IT" w:eastAsia="it-IT"/>
              </w:rPr>
              <w:tab/>
            </w:r>
            <w:r w:rsidRPr="00B5309A">
              <w:rPr>
                <w:rStyle w:val="Hyperlink"/>
                <w:noProof/>
                <w:lang w:val="it-IT"/>
              </w:rPr>
              <w:t>Contesto di riferimento della Soluzione</w:t>
            </w:r>
            <w:r>
              <w:rPr>
                <w:noProof/>
                <w:webHidden/>
              </w:rPr>
              <w:tab/>
            </w:r>
            <w:r>
              <w:rPr>
                <w:noProof/>
                <w:webHidden/>
              </w:rPr>
              <w:fldChar w:fldCharType="begin"/>
            </w:r>
            <w:r>
              <w:rPr>
                <w:noProof/>
                <w:webHidden/>
              </w:rPr>
              <w:instrText xml:space="preserve"> PAGEREF _Toc225282844 \h </w:instrText>
            </w:r>
            <w:r>
              <w:rPr>
                <w:noProof/>
                <w:webHidden/>
              </w:rPr>
            </w:r>
            <w:r>
              <w:rPr>
                <w:noProof/>
                <w:webHidden/>
              </w:rPr>
              <w:fldChar w:fldCharType="separate"/>
            </w:r>
            <w:r>
              <w:rPr>
                <w:noProof/>
                <w:webHidden/>
              </w:rPr>
              <w:t>7</w:t>
            </w:r>
            <w:r>
              <w:rPr>
                <w:noProof/>
                <w:webHidden/>
              </w:rPr>
              <w:fldChar w:fldCharType="end"/>
            </w:r>
          </w:hyperlink>
        </w:p>
        <w:p w14:paraId="14C5DC8B" w14:textId="0A49687E" w:rsidR="00BD3F39" w:rsidRDefault="00BD3F39">
          <w:pPr>
            <w:pStyle w:val="TOC1"/>
            <w:tabs>
              <w:tab w:val="left" w:pos="480"/>
              <w:tab w:val="right" w:leader="dot" w:pos="9350"/>
            </w:tabs>
            <w:rPr>
              <w:rFonts w:eastAsiaTheme="minorEastAsia"/>
              <w:noProof/>
              <w:lang w:val="it-IT" w:eastAsia="it-IT"/>
            </w:rPr>
          </w:pPr>
          <w:hyperlink w:anchor="_Toc225282845" w:history="1">
            <w:r w:rsidRPr="00B5309A">
              <w:rPr>
                <w:rStyle w:val="Hyperlink"/>
                <w:noProof/>
                <w:lang w:val="it-IT"/>
              </w:rPr>
              <w:t>3.</w:t>
            </w:r>
            <w:r>
              <w:rPr>
                <w:rFonts w:eastAsiaTheme="minorEastAsia"/>
                <w:noProof/>
                <w:lang w:val="it-IT" w:eastAsia="it-IT"/>
              </w:rPr>
              <w:tab/>
            </w:r>
            <w:r w:rsidRPr="00B5309A">
              <w:rPr>
                <w:rStyle w:val="Hyperlink"/>
                <w:noProof/>
                <w:lang w:val="it-IT"/>
              </w:rPr>
              <w:t>Stakeholder</w:t>
            </w:r>
            <w:r>
              <w:rPr>
                <w:noProof/>
                <w:webHidden/>
              </w:rPr>
              <w:tab/>
            </w:r>
            <w:r>
              <w:rPr>
                <w:noProof/>
                <w:webHidden/>
              </w:rPr>
              <w:fldChar w:fldCharType="begin"/>
            </w:r>
            <w:r>
              <w:rPr>
                <w:noProof/>
                <w:webHidden/>
              </w:rPr>
              <w:instrText xml:space="preserve"> PAGEREF _Toc225282845 \h </w:instrText>
            </w:r>
            <w:r>
              <w:rPr>
                <w:noProof/>
                <w:webHidden/>
              </w:rPr>
            </w:r>
            <w:r>
              <w:rPr>
                <w:noProof/>
                <w:webHidden/>
              </w:rPr>
              <w:fldChar w:fldCharType="separate"/>
            </w:r>
            <w:r>
              <w:rPr>
                <w:noProof/>
                <w:webHidden/>
              </w:rPr>
              <w:t>8</w:t>
            </w:r>
            <w:r>
              <w:rPr>
                <w:noProof/>
                <w:webHidden/>
              </w:rPr>
              <w:fldChar w:fldCharType="end"/>
            </w:r>
          </w:hyperlink>
        </w:p>
        <w:p w14:paraId="05AA7CAB" w14:textId="04DE5D7E" w:rsidR="00BD3F39" w:rsidRDefault="00BD3F39">
          <w:pPr>
            <w:pStyle w:val="TOC2"/>
            <w:tabs>
              <w:tab w:val="left" w:pos="960"/>
              <w:tab w:val="right" w:leader="dot" w:pos="9350"/>
            </w:tabs>
            <w:rPr>
              <w:rFonts w:eastAsiaTheme="minorEastAsia"/>
              <w:noProof/>
              <w:lang w:val="it-IT" w:eastAsia="it-IT"/>
            </w:rPr>
          </w:pPr>
          <w:hyperlink w:anchor="_Toc225282846" w:history="1">
            <w:r w:rsidRPr="00B5309A">
              <w:rPr>
                <w:rStyle w:val="Hyperlink"/>
                <w:noProof/>
                <w:lang w:val="it-IT"/>
              </w:rPr>
              <w:t>3.1.</w:t>
            </w:r>
            <w:r>
              <w:rPr>
                <w:rFonts w:eastAsiaTheme="minorEastAsia"/>
                <w:noProof/>
                <w:lang w:val="it-IT" w:eastAsia="it-IT"/>
              </w:rPr>
              <w:tab/>
            </w:r>
            <w:r w:rsidRPr="00B5309A">
              <w:rPr>
                <w:rStyle w:val="Hyperlink"/>
                <w:noProof/>
                <w:lang w:val="it-IT"/>
              </w:rPr>
              <w:t>Caratteristiche di accesso per utenti interni</w:t>
            </w:r>
            <w:r>
              <w:rPr>
                <w:noProof/>
                <w:webHidden/>
              </w:rPr>
              <w:tab/>
            </w:r>
            <w:r>
              <w:rPr>
                <w:noProof/>
                <w:webHidden/>
              </w:rPr>
              <w:fldChar w:fldCharType="begin"/>
            </w:r>
            <w:r>
              <w:rPr>
                <w:noProof/>
                <w:webHidden/>
              </w:rPr>
              <w:instrText xml:space="preserve"> PAGEREF _Toc225282846 \h </w:instrText>
            </w:r>
            <w:r>
              <w:rPr>
                <w:noProof/>
                <w:webHidden/>
              </w:rPr>
            </w:r>
            <w:r>
              <w:rPr>
                <w:noProof/>
                <w:webHidden/>
              </w:rPr>
              <w:fldChar w:fldCharType="separate"/>
            </w:r>
            <w:r>
              <w:rPr>
                <w:noProof/>
                <w:webHidden/>
              </w:rPr>
              <w:t>8</w:t>
            </w:r>
            <w:r>
              <w:rPr>
                <w:noProof/>
                <w:webHidden/>
              </w:rPr>
              <w:fldChar w:fldCharType="end"/>
            </w:r>
          </w:hyperlink>
        </w:p>
        <w:p w14:paraId="787D5A20" w14:textId="06048DE4" w:rsidR="00BD3F39" w:rsidRDefault="00BD3F39">
          <w:pPr>
            <w:pStyle w:val="TOC2"/>
            <w:tabs>
              <w:tab w:val="left" w:pos="960"/>
              <w:tab w:val="right" w:leader="dot" w:pos="9350"/>
            </w:tabs>
            <w:rPr>
              <w:rFonts w:eastAsiaTheme="minorEastAsia"/>
              <w:noProof/>
              <w:lang w:val="it-IT" w:eastAsia="it-IT"/>
            </w:rPr>
          </w:pPr>
          <w:hyperlink w:anchor="_Toc225282847" w:history="1">
            <w:r w:rsidRPr="00B5309A">
              <w:rPr>
                <w:rStyle w:val="Hyperlink"/>
                <w:noProof/>
                <w:lang w:val="it-IT"/>
              </w:rPr>
              <w:t>3.2.</w:t>
            </w:r>
            <w:r>
              <w:rPr>
                <w:rFonts w:eastAsiaTheme="minorEastAsia"/>
                <w:noProof/>
                <w:lang w:val="it-IT" w:eastAsia="it-IT"/>
              </w:rPr>
              <w:tab/>
            </w:r>
            <w:r w:rsidRPr="00B5309A">
              <w:rPr>
                <w:rStyle w:val="Hyperlink"/>
                <w:noProof/>
                <w:lang w:val="it-IT"/>
              </w:rPr>
              <w:t>Caratteristiche di accesso per utenti esterni</w:t>
            </w:r>
            <w:r>
              <w:rPr>
                <w:noProof/>
                <w:webHidden/>
              </w:rPr>
              <w:tab/>
            </w:r>
            <w:r>
              <w:rPr>
                <w:noProof/>
                <w:webHidden/>
              </w:rPr>
              <w:fldChar w:fldCharType="begin"/>
            </w:r>
            <w:r>
              <w:rPr>
                <w:noProof/>
                <w:webHidden/>
              </w:rPr>
              <w:instrText xml:space="preserve"> PAGEREF _Toc225282847 \h </w:instrText>
            </w:r>
            <w:r>
              <w:rPr>
                <w:noProof/>
                <w:webHidden/>
              </w:rPr>
            </w:r>
            <w:r>
              <w:rPr>
                <w:noProof/>
                <w:webHidden/>
              </w:rPr>
              <w:fldChar w:fldCharType="separate"/>
            </w:r>
            <w:r>
              <w:rPr>
                <w:noProof/>
                <w:webHidden/>
              </w:rPr>
              <w:t>8</w:t>
            </w:r>
            <w:r>
              <w:rPr>
                <w:noProof/>
                <w:webHidden/>
              </w:rPr>
              <w:fldChar w:fldCharType="end"/>
            </w:r>
          </w:hyperlink>
        </w:p>
        <w:p w14:paraId="7BF76BB1" w14:textId="397C9479" w:rsidR="00BD3F39" w:rsidRDefault="00BD3F39">
          <w:pPr>
            <w:pStyle w:val="TOC2"/>
            <w:tabs>
              <w:tab w:val="left" w:pos="960"/>
              <w:tab w:val="right" w:leader="dot" w:pos="9350"/>
            </w:tabs>
            <w:rPr>
              <w:rFonts w:eastAsiaTheme="minorEastAsia"/>
              <w:noProof/>
              <w:lang w:val="it-IT" w:eastAsia="it-IT"/>
            </w:rPr>
          </w:pPr>
          <w:hyperlink w:anchor="_Toc225282848" w:history="1">
            <w:r w:rsidRPr="00B5309A">
              <w:rPr>
                <w:rStyle w:val="Hyperlink"/>
                <w:noProof/>
                <w:lang w:val="it-IT"/>
              </w:rPr>
              <w:t>3.3.</w:t>
            </w:r>
            <w:r>
              <w:rPr>
                <w:rFonts w:eastAsiaTheme="minorEastAsia"/>
                <w:noProof/>
                <w:lang w:val="it-IT" w:eastAsia="it-IT"/>
              </w:rPr>
              <w:tab/>
            </w:r>
            <w:r w:rsidRPr="00B5309A">
              <w:rPr>
                <w:rStyle w:val="Hyperlink"/>
                <w:noProof/>
                <w:lang w:val="it-IT"/>
              </w:rPr>
              <w:t>Criteri di riservatezza delle informazioni</w:t>
            </w:r>
            <w:r>
              <w:rPr>
                <w:noProof/>
                <w:webHidden/>
              </w:rPr>
              <w:tab/>
            </w:r>
            <w:r>
              <w:rPr>
                <w:noProof/>
                <w:webHidden/>
              </w:rPr>
              <w:fldChar w:fldCharType="begin"/>
            </w:r>
            <w:r>
              <w:rPr>
                <w:noProof/>
                <w:webHidden/>
              </w:rPr>
              <w:instrText xml:space="preserve"> PAGEREF _Toc225282848 \h </w:instrText>
            </w:r>
            <w:r>
              <w:rPr>
                <w:noProof/>
                <w:webHidden/>
              </w:rPr>
            </w:r>
            <w:r>
              <w:rPr>
                <w:noProof/>
                <w:webHidden/>
              </w:rPr>
              <w:fldChar w:fldCharType="separate"/>
            </w:r>
            <w:r>
              <w:rPr>
                <w:noProof/>
                <w:webHidden/>
              </w:rPr>
              <w:t>8</w:t>
            </w:r>
            <w:r>
              <w:rPr>
                <w:noProof/>
                <w:webHidden/>
              </w:rPr>
              <w:fldChar w:fldCharType="end"/>
            </w:r>
          </w:hyperlink>
        </w:p>
        <w:p w14:paraId="5DEB5F0F" w14:textId="162D4D82" w:rsidR="00BD3F39" w:rsidRDefault="00BD3F39">
          <w:pPr>
            <w:pStyle w:val="TOC1"/>
            <w:tabs>
              <w:tab w:val="left" w:pos="480"/>
              <w:tab w:val="right" w:leader="dot" w:pos="9350"/>
            </w:tabs>
            <w:rPr>
              <w:rFonts w:eastAsiaTheme="minorEastAsia"/>
              <w:noProof/>
              <w:lang w:val="it-IT" w:eastAsia="it-IT"/>
            </w:rPr>
          </w:pPr>
          <w:hyperlink w:anchor="_Toc225282849" w:history="1">
            <w:r w:rsidRPr="00B5309A">
              <w:rPr>
                <w:rStyle w:val="Hyperlink"/>
                <w:noProof/>
                <w:lang w:val="it-IT"/>
              </w:rPr>
              <w:t>4.</w:t>
            </w:r>
            <w:r>
              <w:rPr>
                <w:rFonts w:eastAsiaTheme="minorEastAsia"/>
                <w:noProof/>
                <w:lang w:val="it-IT" w:eastAsia="it-IT"/>
              </w:rPr>
              <w:tab/>
            </w:r>
            <w:r w:rsidRPr="00B5309A">
              <w:rPr>
                <w:rStyle w:val="Hyperlink"/>
                <w:noProof/>
              </w:rPr>
              <w:t>Ambienti e Strumenti</w:t>
            </w:r>
            <w:r>
              <w:rPr>
                <w:noProof/>
                <w:webHidden/>
              </w:rPr>
              <w:tab/>
            </w:r>
            <w:r>
              <w:rPr>
                <w:noProof/>
                <w:webHidden/>
              </w:rPr>
              <w:fldChar w:fldCharType="begin"/>
            </w:r>
            <w:r>
              <w:rPr>
                <w:noProof/>
                <w:webHidden/>
              </w:rPr>
              <w:instrText xml:space="preserve"> PAGEREF _Toc225282849 \h </w:instrText>
            </w:r>
            <w:r>
              <w:rPr>
                <w:noProof/>
                <w:webHidden/>
              </w:rPr>
            </w:r>
            <w:r>
              <w:rPr>
                <w:noProof/>
                <w:webHidden/>
              </w:rPr>
              <w:fldChar w:fldCharType="separate"/>
            </w:r>
            <w:r>
              <w:rPr>
                <w:noProof/>
                <w:webHidden/>
              </w:rPr>
              <w:t>9</w:t>
            </w:r>
            <w:r>
              <w:rPr>
                <w:noProof/>
                <w:webHidden/>
              </w:rPr>
              <w:fldChar w:fldCharType="end"/>
            </w:r>
          </w:hyperlink>
        </w:p>
        <w:p w14:paraId="29AAA2BC" w14:textId="0E69CFC9" w:rsidR="00BD3F39" w:rsidRDefault="00BD3F39">
          <w:pPr>
            <w:pStyle w:val="TOC2"/>
            <w:tabs>
              <w:tab w:val="left" w:pos="960"/>
              <w:tab w:val="right" w:leader="dot" w:pos="9350"/>
            </w:tabs>
            <w:rPr>
              <w:rFonts w:eastAsiaTheme="minorEastAsia"/>
              <w:noProof/>
              <w:lang w:val="it-IT" w:eastAsia="it-IT"/>
            </w:rPr>
          </w:pPr>
          <w:hyperlink w:anchor="_Toc225282850" w:history="1">
            <w:r w:rsidRPr="00B5309A">
              <w:rPr>
                <w:rStyle w:val="Hyperlink"/>
                <w:noProof/>
                <w:lang w:val="it-IT"/>
              </w:rPr>
              <w:t>4.1.</w:t>
            </w:r>
            <w:r>
              <w:rPr>
                <w:rFonts w:eastAsiaTheme="minorEastAsia"/>
                <w:noProof/>
                <w:lang w:val="it-IT" w:eastAsia="it-IT"/>
              </w:rPr>
              <w:tab/>
            </w:r>
            <w:r w:rsidRPr="00B5309A">
              <w:rPr>
                <w:rStyle w:val="Hyperlink"/>
                <w:noProof/>
                <w:lang w:val="it-IT"/>
              </w:rPr>
              <w:t>Database</w:t>
            </w:r>
            <w:r>
              <w:rPr>
                <w:noProof/>
                <w:webHidden/>
              </w:rPr>
              <w:tab/>
            </w:r>
            <w:r>
              <w:rPr>
                <w:noProof/>
                <w:webHidden/>
              </w:rPr>
              <w:fldChar w:fldCharType="begin"/>
            </w:r>
            <w:r>
              <w:rPr>
                <w:noProof/>
                <w:webHidden/>
              </w:rPr>
              <w:instrText xml:space="preserve"> PAGEREF _Toc225282850 \h </w:instrText>
            </w:r>
            <w:r>
              <w:rPr>
                <w:noProof/>
                <w:webHidden/>
              </w:rPr>
            </w:r>
            <w:r>
              <w:rPr>
                <w:noProof/>
                <w:webHidden/>
              </w:rPr>
              <w:fldChar w:fldCharType="separate"/>
            </w:r>
            <w:r>
              <w:rPr>
                <w:noProof/>
                <w:webHidden/>
              </w:rPr>
              <w:t>9</w:t>
            </w:r>
            <w:r>
              <w:rPr>
                <w:noProof/>
                <w:webHidden/>
              </w:rPr>
              <w:fldChar w:fldCharType="end"/>
            </w:r>
          </w:hyperlink>
        </w:p>
        <w:p w14:paraId="1231C970" w14:textId="35DA5E23" w:rsidR="00BD3F39" w:rsidRDefault="00BD3F39">
          <w:pPr>
            <w:pStyle w:val="TOC2"/>
            <w:tabs>
              <w:tab w:val="left" w:pos="960"/>
              <w:tab w:val="right" w:leader="dot" w:pos="9350"/>
            </w:tabs>
            <w:rPr>
              <w:rFonts w:eastAsiaTheme="minorEastAsia"/>
              <w:noProof/>
              <w:lang w:val="it-IT" w:eastAsia="it-IT"/>
            </w:rPr>
          </w:pPr>
          <w:hyperlink w:anchor="_Toc225282851" w:history="1">
            <w:r w:rsidRPr="00B5309A">
              <w:rPr>
                <w:rStyle w:val="Hyperlink"/>
                <w:noProof/>
                <w:lang w:val="it-IT"/>
              </w:rPr>
              <w:t>4.2.</w:t>
            </w:r>
            <w:r>
              <w:rPr>
                <w:rFonts w:eastAsiaTheme="minorEastAsia"/>
                <w:noProof/>
                <w:lang w:val="it-IT" w:eastAsia="it-IT"/>
              </w:rPr>
              <w:tab/>
            </w:r>
            <w:r w:rsidRPr="00B5309A">
              <w:rPr>
                <w:rStyle w:val="Hyperlink"/>
                <w:noProof/>
                <w:lang w:val="it-IT"/>
              </w:rPr>
              <w:t>Progetto GitLab</w:t>
            </w:r>
            <w:r>
              <w:rPr>
                <w:noProof/>
                <w:webHidden/>
              </w:rPr>
              <w:tab/>
            </w:r>
            <w:r>
              <w:rPr>
                <w:noProof/>
                <w:webHidden/>
              </w:rPr>
              <w:fldChar w:fldCharType="begin"/>
            </w:r>
            <w:r>
              <w:rPr>
                <w:noProof/>
                <w:webHidden/>
              </w:rPr>
              <w:instrText xml:space="preserve"> PAGEREF _Toc225282851 \h </w:instrText>
            </w:r>
            <w:r>
              <w:rPr>
                <w:noProof/>
                <w:webHidden/>
              </w:rPr>
            </w:r>
            <w:r>
              <w:rPr>
                <w:noProof/>
                <w:webHidden/>
              </w:rPr>
              <w:fldChar w:fldCharType="separate"/>
            </w:r>
            <w:r>
              <w:rPr>
                <w:noProof/>
                <w:webHidden/>
              </w:rPr>
              <w:t>9</w:t>
            </w:r>
            <w:r>
              <w:rPr>
                <w:noProof/>
                <w:webHidden/>
              </w:rPr>
              <w:fldChar w:fldCharType="end"/>
            </w:r>
          </w:hyperlink>
        </w:p>
        <w:p w14:paraId="1B097793" w14:textId="3F0542F4" w:rsidR="00BD3F39" w:rsidRDefault="00BD3F39">
          <w:pPr>
            <w:pStyle w:val="TOC2"/>
            <w:tabs>
              <w:tab w:val="left" w:pos="960"/>
              <w:tab w:val="right" w:leader="dot" w:pos="9350"/>
            </w:tabs>
            <w:rPr>
              <w:rFonts w:eastAsiaTheme="minorEastAsia"/>
              <w:noProof/>
              <w:lang w:val="it-IT" w:eastAsia="it-IT"/>
            </w:rPr>
          </w:pPr>
          <w:hyperlink w:anchor="_Toc225282852" w:history="1">
            <w:r w:rsidRPr="00B5309A">
              <w:rPr>
                <w:rStyle w:val="Hyperlink"/>
                <w:noProof/>
                <w:lang w:val="it-IT"/>
              </w:rPr>
              <w:t>4.3.</w:t>
            </w:r>
            <w:r>
              <w:rPr>
                <w:rFonts w:eastAsiaTheme="minorEastAsia"/>
                <w:noProof/>
                <w:lang w:val="it-IT" w:eastAsia="it-IT"/>
              </w:rPr>
              <w:tab/>
            </w:r>
            <w:r w:rsidRPr="00B5309A">
              <w:rPr>
                <w:rStyle w:val="Hyperlink"/>
                <w:noProof/>
                <w:lang w:val="it-IT"/>
              </w:rPr>
              <w:t>Tecnologie Utilizzate</w:t>
            </w:r>
            <w:r>
              <w:rPr>
                <w:noProof/>
                <w:webHidden/>
              </w:rPr>
              <w:tab/>
            </w:r>
            <w:r>
              <w:rPr>
                <w:noProof/>
                <w:webHidden/>
              </w:rPr>
              <w:fldChar w:fldCharType="begin"/>
            </w:r>
            <w:r>
              <w:rPr>
                <w:noProof/>
                <w:webHidden/>
              </w:rPr>
              <w:instrText xml:space="preserve"> PAGEREF _Toc225282852 \h </w:instrText>
            </w:r>
            <w:r>
              <w:rPr>
                <w:noProof/>
                <w:webHidden/>
              </w:rPr>
            </w:r>
            <w:r>
              <w:rPr>
                <w:noProof/>
                <w:webHidden/>
              </w:rPr>
              <w:fldChar w:fldCharType="separate"/>
            </w:r>
            <w:r>
              <w:rPr>
                <w:noProof/>
                <w:webHidden/>
              </w:rPr>
              <w:t>9</w:t>
            </w:r>
            <w:r>
              <w:rPr>
                <w:noProof/>
                <w:webHidden/>
              </w:rPr>
              <w:fldChar w:fldCharType="end"/>
            </w:r>
          </w:hyperlink>
        </w:p>
        <w:p w14:paraId="553D0A7B" w14:textId="6A92EC68" w:rsidR="00BD3F39" w:rsidRDefault="00BD3F39">
          <w:pPr>
            <w:pStyle w:val="TOC2"/>
            <w:tabs>
              <w:tab w:val="left" w:pos="960"/>
              <w:tab w:val="right" w:leader="dot" w:pos="9350"/>
            </w:tabs>
            <w:rPr>
              <w:rFonts w:eastAsiaTheme="minorEastAsia"/>
              <w:noProof/>
              <w:lang w:val="it-IT" w:eastAsia="it-IT"/>
            </w:rPr>
          </w:pPr>
          <w:hyperlink w:anchor="_Toc225282853" w:history="1">
            <w:r w:rsidRPr="00B5309A">
              <w:rPr>
                <w:rStyle w:val="Hyperlink"/>
                <w:noProof/>
              </w:rPr>
              <w:t>4.4.</w:t>
            </w:r>
            <w:r>
              <w:rPr>
                <w:rFonts w:eastAsiaTheme="minorEastAsia"/>
                <w:noProof/>
                <w:lang w:val="it-IT" w:eastAsia="it-IT"/>
              </w:rPr>
              <w:tab/>
            </w:r>
            <w:r w:rsidRPr="00B5309A">
              <w:rPr>
                <w:rStyle w:val="Hyperlink"/>
                <w:noProof/>
              </w:rPr>
              <w:t>Ambiente Power BI</w:t>
            </w:r>
            <w:r>
              <w:rPr>
                <w:noProof/>
                <w:webHidden/>
              </w:rPr>
              <w:tab/>
            </w:r>
            <w:r>
              <w:rPr>
                <w:noProof/>
                <w:webHidden/>
              </w:rPr>
              <w:fldChar w:fldCharType="begin"/>
            </w:r>
            <w:r>
              <w:rPr>
                <w:noProof/>
                <w:webHidden/>
              </w:rPr>
              <w:instrText xml:space="preserve"> PAGEREF _Toc225282853 \h </w:instrText>
            </w:r>
            <w:r>
              <w:rPr>
                <w:noProof/>
                <w:webHidden/>
              </w:rPr>
            </w:r>
            <w:r>
              <w:rPr>
                <w:noProof/>
                <w:webHidden/>
              </w:rPr>
              <w:fldChar w:fldCharType="separate"/>
            </w:r>
            <w:r>
              <w:rPr>
                <w:noProof/>
                <w:webHidden/>
              </w:rPr>
              <w:t>9</w:t>
            </w:r>
            <w:r>
              <w:rPr>
                <w:noProof/>
                <w:webHidden/>
              </w:rPr>
              <w:fldChar w:fldCharType="end"/>
            </w:r>
          </w:hyperlink>
        </w:p>
        <w:p w14:paraId="21C806D9" w14:textId="6C1C0449" w:rsidR="00BD3F39" w:rsidRDefault="00BD3F39">
          <w:pPr>
            <w:pStyle w:val="TOC1"/>
            <w:tabs>
              <w:tab w:val="left" w:pos="480"/>
              <w:tab w:val="right" w:leader="dot" w:pos="9350"/>
            </w:tabs>
            <w:rPr>
              <w:rFonts w:eastAsiaTheme="minorEastAsia"/>
              <w:noProof/>
              <w:lang w:val="it-IT" w:eastAsia="it-IT"/>
            </w:rPr>
          </w:pPr>
          <w:hyperlink w:anchor="_Toc225282854" w:history="1">
            <w:r w:rsidRPr="00B5309A">
              <w:rPr>
                <w:rStyle w:val="Hyperlink"/>
                <w:noProof/>
                <w:lang w:val="it-IT"/>
              </w:rPr>
              <w:t>5.</w:t>
            </w:r>
            <w:r>
              <w:rPr>
                <w:rFonts w:eastAsiaTheme="minorEastAsia"/>
                <w:noProof/>
                <w:lang w:val="it-IT" w:eastAsia="it-IT"/>
              </w:rPr>
              <w:tab/>
            </w:r>
            <w:r w:rsidRPr="00B5309A">
              <w:rPr>
                <w:rStyle w:val="Hyperlink"/>
                <w:noProof/>
                <w:lang w:val="it-IT"/>
              </w:rPr>
              <w:t>Architettura di Riferimento della Soluzione</w:t>
            </w:r>
            <w:r>
              <w:rPr>
                <w:noProof/>
                <w:webHidden/>
              </w:rPr>
              <w:tab/>
            </w:r>
            <w:r>
              <w:rPr>
                <w:noProof/>
                <w:webHidden/>
              </w:rPr>
              <w:fldChar w:fldCharType="begin"/>
            </w:r>
            <w:r>
              <w:rPr>
                <w:noProof/>
                <w:webHidden/>
              </w:rPr>
              <w:instrText xml:space="preserve"> PAGEREF _Toc225282854 \h </w:instrText>
            </w:r>
            <w:r>
              <w:rPr>
                <w:noProof/>
                <w:webHidden/>
              </w:rPr>
            </w:r>
            <w:r>
              <w:rPr>
                <w:noProof/>
                <w:webHidden/>
              </w:rPr>
              <w:fldChar w:fldCharType="separate"/>
            </w:r>
            <w:r>
              <w:rPr>
                <w:noProof/>
                <w:webHidden/>
              </w:rPr>
              <w:t>10</w:t>
            </w:r>
            <w:r>
              <w:rPr>
                <w:noProof/>
                <w:webHidden/>
              </w:rPr>
              <w:fldChar w:fldCharType="end"/>
            </w:r>
          </w:hyperlink>
        </w:p>
        <w:p w14:paraId="11BB7778" w14:textId="0BBEB25B" w:rsidR="00BD3F39" w:rsidRDefault="00BD3F39">
          <w:pPr>
            <w:pStyle w:val="TOC1"/>
            <w:tabs>
              <w:tab w:val="left" w:pos="480"/>
              <w:tab w:val="right" w:leader="dot" w:pos="9350"/>
            </w:tabs>
            <w:rPr>
              <w:rFonts w:eastAsiaTheme="minorEastAsia"/>
              <w:noProof/>
              <w:lang w:val="it-IT" w:eastAsia="it-IT"/>
            </w:rPr>
          </w:pPr>
          <w:hyperlink w:anchor="_Toc225282855" w:history="1">
            <w:r w:rsidRPr="00B5309A">
              <w:rPr>
                <w:rStyle w:val="Hyperlink"/>
                <w:noProof/>
                <w:lang w:val="it-IT"/>
              </w:rPr>
              <w:t>6.</w:t>
            </w:r>
            <w:r>
              <w:rPr>
                <w:rFonts w:eastAsiaTheme="minorEastAsia"/>
                <w:noProof/>
                <w:lang w:val="it-IT" w:eastAsia="it-IT"/>
              </w:rPr>
              <w:tab/>
            </w:r>
            <w:r w:rsidRPr="00B5309A">
              <w:rPr>
                <w:rStyle w:val="Hyperlink"/>
                <w:noProof/>
              </w:rPr>
              <w:t>Flussi informativi in uscita</w:t>
            </w:r>
            <w:r>
              <w:rPr>
                <w:noProof/>
                <w:webHidden/>
              </w:rPr>
              <w:tab/>
            </w:r>
            <w:r>
              <w:rPr>
                <w:noProof/>
                <w:webHidden/>
              </w:rPr>
              <w:fldChar w:fldCharType="begin"/>
            </w:r>
            <w:r>
              <w:rPr>
                <w:noProof/>
                <w:webHidden/>
              </w:rPr>
              <w:instrText xml:space="preserve"> PAGEREF _Toc225282855 \h </w:instrText>
            </w:r>
            <w:r>
              <w:rPr>
                <w:noProof/>
                <w:webHidden/>
              </w:rPr>
            </w:r>
            <w:r>
              <w:rPr>
                <w:noProof/>
                <w:webHidden/>
              </w:rPr>
              <w:fldChar w:fldCharType="separate"/>
            </w:r>
            <w:r>
              <w:rPr>
                <w:noProof/>
                <w:webHidden/>
              </w:rPr>
              <w:t>10</w:t>
            </w:r>
            <w:r>
              <w:rPr>
                <w:noProof/>
                <w:webHidden/>
              </w:rPr>
              <w:fldChar w:fldCharType="end"/>
            </w:r>
          </w:hyperlink>
        </w:p>
        <w:p w14:paraId="5FE2F8C1" w14:textId="2E3B26B1" w:rsidR="00BD3F39" w:rsidRDefault="00BD3F39">
          <w:pPr>
            <w:pStyle w:val="TOC1"/>
            <w:tabs>
              <w:tab w:val="left" w:pos="480"/>
              <w:tab w:val="right" w:leader="dot" w:pos="9350"/>
            </w:tabs>
            <w:rPr>
              <w:rFonts w:eastAsiaTheme="minorEastAsia"/>
              <w:noProof/>
              <w:lang w:val="it-IT" w:eastAsia="it-IT"/>
            </w:rPr>
          </w:pPr>
          <w:hyperlink w:anchor="_Toc225282856" w:history="1">
            <w:r w:rsidRPr="00B5309A">
              <w:rPr>
                <w:rStyle w:val="Hyperlink"/>
                <w:noProof/>
                <w:lang w:val="it-IT"/>
              </w:rPr>
              <w:t>7.</w:t>
            </w:r>
            <w:r>
              <w:rPr>
                <w:rFonts w:eastAsiaTheme="minorEastAsia"/>
                <w:noProof/>
                <w:lang w:val="it-IT" w:eastAsia="it-IT"/>
              </w:rPr>
              <w:tab/>
            </w:r>
            <w:r w:rsidRPr="00B5309A">
              <w:rPr>
                <w:rStyle w:val="Hyperlink"/>
                <w:noProof/>
              </w:rPr>
              <w:t>Modello di dati</w:t>
            </w:r>
            <w:r>
              <w:rPr>
                <w:noProof/>
                <w:webHidden/>
              </w:rPr>
              <w:tab/>
            </w:r>
            <w:r>
              <w:rPr>
                <w:noProof/>
                <w:webHidden/>
              </w:rPr>
              <w:fldChar w:fldCharType="begin"/>
            </w:r>
            <w:r>
              <w:rPr>
                <w:noProof/>
                <w:webHidden/>
              </w:rPr>
              <w:instrText xml:space="preserve"> PAGEREF _Toc225282856 \h </w:instrText>
            </w:r>
            <w:r>
              <w:rPr>
                <w:noProof/>
                <w:webHidden/>
              </w:rPr>
            </w:r>
            <w:r>
              <w:rPr>
                <w:noProof/>
                <w:webHidden/>
              </w:rPr>
              <w:fldChar w:fldCharType="separate"/>
            </w:r>
            <w:r>
              <w:rPr>
                <w:noProof/>
                <w:webHidden/>
              </w:rPr>
              <w:t>10</w:t>
            </w:r>
            <w:r>
              <w:rPr>
                <w:noProof/>
                <w:webHidden/>
              </w:rPr>
              <w:fldChar w:fldCharType="end"/>
            </w:r>
          </w:hyperlink>
        </w:p>
        <w:p w14:paraId="216DECDD" w14:textId="1EBDB3AE" w:rsidR="00BD3F39" w:rsidRDefault="00BD3F39">
          <w:pPr>
            <w:pStyle w:val="TOC2"/>
            <w:tabs>
              <w:tab w:val="left" w:pos="960"/>
              <w:tab w:val="right" w:leader="dot" w:pos="9350"/>
            </w:tabs>
            <w:rPr>
              <w:rFonts w:eastAsiaTheme="minorEastAsia"/>
              <w:noProof/>
              <w:lang w:val="it-IT" w:eastAsia="it-IT"/>
            </w:rPr>
          </w:pPr>
          <w:hyperlink w:anchor="_Toc225282857" w:history="1">
            <w:r w:rsidRPr="00B5309A">
              <w:rPr>
                <w:rStyle w:val="Hyperlink"/>
                <w:noProof/>
                <w:lang w:val="it-IT"/>
              </w:rPr>
              <w:t>7.1.</w:t>
            </w:r>
            <w:r>
              <w:rPr>
                <w:rFonts w:eastAsiaTheme="minorEastAsia"/>
                <w:noProof/>
                <w:lang w:val="it-IT" w:eastAsia="it-IT"/>
              </w:rPr>
              <w:tab/>
            </w:r>
            <w:r w:rsidRPr="00B5309A">
              <w:rPr>
                <w:rStyle w:val="Hyperlink"/>
                <w:noProof/>
                <w:lang w:val="it-IT"/>
              </w:rPr>
              <w:t>Schemi del modello dati</w:t>
            </w:r>
            <w:r>
              <w:rPr>
                <w:noProof/>
                <w:webHidden/>
              </w:rPr>
              <w:tab/>
            </w:r>
            <w:r>
              <w:rPr>
                <w:noProof/>
                <w:webHidden/>
              </w:rPr>
              <w:fldChar w:fldCharType="begin"/>
            </w:r>
            <w:r>
              <w:rPr>
                <w:noProof/>
                <w:webHidden/>
              </w:rPr>
              <w:instrText xml:space="preserve"> PAGEREF _Toc225282857 \h </w:instrText>
            </w:r>
            <w:r>
              <w:rPr>
                <w:noProof/>
                <w:webHidden/>
              </w:rPr>
            </w:r>
            <w:r>
              <w:rPr>
                <w:noProof/>
                <w:webHidden/>
              </w:rPr>
              <w:fldChar w:fldCharType="separate"/>
            </w:r>
            <w:r>
              <w:rPr>
                <w:noProof/>
                <w:webHidden/>
              </w:rPr>
              <w:t>10</w:t>
            </w:r>
            <w:r>
              <w:rPr>
                <w:noProof/>
                <w:webHidden/>
              </w:rPr>
              <w:fldChar w:fldCharType="end"/>
            </w:r>
          </w:hyperlink>
        </w:p>
        <w:p w14:paraId="1124B194" w14:textId="7893F544" w:rsidR="00BD3F39" w:rsidRDefault="00BD3F39">
          <w:pPr>
            <w:pStyle w:val="TOC2"/>
            <w:tabs>
              <w:tab w:val="left" w:pos="960"/>
              <w:tab w:val="right" w:leader="dot" w:pos="9350"/>
            </w:tabs>
            <w:rPr>
              <w:rFonts w:eastAsiaTheme="minorEastAsia"/>
              <w:noProof/>
              <w:lang w:val="it-IT" w:eastAsia="it-IT"/>
            </w:rPr>
          </w:pPr>
          <w:hyperlink w:anchor="_Toc225282858" w:history="1">
            <w:r w:rsidRPr="00B5309A">
              <w:rPr>
                <w:rStyle w:val="Hyperlink"/>
                <w:noProof/>
                <w:lang w:val="it-IT"/>
              </w:rPr>
              <w:t>7.2.</w:t>
            </w:r>
            <w:r>
              <w:rPr>
                <w:rFonts w:eastAsiaTheme="minorEastAsia"/>
                <w:noProof/>
                <w:lang w:val="it-IT" w:eastAsia="it-IT"/>
              </w:rPr>
              <w:tab/>
            </w:r>
            <w:r w:rsidRPr="00B5309A">
              <w:rPr>
                <w:rStyle w:val="Hyperlink"/>
                <w:noProof/>
                <w:lang w:val="it-IT"/>
              </w:rPr>
              <w:t>Dizionario Dati</w:t>
            </w:r>
            <w:r>
              <w:rPr>
                <w:noProof/>
                <w:webHidden/>
              </w:rPr>
              <w:tab/>
            </w:r>
            <w:r>
              <w:rPr>
                <w:noProof/>
                <w:webHidden/>
              </w:rPr>
              <w:fldChar w:fldCharType="begin"/>
            </w:r>
            <w:r>
              <w:rPr>
                <w:noProof/>
                <w:webHidden/>
              </w:rPr>
              <w:instrText xml:space="preserve"> PAGEREF _Toc225282858 \h </w:instrText>
            </w:r>
            <w:r>
              <w:rPr>
                <w:noProof/>
                <w:webHidden/>
              </w:rPr>
            </w:r>
            <w:r>
              <w:rPr>
                <w:noProof/>
                <w:webHidden/>
              </w:rPr>
              <w:fldChar w:fldCharType="separate"/>
            </w:r>
            <w:r>
              <w:rPr>
                <w:noProof/>
                <w:webHidden/>
              </w:rPr>
              <w:t>11</w:t>
            </w:r>
            <w:r>
              <w:rPr>
                <w:noProof/>
                <w:webHidden/>
              </w:rPr>
              <w:fldChar w:fldCharType="end"/>
            </w:r>
          </w:hyperlink>
        </w:p>
        <w:p w14:paraId="47BD45B2" w14:textId="184F5171" w:rsidR="00BD3F39" w:rsidRDefault="00BD3F39">
          <w:pPr>
            <w:pStyle w:val="TOC2"/>
            <w:tabs>
              <w:tab w:val="left" w:pos="960"/>
              <w:tab w:val="right" w:leader="dot" w:pos="9350"/>
            </w:tabs>
            <w:rPr>
              <w:rFonts w:eastAsiaTheme="minorEastAsia"/>
              <w:noProof/>
              <w:lang w:val="it-IT" w:eastAsia="it-IT"/>
            </w:rPr>
          </w:pPr>
          <w:hyperlink w:anchor="_Toc225282859" w:history="1">
            <w:r w:rsidRPr="00B5309A">
              <w:rPr>
                <w:rStyle w:val="Hyperlink"/>
                <w:noProof/>
                <w:lang w:val="it-IT"/>
              </w:rPr>
              <w:t>7.3.</w:t>
            </w:r>
            <w:r>
              <w:rPr>
                <w:rFonts w:eastAsiaTheme="minorEastAsia"/>
                <w:noProof/>
                <w:lang w:val="it-IT" w:eastAsia="it-IT"/>
              </w:rPr>
              <w:tab/>
            </w:r>
            <w:r w:rsidRPr="00B5309A">
              <w:rPr>
                <w:rStyle w:val="Hyperlink"/>
                <w:noProof/>
                <w:lang w:val="it-IT"/>
              </w:rPr>
              <w:t>Entità primarie</w:t>
            </w:r>
            <w:r>
              <w:rPr>
                <w:noProof/>
                <w:webHidden/>
              </w:rPr>
              <w:tab/>
            </w:r>
            <w:r>
              <w:rPr>
                <w:noProof/>
                <w:webHidden/>
              </w:rPr>
              <w:fldChar w:fldCharType="begin"/>
            </w:r>
            <w:r>
              <w:rPr>
                <w:noProof/>
                <w:webHidden/>
              </w:rPr>
              <w:instrText xml:space="preserve"> PAGEREF _Toc225282859 \h </w:instrText>
            </w:r>
            <w:r>
              <w:rPr>
                <w:noProof/>
                <w:webHidden/>
              </w:rPr>
            </w:r>
            <w:r>
              <w:rPr>
                <w:noProof/>
                <w:webHidden/>
              </w:rPr>
              <w:fldChar w:fldCharType="separate"/>
            </w:r>
            <w:r>
              <w:rPr>
                <w:noProof/>
                <w:webHidden/>
              </w:rPr>
              <w:t>11</w:t>
            </w:r>
            <w:r>
              <w:rPr>
                <w:noProof/>
                <w:webHidden/>
              </w:rPr>
              <w:fldChar w:fldCharType="end"/>
            </w:r>
          </w:hyperlink>
        </w:p>
        <w:p w14:paraId="432789B7" w14:textId="723D7A98" w:rsidR="00BD3F39" w:rsidRDefault="00BD3F39">
          <w:pPr>
            <w:pStyle w:val="TOC1"/>
            <w:tabs>
              <w:tab w:val="left" w:pos="480"/>
              <w:tab w:val="right" w:leader="dot" w:pos="9350"/>
            </w:tabs>
            <w:rPr>
              <w:rFonts w:eastAsiaTheme="minorEastAsia"/>
              <w:noProof/>
              <w:lang w:val="it-IT" w:eastAsia="it-IT"/>
            </w:rPr>
          </w:pPr>
          <w:hyperlink w:anchor="_Toc225282860" w:history="1">
            <w:r w:rsidRPr="00B5309A">
              <w:rPr>
                <w:rStyle w:val="Hyperlink"/>
                <w:noProof/>
                <w:lang w:val="it-IT"/>
              </w:rPr>
              <w:t>8.</w:t>
            </w:r>
            <w:r>
              <w:rPr>
                <w:rFonts w:eastAsiaTheme="minorEastAsia"/>
                <w:noProof/>
                <w:lang w:val="it-IT" w:eastAsia="it-IT"/>
              </w:rPr>
              <w:tab/>
            </w:r>
            <w:r w:rsidRPr="00B5309A">
              <w:rPr>
                <w:rStyle w:val="Hyperlink"/>
                <w:noProof/>
              </w:rPr>
              <w:t>Ambiente e Processi</w:t>
            </w:r>
            <w:r>
              <w:rPr>
                <w:noProof/>
                <w:webHidden/>
              </w:rPr>
              <w:tab/>
            </w:r>
            <w:r>
              <w:rPr>
                <w:noProof/>
                <w:webHidden/>
              </w:rPr>
              <w:fldChar w:fldCharType="begin"/>
            </w:r>
            <w:r>
              <w:rPr>
                <w:noProof/>
                <w:webHidden/>
              </w:rPr>
              <w:instrText xml:space="preserve"> PAGEREF _Toc225282860 \h </w:instrText>
            </w:r>
            <w:r>
              <w:rPr>
                <w:noProof/>
                <w:webHidden/>
              </w:rPr>
            </w:r>
            <w:r>
              <w:rPr>
                <w:noProof/>
                <w:webHidden/>
              </w:rPr>
              <w:fldChar w:fldCharType="separate"/>
            </w:r>
            <w:r>
              <w:rPr>
                <w:noProof/>
                <w:webHidden/>
              </w:rPr>
              <w:t>11</w:t>
            </w:r>
            <w:r>
              <w:rPr>
                <w:noProof/>
                <w:webHidden/>
              </w:rPr>
              <w:fldChar w:fldCharType="end"/>
            </w:r>
          </w:hyperlink>
        </w:p>
        <w:p w14:paraId="5EDB1954" w14:textId="62E5EB6E" w:rsidR="00BD3F39" w:rsidRDefault="00BD3F39">
          <w:pPr>
            <w:pStyle w:val="TOC2"/>
            <w:tabs>
              <w:tab w:val="left" w:pos="960"/>
              <w:tab w:val="right" w:leader="dot" w:pos="9350"/>
            </w:tabs>
            <w:rPr>
              <w:rFonts w:eastAsiaTheme="minorEastAsia"/>
              <w:noProof/>
              <w:lang w:val="it-IT" w:eastAsia="it-IT"/>
            </w:rPr>
          </w:pPr>
          <w:hyperlink w:anchor="_Toc225282861" w:history="1">
            <w:r w:rsidRPr="00B5309A">
              <w:rPr>
                <w:rStyle w:val="Hyperlink"/>
                <w:noProof/>
              </w:rPr>
              <w:t>8.1.</w:t>
            </w:r>
            <w:r>
              <w:rPr>
                <w:rFonts w:eastAsiaTheme="minorEastAsia"/>
                <w:noProof/>
                <w:lang w:val="it-IT" w:eastAsia="it-IT"/>
              </w:rPr>
              <w:tab/>
            </w:r>
            <w:r w:rsidRPr="00B5309A">
              <w:rPr>
                <w:rStyle w:val="Hyperlink"/>
                <w:noProof/>
              </w:rPr>
              <w:t>Analisi delle fonti</w:t>
            </w:r>
            <w:r>
              <w:rPr>
                <w:noProof/>
                <w:webHidden/>
              </w:rPr>
              <w:tab/>
            </w:r>
            <w:r>
              <w:rPr>
                <w:noProof/>
                <w:webHidden/>
              </w:rPr>
              <w:fldChar w:fldCharType="begin"/>
            </w:r>
            <w:r>
              <w:rPr>
                <w:noProof/>
                <w:webHidden/>
              </w:rPr>
              <w:instrText xml:space="preserve"> PAGEREF _Toc225282861 \h </w:instrText>
            </w:r>
            <w:r>
              <w:rPr>
                <w:noProof/>
                <w:webHidden/>
              </w:rPr>
            </w:r>
            <w:r>
              <w:rPr>
                <w:noProof/>
                <w:webHidden/>
              </w:rPr>
              <w:fldChar w:fldCharType="separate"/>
            </w:r>
            <w:r>
              <w:rPr>
                <w:noProof/>
                <w:webHidden/>
              </w:rPr>
              <w:t>11</w:t>
            </w:r>
            <w:r>
              <w:rPr>
                <w:noProof/>
                <w:webHidden/>
              </w:rPr>
              <w:fldChar w:fldCharType="end"/>
            </w:r>
          </w:hyperlink>
        </w:p>
        <w:p w14:paraId="1667A248" w14:textId="0B1C7B23" w:rsidR="00BD3F39" w:rsidRDefault="00BD3F39">
          <w:pPr>
            <w:pStyle w:val="TOC2"/>
            <w:tabs>
              <w:tab w:val="left" w:pos="960"/>
              <w:tab w:val="right" w:leader="dot" w:pos="9350"/>
            </w:tabs>
            <w:rPr>
              <w:rFonts w:eastAsiaTheme="minorEastAsia"/>
              <w:noProof/>
              <w:lang w:val="it-IT" w:eastAsia="it-IT"/>
            </w:rPr>
          </w:pPr>
          <w:hyperlink w:anchor="_Toc225282862" w:history="1">
            <w:r w:rsidRPr="00B5309A">
              <w:rPr>
                <w:rStyle w:val="Hyperlink"/>
                <w:noProof/>
              </w:rPr>
              <w:t>8.2.</w:t>
            </w:r>
            <w:r>
              <w:rPr>
                <w:rFonts w:eastAsiaTheme="minorEastAsia"/>
                <w:noProof/>
                <w:lang w:val="it-IT" w:eastAsia="it-IT"/>
              </w:rPr>
              <w:tab/>
            </w:r>
            <w:r w:rsidRPr="00B5309A">
              <w:rPr>
                <w:rStyle w:val="Hyperlink"/>
                <w:noProof/>
              </w:rPr>
              <w:t>Processi Batch</w:t>
            </w:r>
            <w:r>
              <w:rPr>
                <w:noProof/>
                <w:webHidden/>
              </w:rPr>
              <w:tab/>
            </w:r>
            <w:r>
              <w:rPr>
                <w:noProof/>
                <w:webHidden/>
              </w:rPr>
              <w:fldChar w:fldCharType="begin"/>
            </w:r>
            <w:r>
              <w:rPr>
                <w:noProof/>
                <w:webHidden/>
              </w:rPr>
              <w:instrText xml:space="preserve"> PAGEREF _Toc225282862 \h </w:instrText>
            </w:r>
            <w:r>
              <w:rPr>
                <w:noProof/>
                <w:webHidden/>
              </w:rPr>
            </w:r>
            <w:r>
              <w:rPr>
                <w:noProof/>
                <w:webHidden/>
              </w:rPr>
              <w:fldChar w:fldCharType="separate"/>
            </w:r>
            <w:r>
              <w:rPr>
                <w:noProof/>
                <w:webHidden/>
              </w:rPr>
              <w:t>12</w:t>
            </w:r>
            <w:r>
              <w:rPr>
                <w:noProof/>
                <w:webHidden/>
              </w:rPr>
              <w:fldChar w:fldCharType="end"/>
            </w:r>
          </w:hyperlink>
        </w:p>
        <w:p w14:paraId="20C953D0" w14:textId="20D2F96A" w:rsidR="00BD3F39" w:rsidRDefault="00BD3F39">
          <w:pPr>
            <w:pStyle w:val="TOC3"/>
            <w:tabs>
              <w:tab w:val="left" w:pos="1440"/>
              <w:tab w:val="right" w:leader="dot" w:pos="9350"/>
            </w:tabs>
            <w:rPr>
              <w:rFonts w:eastAsiaTheme="minorEastAsia"/>
              <w:noProof/>
              <w:lang w:val="it-IT" w:eastAsia="it-IT"/>
            </w:rPr>
          </w:pPr>
          <w:hyperlink w:anchor="_Toc225282863" w:history="1">
            <w:r w:rsidRPr="00B5309A">
              <w:rPr>
                <w:rStyle w:val="Hyperlink"/>
                <w:bCs/>
                <w:iCs/>
                <w:noProof/>
              </w:rPr>
              <w:t>8.2.1.</w:t>
            </w:r>
            <w:r>
              <w:rPr>
                <w:rFonts w:eastAsiaTheme="minorEastAsia"/>
                <w:noProof/>
                <w:lang w:val="it-IT" w:eastAsia="it-IT"/>
              </w:rPr>
              <w:tab/>
            </w:r>
            <w:r w:rsidRPr="00B5309A">
              <w:rPr>
                <w:rStyle w:val="Hyperlink"/>
                <w:noProof/>
              </w:rPr>
              <w:t>Batch “lorem ipsum”</w:t>
            </w:r>
            <w:r>
              <w:rPr>
                <w:noProof/>
                <w:webHidden/>
              </w:rPr>
              <w:tab/>
            </w:r>
            <w:r>
              <w:rPr>
                <w:noProof/>
                <w:webHidden/>
              </w:rPr>
              <w:fldChar w:fldCharType="begin"/>
            </w:r>
            <w:r>
              <w:rPr>
                <w:noProof/>
                <w:webHidden/>
              </w:rPr>
              <w:instrText xml:space="preserve"> PAGEREF _Toc225282863 \h </w:instrText>
            </w:r>
            <w:r>
              <w:rPr>
                <w:noProof/>
                <w:webHidden/>
              </w:rPr>
            </w:r>
            <w:r>
              <w:rPr>
                <w:noProof/>
                <w:webHidden/>
              </w:rPr>
              <w:fldChar w:fldCharType="separate"/>
            </w:r>
            <w:r>
              <w:rPr>
                <w:noProof/>
                <w:webHidden/>
              </w:rPr>
              <w:t>12</w:t>
            </w:r>
            <w:r>
              <w:rPr>
                <w:noProof/>
                <w:webHidden/>
              </w:rPr>
              <w:fldChar w:fldCharType="end"/>
            </w:r>
          </w:hyperlink>
        </w:p>
        <w:p w14:paraId="66A11A1E" w14:textId="01F94E0A" w:rsidR="00BD3F39" w:rsidRDefault="00BD3F39">
          <w:pPr>
            <w:pStyle w:val="TOC2"/>
            <w:tabs>
              <w:tab w:val="left" w:pos="960"/>
              <w:tab w:val="right" w:leader="dot" w:pos="9350"/>
            </w:tabs>
            <w:rPr>
              <w:rFonts w:eastAsiaTheme="minorEastAsia"/>
              <w:noProof/>
              <w:lang w:val="it-IT" w:eastAsia="it-IT"/>
            </w:rPr>
          </w:pPr>
          <w:hyperlink w:anchor="_Toc225282864" w:history="1">
            <w:r w:rsidRPr="00B5309A">
              <w:rPr>
                <w:rStyle w:val="Hyperlink"/>
                <w:noProof/>
              </w:rPr>
              <w:t>8.3.</w:t>
            </w:r>
            <w:r>
              <w:rPr>
                <w:rFonts w:eastAsiaTheme="minorEastAsia"/>
                <w:noProof/>
                <w:lang w:val="it-IT" w:eastAsia="it-IT"/>
              </w:rPr>
              <w:tab/>
            </w:r>
            <w:r w:rsidRPr="00B5309A">
              <w:rPr>
                <w:rStyle w:val="Hyperlink"/>
                <w:noProof/>
              </w:rPr>
              <w:t>Processi Back-End</w:t>
            </w:r>
            <w:r>
              <w:rPr>
                <w:noProof/>
                <w:webHidden/>
              </w:rPr>
              <w:tab/>
            </w:r>
            <w:r>
              <w:rPr>
                <w:noProof/>
                <w:webHidden/>
              </w:rPr>
              <w:fldChar w:fldCharType="begin"/>
            </w:r>
            <w:r>
              <w:rPr>
                <w:noProof/>
                <w:webHidden/>
              </w:rPr>
              <w:instrText xml:space="preserve"> PAGEREF _Toc225282864 \h </w:instrText>
            </w:r>
            <w:r>
              <w:rPr>
                <w:noProof/>
                <w:webHidden/>
              </w:rPr>
            </w:r>
            <w:r>
              <w:rPr>
                <w:noProof/>
                <w:webHidden/>
              </w:rPr>
              <w:fldChar w:fldCharType="separate"/>
            </w:r>
            <w:r>
              <w:rPr>
                <w:noProof/>
                <w:webHidden/>
              </w:rPr>
              <w:t>13</w:t>
            </w:r>
            <w:r>
              <w:rPr>
                <w:noProof/>
                <w:webHidden/>
              </w:rPr>
              <w:fldChar w:fldCharType="end"/>
            </w:r>
          </w:hyperlink>
        </w:p>
        <w:p w14:paraId="4D73DCA5" w14:textId="5A3390EB" w:rsidR="00BD3F39" w:rsidRDefault="00BD3F39">
          <w:pPr>
            <w:pStyle w:val="TOC3"/>
            <w:tabs>
              <w:tab w:val="left" w:pos="1440"/>
              <w:tab w:val="right" w:leader="dot" w:pos="9350"/>
            </w:tabs>
            <w:rPr>
              <w:rFonts w:eastAsiaTheme="minorEastAsia"/>
              <w:noProof/>
              <w:lang w:val="it-IT" w:eastAsia="it-IT"/>
            </w:rPr>
          </w:pPr>
          <w:hyperlink w:anchor="_Toc225282865" w:history="1">
            <w:r w:rsidRPr="00B5309A">
              <w:rPr>
                <w:rStyle w:val="Hyperlink"/>
                <w:bCs/>
                <w:iCs/>
                <w:noProof/>
              </w:rPr>
              <w:t>8.3.1.</w:t>
            </w:r>
            <w:r>
              <w:rPr>
                <w:rFonts w:eastAsiaTheme="minorEastAsia"/>
                <w:noProof/>
                <w:lang w:val="it-IT" w:eastAsia="it-IT"/>
              </w:rPr>
              <w:tab/>
            </w:r>
            <w:r w:rsidRPr="00B5309A">
              <w:rPr>
                <w:rStyle w:val="Hyperlink"/>
                <w:noProof/>
              </w:rPr>
              <w:t>Servizio “lorem ipsum”</w:t>
            </w:r>
            <w:r>
              <w:rPr>
                <w:noProof/>
                <w:webHidden/>
              </w:rPr>
              <w:tab/>
            </w:r>
            <w:r>
              <w:rPr>
                <w:noProof/>
                <w:webHidden/>
              </w:rPr>
              <w:fldChar w:fldCharType="begin"/>
            </w:r>
            <w:r>
              <w:rPr>
                <w:noProof/>
                <w:webHidden/>
              </w:rPr>
              <w:instrText xml:space="preserve"> PAGEREF _Toc225282865 \h </w:instrText>
            </w:r>
            <w:r>
              <w:rPr>
                <w:noProof/>
                <w:webHidden/>
              </w:rPr>
            </w:r>
            <w:r>
              <w:rPr>
                <w:noProof/>
                <w:webHidden/>
              </w:rPr>
              <w:fldChar w:fldCharType="separate"/>
            </w:r>
            <w:r>
              <w:rPr>
                <w:noProof/>
                <w:webHidden/>
              </w:rPr>
              <w:t>13</w:t>
            </w:r>
            <w:r>
              <w:rPr>
                <w:noProof/>
                <w:webHidden/>
              </w:rPr>
              <w:fldChar w:fldCharType="end"/>
            </w:r>
          </w:hyperlink>
        </w:p>
        <w:p w14:paraId="70E4876C" w14:textId="75F936F4" w:rsidR="00BD3F39" w:rsidRDefault="00BD3F39">
          <w:pPr>
            <w:pStyle w:val="TOC2"/>
            <w:tabs>
              <w:tab w:val="left" w:pos="960"/>
              <w:tab w:val="right" w:leader="dot" w:pos="9350"/>
            </w:tabs>
            <w:rPr>
              <w:rFonts w:eastAsiaTheme="minorEastAsia"/>
              <w:noProof/>
              <w:lang w:val="it-IT" w:eastAsia="it-IT"/>
            </w:rPr>
          </w:pPr>
          <w:hyperlink w:anchor="_Toc225282866" w:history="1">
            <w:r w:rsidRPr="00B5309A">
              <w:rPr>
                <w:rStyle w:val="Hyperlink"/>
                <w:noProof/>
              </w:rPr>
              <w:t>8.4.</w:t>
            </w:r>
            <w:r>
              <w:rPr>
                <w:rFonts w:eastAsiaTheme="minorEastAsia"/>
                <w:noProof/>
                <w:lang w:val="it-IT" w:eastAsia="it-IT"/>
              </w:rPr>
              <w:tab/>
            </w:r>
            <w:r w:rsidRPr="00B5309A">
              <w:rPr>
                <w:rStyle w:val="Hyperlink"/>
                <w:noProof/>
              </w:rPr>
              <w:t>Processi Front-End</w:t>
            </w:r>
            <w:r>
              <w:rPr>
                <w:noProof/>
                <w:webHidden/>
              </w:rPr>
              <w:tab/>
            </w:r>
            <w:r>
              <w:rPr>
                <w:noProof/>
                <w:webHidden/>
              </w:rPr>
              <w:fldChar w:fldCharType="begin"/>
            </w:r>
            <w:r>
              <w:rPr>
                <w:noProof/>
                <w:webHidden/>
              </w:rPr>
              <w:instrText xml:space="preserve"> PAGEREF _Toc225282866 \h </w:instrText>
            </w:r>
            <w:r>
              <w:rPr>
                <w:noProof/>
                <w:webHidden/>
              </w:rPr>
            </w:r>
            <w:r>
              <w:rPr>
                <w:noProof/>
                <w:webHidden/>
              </w:rPr>
              <w:fldChar w:fldCharType="separate"/>
            </w:r>
            <w:r>
              <w:rPr>
                <w:noProof/>
                <w:webHidden/>
              </w:rPr>
              <w:t>14</w:t>
            </w:r>
            <w:r>
              <w:rPr>
                <w:noProof/>
                <w:webHidden/>
              </w:rPr>
              <w:fldChar w:fldCharType="end"/>
            </w:r>
          </w:hyperlink>
        </w:p>
        <w:p w14:paraId="0A2C2024" w14:textId="3D34FBF1" w:rsidR="00BD3F39" w:rsidRDefault="00BD3F39">
          <w:pPr>
            <w:pStyle w:val="TOC3"/>
            <w:tabs>
              <w:tab w:val="left" w:pos="1440"/>
              <w:tab w:val="right" w:leader="dot" w:pos="9350"/>
            </w:tabs>
            <w:rPr>
              <w:rFonts w:eastAsiaTheme="minorEastAsia"/>
              <w:noProof/>
              <w:lang w:val="it-IT" w:eastAsia="it-IT"/>
            </w:rPr>
          </w:pPr>
          <w:hyperlink w:anchor="_Toc225282867" w:history="1">
            <w:r w:rsidRPr="00B5309A">
              <w:rPr>
                <w:rStyle w:val="Hyperlink"/>
                <w:bCs/>
                <w:iCs/>
                <w:noProof/>
              </w:rPr>
              <w:t>8.4.1.</w:t>
            </w:r>
            <w:r>
              <w:rPr>
                <w:rFonts w:eastAsiaTheme="minorEastAsia"/>
                <w:noProof/>
                <w:lang w:val="it-IT" w:eastAsia="it-IT"/>
              </w:rPr>
              <w:tab/>
            </w:r>
            <w:r w:rsidRPr="00B5309A">
              <w:rPr>
                <w:rStyle w:val="Hyperlink"/>
                <w:noProof/>
              </w:rPr>
              <w:t>Pagina “lorem ipsum”</w:t>
            </w:r>
            <w:r>
              <w:rPr>
                <w:noProof/>
                <w:webHidden/>
              </w:rPr>
              <w:tab/>
            </w:r>
            <w:r>
              <w:rPr>
                <w:noProof/>
                <w:webHidden/>
              </w:rPr>
              <w:fldChar w:fldCharType="begin"/>
            </w:r>
            <w:r>
              <w:rPr>
                <w:noProof/>
                <w:webHidden/>
              </w:rPr>
              <w:instrText xml:space="preserve"> PAGEREF _Toc225282867 \h </w:instrText>
            </w:r>
            <w:r>
              <w:rPr>
                <w:noProof/>
                <w:webHidden/>
              </w:rPr>
            </w:r>
            <w:r>
              <w:rPr>
                <w:noProof/>
                <w:webHidden/>
              </w:rPr>
              <w:fldChar w:fldCharType="separate"/>
            </w:r>
            <w:r>
              <w:rPr>
                <w:noProof/>
                <w:webHidden/>
              </w:rPr>
              <w:t>14</w:t>
            </w:r>
            <w:r>
              <w:rPr>
                <w:noProof/>
                <w:webHidden/>
              </w:rPr>
              <w:fldChar w:fldCharType="end"/>
            </w:r>
          </w:hyperlink>
        </w:p>
        <w:p w14:paraId="59D9B9C0" w14:textId="32B98D84" w:rsidR="00BD3F39" w:rsidRDefault="00BD3F39">
          <w:pPr>
            <w:pStyle w:val="TOC1"/>
            <w:tabs>
              <w:tab w:val="left" w:pos="480"/>
              <w:tab w:val="right" w:leader="dot" w:pos="9350"/>
            </w:tabs>
            <w:rPr>
              <w:rFonts w:eastAsiaTheme="minorEastAsia"/>
              <w:noProof/>
              <w:lang w:val="it-IT" w:eastAsia="it-IT"/>
            </w:rPr>
          </w:pPr>
          <w:hyperlink w:anchor="_Toc225282868" w:history="1">
            <w:r w:rsidRPr="00B5309A">
              <w:rPr>
                <w:rStyle w:val="Hyperlink"/>
                <w:noProof/>
                <w:lang w:val="it-IT"/>
              </w:rPr>
              <w:t>9.</w:t>
            </w:r>
            <w:r>
              <w:rPr>
                <w:rFonts w:eastAsiaTheme="minorEastAsia"/>
                <w:noProof/>
                <w:lang w:val="it-IT" w:eastAsia="it-IT"/>
              </w:rPr>
              <w:tab/>
            </w:r>
            <w:r w:rsidRPr="00B5309A">
              <w:rPr>
                <w:rStyle w:val="Hyperlink"/>
                <w:noProof/>
                <w:lang w:val="it-IT"/>
              </w:rPr>
              <w:t>Requisiti Utente</w:t>
            </w:r>
            <w:r>
              <w:rPr>
                <w:noProof/>
                <w:webHidden/>
              </w:rPr>
              <w:tab/>
            </w:r>
            <w:r>
              <w:rPr>
                <w:noProof/>
                <w:webHidden/>
              </w:rPr>
              <w:fldChar w:fldCharType="begin"/>
            </w:r>
            <w:r>
              <w:rPr>
                <w:noProof/>
                <w:webHidden/>
              </w:rPr>
              <w:instrText xml:space="preserve"> PAGEREF _Toc225282868 \h </w:instrText>
            </w:r>
            <w:r>
              <w:rPr>
                <w:noProof/>
                <w:webHidden/>
              </w:rPr>
            </w:r>
            <w:r>
              <w:rPr>
                <w:noProof/>
                <w:webHidden/>
              </w:rPr>
              <w:fldChar w:fldCharType="separate"/>
            </w:r>
            <w:r>
              <w:rPr>
                <w:noProof/>
                <w:webHidden/>
              </w:rPr>
              <w:t>14</w:t>
            </w:r>
            <w:r>
              <w:rPr>
                <w:noProof/>
                <w:webHidden/>
              </w:rPr>
              <w:fldChar w:fldCharType="end"/>
            </w:r>
          </w:hyperlink>
        </w:p>
        <w:p w14:paraId="10B7EF31" w14:textId="51753243" w:rsidR="00BD3F39" w:rsidRDefault="00BD3F39">
          <w:pPr>
            <w:pStyle w:val="TOC1"/>
            <w:tabs>
              <w:tab w:val="left" w:pos="720"/>
              <w:tab w:val="right" w:leader="dot" w:pos="9350"/>
            </w:tabs>
            <w:rPr>
              <w:rFonts w:eastAsiaTheme="minorEastAsia"/>
              <w:noProof/>
              <w:lang w:val="it-IT" w:eastAsia="it-IT"/>
            </w:rPr>
          </w:pPr>
          <w:hyperlink w:anchor="_Toc225282869" w:history="1">
            <w:r w:rsidRPr="00B5309A">
              <w:rPr>
                <w:rStyle w:val="Hyperlink"/>
                <w:noProof/>
                <w:lang w:val="it-IT"/>
              </w:rPr>
              <w:t>10.</w:t>
            </w:r>
            <w:r>
              <w:rPr>
                <w:rFonts w:eastAsiaTheme="minorEastAsia"/>
                <w:noProof/>
                <w:lang w:val="it-IT" w:eastAsia="it-IT"/>
              </w:rPr>
              <w:tab/>
            </w:r>
            <w:r w:rsidRPr="00B5309A">
              <w:rPr>
                <w:rStyle w:val="Hyperlink"/>
                <w:noProof/>
              </w:rPr>
              <w:t>Requisiti non funzionali</w:t>
            </w:r>
            <w:r>
              <w:rPr>
                <w:noProof/>
                <w:webHidden/>
              </w:rPr>
              <w:tab/>
            </w:r>
            <w:r>
              <w:rPr>
                <w:noProof/>
                <w:webHidden/>
              </w:rPr>
              <w:fldChar w:fldCharType="begin"/>
            </w:r>
            <w:r>
              <w:rPr>
                <w:noProof/>
                <w:webHidden/>
              </w:rPr>
              <w:instrText xml:space="preserve"> PAGEREF _Toc225282869 \h </w:instrText>
            </w:r>
            <w:r>
              <w:rPr>
                <w:noProof/>
                <w:webHidden/>
              </w:rPr>
            </w:r>
            <w:r>
              <w:rPr>
                <w:noProof/>
                <w:webHidden/>
              </w:rPr>
              <w:fldChar w:fldCharType="separate"/>
            </w:r>
            <w:r>
              <w:rPr>
                <w:noProof/>
                <w:webHidden/>
              </w:rPr>
              <w:t>14</w:t>
            </w:r>
            <w:r>
              <w:rPr>
                <w:noProof/>
                <w:webHidden/>
              </w:rPr>
              <w:fldChar w:fldCharType="end"/>
            </w:r>
          </w:hyperlink>
        </w:p>
        <w:p w14:paraId="7B5FE89D" w14:textId="2330351B" w:rsidR="00BD3F39" w:rsidRDefault="00BD3F39">
          <w:pPr>
            <w:pStyle w:val="TOC1"/>
            <w:tabs>
              <w:tab w:val="left" w:pos="720"/>
              <w:tab w:val="right" w:leader="dot" w:pos="9350"/>
            </w:tabs>
            <w:rPr>
              <w:rFonts w:eastAsiaTheme="minorEastAsia"/>
              <w:noProof/>
              <w:lang w:val="it-IT" w:eastAsia="it-IT"/>
            </w:rPr>
          </w:pPr>
          <w:hyperlink w:anchor="_Toc225282870" w:history="1">
            <w:r w:rsidRPr="00B5309A">
              <w:rPr>
                <w:rStyle w:val="Hyperlink"/>
                <w:noProof/>
                <w:lang w:val="it-IT"/>
              </w:rPr>
              <w:t>11.</w:t>
            </w:r>
            <w:r>
              <w:rPr>
                <w:rFonts w:eastAsiaTheme="minorEastAsia"/>
                <w:noProof/>
                <w:lang w:val="it-IT" w:eastAsia="it-IT"/>
              </w:rPr>
              <w:tab/>
            </w:r>
            <w:r w:rsidRPr="00B5309A">
              <w:rPr>
                <w:rStyle w:val="Hyperlink"/>
                <w:noProof/>
              </w:rPr>
              <w:t>Classi di rischio</w:t>
            </w:r>
            <w:r>
              <w:rPr>
                <w:noProof/>
                <w:webHidden/>
              </w:rPr>
              <w:tab/>
            </w:r>
            <w:r>
              <w:rPr>
                <w:noProof/>
                <w:webHidden/>
              </w:rPr>
              <w:fldChar w:fldCharType="begin"/>
            </w:r>
            <w:r>
              <w:rPr>
                <w:noProof/>
                <w:webHidden/>
              </w:rPr>
              <w:instrText xml:space="preserve"> PAGEREF _Toc225282870 \h </w:instrText>
            </w:r>
            <w:r>
              <w:rPr>
                <w:noProof/>
                <w:webHidden/>
              </w:rPr>
            </w:r>
            <w:r>
              <w:rPr>
                <w:noProof/>
                <w:webHidden/>
              </w:rPr>
              <w:fldChar w:fldCharType="separate"/>
            </w:r>
            <w:r>
              <w:rPr>
                <w:noProof/>
                <w:webHidden/>
              </w:rPr>
              <w:t>15</w:t>
            </w:r>
            <w:r>
              <w:rPr>
                <w:noProof/>
                <w:webHidden/>
              </w:rPr>
              <w:fldChar w:fldCharType="end"/>
            </w:r>
          </w:hyperlink>
        </w:p>
        <w:p w14:paraId="296BC99F" w14:textId="3341D6FF" w:rsidR="00BD3F39" w:rsidRDefault="00BD3F39">
          <w:pPr>
            <w:pStyle w:val="TOC2"/>
            <w:tabs>
              <w:tab w:val="left" w:pos="1200"/>
              <w:tab w:val="right" w:leader="dot" w:pos="9350"/>
            </w:tabs>
            <w:rPr>
              <w:rFonts w:eastAsiaTheme="minorEastAsia"/>
              <w:noProof/>
              <w:lang w:val="it-IT" w:eastAsia="it-IT"/>
            </w:rPr>
          </w:pPr>
          <w:hyperlink w:anchor="_Toc225282871" w:history="1">
            <w:r w:rsidRPr="00B5309A">
              <w:rPr>
                <w:rStyle w:val="Hyperlink"/>
                <w:noProof/>
              </w:rPr>
              <w:t>11.1.</w:t>
            </w:r>
            <w:r>
              <w:rPr>
                <w:rFonts w:eastAsiaTheme="minorEastAsia"/>
                <w:noProof/>
                <w:lang w:val="it-IT" w:eastAsia="it-IT"/>
              </w:rPr>
              <w:tab/>
            </w:r>
            <w:r w:rsidRPr="00B5309A">
              <w:rPr>
                <w:rStyle w:val="Hyperlink"/>
                <w:noProof/>
              </w:rPr>
              <w:t>Calsse A – Alta</w:t>
            </w:r>
            <w:r>
              <w:rPr>
                <w:noProof/>
                <w:webHidden/>
              </w:rPr>
              <w:tab/>
            </w:r>
            <w:r>
              <w:rPr>
                <w:noProof/>
                <w:webHidden/>
              </w:rPr>
              <w:fldChar w:fldCharType="begin"/>
            </w:r>
            <w:r>
              <w:rPr>
                <w:noProof/>
                <w:webHidden/>
              </w:rPr>
              <w:instrText xml:space="preserve"> PAGEREF _Toc225282871 \h </w:instrText>
            </w:r>
            <w:r>
              <w:rPr>
                <w:noProof/>
                <w:webHidden/>
              </w:rPr>
            </w:r>
            <w:r>
              <w:rPr>
                <w:noProof/>
                <w:webHidden/>
              </w:rPr>
              <w:fldChar w:fldCharType="separate"/>
            </w:r>
            <w:r>
              <w:rPr>
                <w:noProof/>
                <w:webHidden/>
              </w:rPr>
              <w:t>15</w:t>
            </w:r>
            <w:r>
              <w:rPr>
                <w:noProof/>
                <w:webHidden/>
              </w:rPr>
              <w:fldChar w:fldCharType="end"/>
            </w:r>
          </w:hyperlink>
        </w:p>
        <w:p w14:paraId="27229289" w14:textId="155BE8C1" w:rsidR="00BD3F39" w:rsidRDefault="00BD3F39">
          <w:pPr>
            <w:pStyle w:val="TOC2"/>
            <w:tabs>
              <w:tab w:val="left" w:pos="1200"/>
              <w:tab w:val="right" w:leader="dot" w:pos="9350"/>
            </w:tabs>
            <w:rPr>
              <w:rFonts w:eastAsiaTheme="minorEastAsia"/>
              <w:noProof/>
              <w:lang w:val="it-IT" w:eastAsia="it-IT"/>
            </w:rPr>
          </w:pPr>
          <w:hyperlink w:anchor="_Toc225282872" w:history="1">
            <w:r w:rsidRPr="00B5309A">
              <w:rPr>
                <w:rStyle w:val="Hyperlink"/>
                <w:noProof/>
              </w:rPr>
              <w:t>11.2.</w:t>
            </w:r>
            <w:r>
              <w:rPr>
                <w:rFonts w:eastAsiaTheme="minorEastAsia"/>
                <w:noProof/>
                <w:lang w:val="it-IT" w:eastAsia="it-IT"/>
              </w:rPr>
              <w:tab/>
            </w:r>
            <w:r w:rsidRPr="00B5309A">
              <w:rPr>
                <w:rStyle w:val="Hyperlink"/>
                <w:noProof/>
              </w:rPr>
              <w:t>Classe B – Media</w:t>
            </w:r>
            <w:r>
              <w:rPr>
                <w:noProof/>
                <w:webHidden/>
              </w:rPr>
              <w:tab/>
            </w:r>
            <w:r>
              <w:rPr>
                <w:noProof/>
                <w:webHidden/>
              </w:rPr>
              <w:fldChar w:fldCharType="begin"/>
            </w:r>
            <w:r>
              <w:rPr>
                <w:noProof/>
                <w:webHidden/>
              </w:rPr>
              <w:instrText xml:space="preserve"> PAGEREF _Toc225282872 \h </w:instrText>
            </w:r>
            <w:r>
              <w:rPr>
                <w:noProof/>
                <w:webHidden/>
              </w:rPr>
            </w:r>
            <w:r>
              <w:rPr>
                <w:noProof/>
                <w:webHidden/>
              </w:rPr>
              <w:fldChar w:fldCharType="separate"/>
            </w:r>
            <w:r>
              <w:rPr>
                <w:noProof/>
                <w:webHidden/>
              </w:rPr>
              <w:t>15</w:t>
            </w:r>
            <w:r>
              <w:rPr>
                <w:noProof/>
                <w:webHidden/>
              </w:rPr>
              <w:fldChar w:fldCharType="end"/>
            </w:r>
          </w:hyperlink>
        </w:p>
        <w:p w14:paraId="745C46F7" w14:textId="5E2ADF14" w:rsidR="00BD3F39" w:rsidRDefault="00BD3F39">
          <w:pPr>
            <w:pStyle w:val="TOC2"/>
            <w:tabs>
              <w:tab w:val="left" w:pos="1200"/>
              <w:tab w:val="right" w:leader="dot" w:pos="9350"/>
            </w:tabs>
            <w:rPr>
              <w:rFonts w:eastAsiaTheme="minorEastAsia"/>
              <w:noProof/>
              <w:lang w:val="it-IT" w:eastAsia="it-IT"/>
            </w:rPr>
          </w:pPr>
          <w:hyperlink w:anchor="_Toc225282873" w:history="1">
            <w:r w:rsidRPr="00B5309A">
              <w:rPr>
                <w:rStyle w:val="Hyperlink"/>
                <w:noProof/>
              </w:rPr>
              <w:t>11.3.</w:t>
            </w:r>
            <w:r>
              <w:rPr>
                <w:rFonts w:eastAsiaTheme="minorEastAsia"/>
                <w:noProof/>
                <w:lang w:val="it-IT" w:eastAsia="it-IT"/>
              </w:rPr>
              <w:tab/>
            </w:r>
            <w:r w:rsidRPr="00B5309A">
              <w:rPr>
                <w:rStyle w:val="Hyperlink"/>
                <w:noProof/>
              </w:rPr>
              <w:t>Classe C – Bassa</w:t>
            </w:r>
            <w:r>
              <w:rPr>
                <w:noProof/>
                <w:webHidden/>
              </w:rPr>
              <w:tab/>
            </w:r>
            <w:r>
              <w:rPr>
                <w:noProof/>
                <w:webHidden/>
              </w:rPr>
              <w:fldChar w:fldCharType="begin"/>
            </w:r>
            <w:r>
              <w:rPr>
                <w:noProof/>
                <w:webHidden/>
              </w:rPr>
              <w:instrText xml:space="preserve"> PAGEREF _Toc225282873 \h </w:instrText>
            </w:r>
            <w:r>
              <w:rPr>
                <w:noProof/>
                <w:webHidden/>
              </w:rPr>
            </w:r>
            <w:r>
              <w:rPr>
                <w:noProof/>
                <w:webHidden/>
              </w:rPr>
              <w:fldChar w:fldCharType="separate"/>
            </w:r>
            <w:r>
              <w:rPr>
                <w:noProof/>
                <w:webHidden/>
              </w:rPr>
              <w:t>15</w:t>
            </w:r>
            <w:r>
              <w:rPr>
                <w:noProof/>
                <w:webHidden/>
              </w:rPr>
              <w:fldChar w:fldCharType="end"/>
            </w:r>
          </w:hyperlink>
        </w:p>
        <w:p w14:paraId="131B7096" w14:textId="42ED0E1F" w:rsidR="00BD3F39" w:rsidRDefault="00BD3F39">
          <w:pPr>
            <w:pStyle w:val="TOC1"/>
            <w:tabs>
              <w:tab w:val="left" w:pos="720"/>
              <w:tab w:val="right" w:leader="dot" w:pos="9350"/>
            </w:tabs>
            <w:rPr>
              <w:rFonts w:eastAsiaTheme="minorEastAsia"/>
              <w:noProof/>
              <w:lang w:val="it-IT" w:eastAsia="it-IT"/>
            </w:rPr>
          </w:pPr>
          <w:hyperlink w:anchor="_Toc225282874" w:history="1">
            <w:r w:rsidRPr="00B5309A">
              <w:rPr>
                <w:rStyle w:val="Hyperlink"/>
                <w:noProof/>
                <w:lang w:val="it-IT"/>
              </w:rPr>
              <w:t>12.</w:t>
            </w:r>
            <w:r>
              <w:rPr>
                <w:rFonts w:eastAsiaTheme="minorEastAsia"/>
                <w:noProof/>
                <w:lang w:val="it-IT" w:eastAsia="it-IT"/>
              </w:rPr>
              <w:tab/>
            </w:r>
            <w:r w:rsidRPr="00B5309A">
              <w:rPr>
                <w:rStyle w:val="Hyperlink"/>
                <w:noProof/>
              </w:rPr>
              <w:t>Strategie di test</w:t>
            </w:r>
            <w:r>
              <w:rPr>
                <w:noProof/>
                <w:webHidden/>
              </w:rPr>
              <w:tab/>
            </w:r>
            <w:r>
              <w:rPr>
                <w:noProof/>
                <w:webHidden/>
              </w:rPr>
              <w:fldChar w:fldCharType="begin"/>
            </w:r>
            <w:r>
              <w:rPr>
                <w:noProof/>
                <w:webHidden/>
              </w:rPr>
              <w:instrText xml:space="preserve"> PAGEREF _Toc225282874 \h </w:instrText>
            </w:r>
            <w:r>
              <w:rPr>
                <w:noProof/>
                <w:webHidden/>
              </w:rPr>
            </w:r>
            <w:r>
              <w:rPr>
                <w:noProof/>
                <w:webHidden/>
              </w:rPr>
              <w:fldChar w:fldCharType="separate"/>
            </w:r>
            <w:r>
              <w:rPr>
                <w:noProof/>
                <w:webHidden/>
              </w:rPr>
              <w:t>16</w:t>
            </w:r>
            <w:r>
              <w:rPr>
                <w:noProof/>
                <w:webHidden/>
              </w:rPr>
              <w:fldChar w:fldCharType="end"/>
            </w:r>
          </w:hyperlink>
        </w:p>
        <w:p w14:paraId="1EBAF1E7" w14:textId="07D9195C" w:rsidR="00BD3F39" w:rsidRDefault="00BD3F39">
          <w:pPr>
            <w:pStyle w:val="TOC2"/>
            <w:tabs>
              <w:tab w:val="left" w:pos="1200"/>
              <w:tab w:val="right" w:leader="dot" w:pos="9350"/>
            </w:tabs>
            <w:rPr>
              <w:rFonts w:eastAsiaTheme="minorEastAsia"/>
              <w:noProof/>
              <w:lang w:val="it-IT" w:eastAsia="it-IT"/>
            </w:rPr>
          </w:pPr>
          <w:hyperlink w:anchor="_Toc225282875" w:history="1">
            <w:r w:rsidRPr="00B5309A">
              <w:rPr>
                <w:rStyle w:val="Hyperlink"/>
                <w:noProof/>
                <w:lang w:val="it-IT"/>
              </w:rPr>
              <w:t>12.1.</w:t>
            </w:r>
            <w:r>
              <w:rPr>
                <w:rFonts w:eastAsiaTheme="minorEastAsia"/>
                <w:noProof/>
                <w:lang w:val="it-IT" w:eastAsia="it-IT"/>
              </w:rPr>
              <w:tab/>
            </w:r>
            <w:r w:rsidRPr="00B5309A">
              <w:rPr>
                <w:rStyle w:val="Hyperlink"/>
                <w:noProof/>
                <w:lang w:val="it-IT"/>
              </w:rPr>
              <w:t>Metodologie e tecniche di test</w:t>
            </w:r>
            <w:r>
              <w:rPr>
                <w:noProof/>
                <w:webHidden/>
              </w:rPr>
              <w:tab/>
            </w:r>
            <w:r>
              <w:rPr>
                <w:noProof/>
                <w:webHidden/>
              </w:rPr>
              <w:fldChar w:fldCharType="begin"/>
            </w:r>
            <w:r>
              <w:rPr>
                <w:noProof/>
                <w:webHidden/>
              </w:rPr>
              <w:instrText xml:space="preserve"> PAGEREF _Toc225282875 \h </w:instrText>
            </w:r>
            <w:r>
              <w:rPr>
                <w:noProof/>
                <w:webHidden/>
              </w:rPr>
            </w:r>
            <w:r>
              <w:rPr>
                <w:noProof/>
                <w:webHidden/>
              </w:rPr>
              <w:fldChar w:fldCharType="separate"/>
            </w:r>
            <w:r>
              <w:rPr>
                <w:noProof/>
                <w:webHidden/>
              </w:rPr>
              <w:t>16</w:t>
            </w:r>
            <w:r>
              <w:rPr>
                <w:noProof/>
                <w:webHidden/>
              </w:rPr>
              <w:fldChar w:fldCharType="end"/>
            </w:r>
          </w:hyperlink>
        </w:p>
        <w:p w14:paraId="04DEE25E" w14:textId="77CCF0FE" w:rsidR="00BD3F39" w:rsidRDefault="00BD3F39">
          <w:pPr>
            <w:pStyle w:val="TOC2"/>
            <w:tabs>
              <w:tab w:val="left" w:pos="1200"/>
              <w:tab w:val="right" w:leader="dot" w:pos="9350"/>
            </w:tabs>
            <w:rPr>
              <w:rFonts w:eastAsiaTheme="minorEastAsia"/>
              <w:noProof/>
              <w:lang w:val="it-IT" w:eastAsia="it-IT"/>
            </w:rPr>
          </w:pPr>
          <w:hyperlink w:anchor="_Toc225282876" w:history="1">
            <w:r w:rsidRPr="00B5309A">
              <w:rPr>
                <w:rStyle w:val="Hyperlink"/>
                <w:rFonts w:eastAsia="Calibri"/>
                <w:noProof/>
                <w:lang w:val="it-IT"/>
              </w:rPr>
              <w:t>12.2.</w:t>
            </w:r>
            <w:r>
              <w:rPr>
                <w:rFonts w:eastAsiaTheme="minorEastAsia"/>
                <w:noProof/>
                <w:lang w:val="it-IT" w:eastAsia="it-IT"/>
              </w:rPr>
              <w:tab/>
            </w:r>
            <w:r w:rsidRPr="00B5309A">
              <w:rPr>
                <w:rStyle w:val="Hyperlink"/>
                <w:rFonts w:eastAsia="Calibri"/>
                <w:noProof/>
                <w:lang w:val="it-IT"/>
              </w:rPr>
              <w:t>Criteri di assegnazione del livello di rischio per i test</w:t>
            </w:r>
            <w:r>
              <w:rPr>
                <w:noProof/>
                <w:webHidden/>
              </w:rPr>
              <w:tab/>
            </w:r>
            <w:r>
              <w:rPr>
                <w:noProof/>
                <w:webHidden/>
              </w:rPr>
              <w:fldChar w:fldCharType="begin"/>
            </w:r>
            <w:r>
              <w:rPr>
                <w:noProof/>
                <w:webHidden/>
              </w:rPr>
              <w:instrText xml:space="preserve"> PAGEREF _Toc225282876 \h </w:instrText>
            </w:r>
            <w:r>
              <w:rPr>
                <w:noProof/>
                <w:webHidden/>
              </w:rPr>
            </w:r>
            <w:r>
              <w:rPr>
                <w:noProof/>
                <w:webHidden/>
              </w:rPr>
              <w:fldChar w:fldCharType="separate"/>
            </w:r>
            <w:r>
              <w:rPr>
                <w:noProof/>
                <w:webHidden/>
              </w:rPr>
              <w:t>16</w:t>
            </w:r>
            <w:r>
              <w:rPr>
                <w:noProof/>
                <w:webHidden/>
              </w:rPr>
              <w:fldChar w:fldCharType="end"/>
            </w:r>
          </w:hyperlink>
        </w:p>
        <w:p w14:paraId="759EF382" w14:textId="7F6EEB44" w:rsidR="00BD3F39" w:rsidRDefault="00BD3F39">
          <w:pPr>
            <w:pStyle w:val="TOC2"/>
            <w:tabs>
              <w:tab w:val="left" w:pos="1200"/>
              <w:tab w:val="right" w:leader="dot" w:pos="9350"/>
            </w:tabs>
            <w:rPr>
              <w:rFonts w:eastAsiaTheme="minorEastAsia"/>
              <w:noProof/>
              <w:lang w:val="it-IT" w:eastAsia="it-IT"/>
            </w:rPr>
          </w:pPr>
          <w:hyperlink w:anchor="_Toc225282877" w:history="1">
            <w:r w:rsidRPr="00B5309A">
              <w:rPr>
                <w:rStyle w:val="Hyperlink"/>
                <w:noProof/>
              </w:rPr>
              <w:t>12.3.</w:t>
            </w:r>
            <w:r>
              <w:rPr>
                <w:rFonts w:eastAsiaTheme="minorEastAsia"/>
                <w:noProof/>
                <w:lang w:val="it-IT" w:eastAsia="it-IT"/>
              </w:rPr>
              <w:tab/>
            </w:r>
            <w:r w:rsidRPr="00B5309A">
              <w:rPr>
                <w:rStyle w:val="Hyperlink"/>
                <w:noProof/>
              </w:rPr>
              <w:t>Tipologie di test</w:t>
            </w:r>
            <w:r>
              <w:rPr>
                <w:noProof/>
                <w:webHidden/>
              </w:rPr>
              <w:tab/>
            </w:r>
            <w:r>
              <w:rPr>
                <w:noProof/>
                <w:webHidden/>
              </w:rPr>
              <w:fldChar w:fldCharType="begin"/>
            </w:r>
            <w:r>
              <w:rPr>
                <w:noProof/>
                <w:webHidden/>
              </w:rPr>
              <w:instrText xml:space="preserve"> PAGEREF _Toc225282877 \h </w:instrText>
            </w:r>
            <w:r>
              <w:rPr>
                <w:noProof/>
                <w:webHidden/>
              </w:rPr>
            </w:r>
            <w:r>
              <w:rPr>
                <w:noProof/>
                <w:webHidden/>
              </w:rPr>
              <w:fldChar w:fldCharType="separate"/>
            </w:r>
            <w:r>
              <w:rPr>
                <w:noProof/>
                <w:webHidden/>
              </w:rPr>
              <w:t>17</w:t>
            </w:r>
            <w:r>
              <w:rPr>
                <w:noProof/>
                <w:webHidden/>
              </w:rPr>
              <w:fldChar w:fldCharType="end"/>
            </w:r>
          </w:hyperlink>
        </w:p>
        <w:p w14:paraId="6DF0A761" w14:textId="2A4EA93C" w:rsidR="00BD3F39" w:rsidRDefault="00BD3F39">
          <w:pPr>
            <w:pStyle w:val="TOC2"/>
            <w:tabs>
              <w:tab w:val="left" w:pos="1200"/>
              <w:tab w:val="right" w:leader="dot" w:pos="9350"/>
            </w:tabs>
            <w:rPr>
              <w:rFonts w:eastAsiaTheme="minorEastAsia"/>
              <w:noProof/>
              <w:lang w:val="it-IT" w:eastAsia="it-IT"/>
            </w:rPr>
          </w:pPr>
          <w:hyperlink w:anchor="_Toc225282878" w:history="1">
            <w:r w:rsidRPr="00B5309A">
              <w:rPr>
                <w:rStyle w:val="Hyperlink"/>
                <w:noProof/>
              </w:rPr>
              <w:t>12.4.</w:t>
            </w:r>
            <w:r>
              <w:rPr>
                <w:rFonts w:eastAsiaTheme="minorEastAsia"/>
                <w:noProof/>
                <w:lang w:val="it-IT" w:eastAsia="it-IT"/>
              </w:rPr>
              <w:tab/>
            </w:r>
            <w:r w:rsidRPr="00B5309A">
              <w:rPr>
                <w:rStyle w:val="Hyperlink"/>
                <w:noProof/>
              </w:rPr>
              <w:t>Cicli di test</w:t>
            </w:r>
            <w:r>
              <w:rPr>
                <w:noProof/>
                <w:webHidden/>
              </w:rPr>
              <w:tab/>
            </w:r>
            <w:r>
              <w:rPr>
                <w:noProof/>
                <w:webHidden/>
              </w:rPr>
              <w:fldChar w:fldCharType="begin"/>
            </w:r>
            <w:r>
              <w:rPr>
                <w:noProof/>
                <w:webHidden/>
              </w:rPr>
              <w:instrText xml:space="preserve"> PAGEREF _Toc225282878 \h </w:instrText>
            </w:r>
            <w:r>
              <w:rPr>
                <w:noProof/>
                <w:webHidden/>
              </w:rPr>
            </w:r>
            <w:r>
              <w:rPr>
                <w:noProof/>
                <w:webHidden/>
              </w:rPr>
              <w:fldChar w:fldCharType="separate"/>
            </w:r>
            <w:r>
              <w:rPr>
                <w:noProof/>
                <w:webHidden/>
              </w:rPr>
              <w:t>17</w:t>
            </w:r>
            <w:r>
              <w:rPr>
                <w:noProof/>
                <w:webHidden/>
              </w:rPr>
              <w:fldChar w:fldCharType="end"/>
            </w:r>
          </w:hyperlink>
        </w:p>
        <w:p w14:paraId="44521678" w14:textId="0E69CEB7" w:rsidR="00BD3F39" w:rsidRDefault="00BD3F39">
          <w:pPr>
            <w:pStyle w:val="TOC2"/>
            <w:tabs>
              <w:tab w:val="left" w:pos="1200"/>
              <w:tab w:val="right" w:leader="dot" w:pos="9350"/>
            </w:tabs>
            <w:rPr>
              <w:rFonts w:eastAsiaTheme="minorEastAsia"/>
              <w:noProof/>
              <w:lang w:val="it-IT" w:eastAsia="it-IT"/>
            </w:rPr>
          </w:pPr>
          <w:hyperlink w:anchor="_Toc225282879" w:history="1">
            <w:r w:rsidRPr="00B5309A">
              <w:rPr>
                <w:rStyle w:val="Hyperlink"/>
                <w:noProof/>
                <w:lang w:val="it-IT"/>
              </w:rPr>
              <w:t>12.5.</w:t>
            </w:r>
            <w:r>
              <w:rPr>
                <w:rFonts w:eastAsiaTheme="minorEastAsia"/>
                <w:noProof/>
                <w:lang w:val="it-IT" w:eastAsia="it-IT"/>
              </w:rPr>
              <w:tab/>
            </w:r>
            <w:r w:rsidRPr="00B5309A">
              <w:rPr>
                <w:rStyle w:val="Hyperlink"/>
                <w:noProof/>
                <w:lang w:val="it-IT"/>
              </w:rPr>
              <w:t>Strumenti e ambienti di test</w:t>
            </w:r>
            <w:r>
              <w:rPr>
                <w:noProof/>
                <w:webHidden/>
              </w:rPr>
              <w:tab/>
            </w:r>
            <w:r>
              <w:rPr>
                <w:noProof/>
                <w:webHidden/>
              </w:rPr>
              <w:fldChar w:fldCharType="begin"/>
            </w:r>
            <w:r>
              <w:rPr>
                <w:noProof/>
                <w:webHidden/>
              </w:rPr>
              <w:instrText xml:space="preserve"> PAGEREF _Toc225282879 \h </w:instrText>
            </w:r>
            <w:r>
              <w:rPr>
                <w:noProof/>
                <w:webHidden/>
              </w:rPr>
            </w:r>
            <w:r>
              <w:rPr>
                <w:noProof/>
                <w:webHidden/>
              </w:rPr>
              <w:fldChar w:fldCharType="separate"/>
            </w:r>
            <w:r>
              <w:rPr>
                <w:noProof/>
                <w:webHidden/>
              </w:rPr>
              <w:t>18</w:t>
            </w:r>
            <w:r>
              <w:rPr>
                <w:noProof/>
                <w:webHidden/>
              </w:rPr>
              <w:fldChar w:fldCharType="end"/>
            </w:r>
          </w:hyperlink>
        </w:p>
        <w:p w14:paraId="1C34D888" w14:textId="0C0EFA9F" w:rsidR="00BD3F39" w:rsidRDefault="00BD3F39">
          <w:pPr>
            <w:pStyle w:val="TOC2"/>
            <w:tabs>
              <w:tab w:val="left" w:pos="1200"/>
              <w:tab w:val="right" w:leader="dot" w:pos="9350"/>
            </w:tabs>
            <w:rPr>
              <w:rFonts w:eastAsiaTheme="minorEastAsia"/>
              <w:noProof/>
              <w:lang w:val="it-IT" w:eastAsia="it-IT"/>
            </w:rPr>
          </w:pPr>
          <w:hyperlink w:anchor="_Toc225282880" w:history="1">
            <w:r w:rsidRPr="00B5309A">
              <w:rPr>
                <w:rStyle w:val="Hyperlink"/>
                <w:noProof/>
              </w:rPr>
              <w:t>12.6.</w:t>
            </w:r>
            <w:r>
              <w:rPr>
                <w:rFonts w:eastAsiaTheme="minorEastAsia"/>
                <w:noProof/>
                <w:lang w:val="it-IT" w:eastAsia="it-IT"/>
              </w:rPr>
              <w:tab/>
            </w:r>
            <w:r w:rsidRPr="00B5309A">
              <w:rPr>
                <w:rStyle w:val="Hyperlink"/>
                <w:noProof/>
              </w:rPr>
              <w:t>Assunzioni, vincoli e rischi</w:t>
            </w:r>
            <w:r>
              <w:rPr>
                <w:noProof/>
                <w:webHidden/>
              </w:rPr>
              <w:tab/>
            </w:r>
            <w:r>
              <w:rPr>
                <w:noProof/>
                <w:webHidden/>
              </w:rPr>
              <w:fldChar w:fldCharType="begin"/>
            </w:r>
            <w:r>
              <w:rPr>
                <w:noProof/>
                <w:webHidden/>
              </w:rPr>
              <w:instrText xml:space="preserve"> PAGEREF _Toc225282880 \h </w:instrText>
            </w:r>
            <w:r>
              <w:rPr>
                <w:noProof/>
                <w:webHidden/>
              </w:rPr>
            </w:r>
            <w:r>
              <w:rPr>
                <w:noProof/>
                <w:webHidden/>
              </w:rPr>
              <w:fldChar w:fldCharType="separate"/>
            </w:r>
            <w:r>
              <w:rPr>
                <w:noProof/>
                <w:webHidden/>
              </w:rPr>
              <w:t>19</w:t>
            </w:r>
            <w:r>
              <w:rPr>
                <w:noProof/>
                <w:webHidden/>
              </w:rPr>
              <w:fldChar w:fldCharType="end"/>
            </w:r>
          </w:hyperlink>
        </w:p>
        <w:p w14:paraId="32639234" w14:textId="701266D2" w:rsidR="00BD3F39" w:rsidRDefault="00BD3F39">
          <w:pPr>
            <w:pStyle w:val="TOC1"/>
            <w:tabs>
              <w:tab w:val="left" w:pos="720"/>
              <w:tab w:val="right" w:leader="dot" w:pos="9350"/>
            </w:tabs>
            <w:rPr>
              <w:rFonts w:eastAsiaTheme="minorEastAsia"/>
              <w:noProof/>
              <w:lang w:val="it-IT" w:eastAsia="it-IT"/>
            </w:rPr>
          </w:pPr>
          <w:hyperlink w:anchor="_Toc225282881" w:history="1">
            <w:r w:rsidRPr="00B5309A">
              <w:rPr>
                <w:rStyle w:val="Hyperlink"/>
                <w:noProof/>
                <w:lang w:val="it-IT"/>
              </w:rPr>
              <w:t>13.</w:t>
            </w:r>
            <w:r>
              <w:rPr>
                <w:rFonts w:eastAsiaTheme="minorEastAsia"/>
                <w:noProof/>
                <w:lang w:val="it-IT" w:eastAsia="it-IT"/>
              </w:rPr>
              <w:tab/>
            </w:r>
            <w:r w:rsidRPr="00B5309A">
              <w:rPr>
                <w:rStyle w:val="Hyperlink"/>
                <w:noProof/>
              </w:rPr>
              <w:t>Modifiche in Corso d’opera</w:t>
            </w:r>
            <w:r>
              <w:rPr>
                <w:noProof/>
                <w:webHidden/>
              </w:rPr>
              <w:tab/>
            </w:r>
            <w:r>
              <w:rPr>
                <w:noProof/>
                <w:webHidden/>
              </w:rPr>
              <w:fldChar w:fldCharType="begin"/>
            </w:r>
            <w:r>
              <w:rPr>
                <w:noProof/>
                <w:webHidden/>
              </w:rPr>
              <w:instrText xml:space="preserve"> PAGEREF _Toc225282881 \h </w:instrText>
            </w:r>
            <w:r>
              <w:rPr>
                <w:noProof/>
                <w:webHidden/>
              </w:rPr>
            </w:r>
            <w:r>
              <w:rPr>
                <w:noProof/>
                <w:webHidden/>
              </w:rPr>
              <w:fldChar w:fldCharType="separate"/>
            </w:r>
            <w:r>
              <w:rPr>
                <w:noProof/>
                <w:webHidden/>
              </w:rPr>
              <w:t>19</w:t>
            </w:r>
            <w:r>
              <w:rPr>
                <w:noProof/>
                <w:webHidden/>
              </w:rPr>
              <w:fldChar w:fldCharType="end"/>
            </w:r>
          </w:hyperlink>
        </w:p>
        <w:p w14:paraId="30ECA298" w14:textId="3FE05814" w:rsidR="00BD3F39" w:rsidRDefault="00BD3F39">
          <w:pPr>
            <w:pStyle w:val="TOC1"/>
            <w:tabs>
              <w:tab w:val="left" w:pos="720"/>
              <w:tab w:val="right" w:leader="dot" w:pos="9350"/>
            </w:tabs>
            <w:rPr>
              <w:rFonts w:eastAsiaTheme="minorEastAsia"/>
              <w:noProof/>
              <w:lang w:val="it-IT" w:eastAsia="it-IT"/>
            </w:rPr>
          </w:pPr>
          <w:hyperlink w:anchor="_Toc225282882" w:history="1">
            <w:r w:rsidRPr="00B5309A">
              <w:rPr>
                <w:rStyle w:val="Hyperlink"/>
                <w:noProof/>
                <w:lang w:val="it-IT"/>
              </w:rPr>
              <w:t>14.</w:t>
            </w:r>
            <w:r>
              <w:rPr>
                <w:rFonts w:eastAsiaTheme="minorEastAsia"/>
                <w:noProof/>
                <w:lang w:val="it-IT" w:eastAsia="it-IT"/>
              </w:rPr>
              <w:tab/>
            </w:r>
            <w:r w:rsidRPr="00B5309A">
              <w:rPr>
                <w:rStyle w:val="Hyperlink"/>
                <w:noProof/>
              </w:rPr>
              <w:t>Gestione della Configurazione</w:t>
            </w:r>
            <w:r>
              <w:rPr>
                <w:noProof/>
                <w:webHidden/>
              </w:rPr>
              <w:tab/>
            </w:r>
            <w:r>
              <w:rPr>
                <w:noProof/>
                <w:webHidden/>
              </w:rPr>
              <w:fldChar w:fldCharType="begin"/>
            </w:r>
            <w:r>
              <w:rPr>
                <w:noProof/>
                <w:webHidden/>
              </w:rPr>
              <w:instrText xml:space="preserve"> PAGEREF _Toc225282882 \h </w:instrText>
            </w:r>
            <w:r>
              <w:rPr>
                <w:noProof/>
                <w:webHidden/>
              </w:rPr>
            </w:r>
            <w:r>
              <w:rPr>
                <w:noProof/>
                <w:webHidden/>
              </w:rPr>
              <w:fldChar w:fldCharType="separate"/>
            </w:r>
            <w:r>
              <w:rPr>
                <w:noProof/>
                <w:webHidden/>
              </w:rPr>
              <w:t>20</w:t>
            </w:r>
            <w:r>
              <w:rPr>
                <w:noProof/>
                <w:webHidden/>
              </w:rPr>
              <w:fldChar w:fldCharType="end"/>
            </w:r>
          </w:hyperlink>
        </w:p>
        <w:p w14:paraId="1B998A57" w14:textId="0126628F" w:rsidR="004012B1" w:rsidRDefault="03A4E128" w:rsidP="03A4E128">
          <w:pPr>
            <w:pStyle w:val="TOC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pPr>
        <w:pStyle w:val="Heading1"/>
      </w:pPr>
      <w:r>
        <w:t>Scopo del documento</w:t>
      </w:r>
    </w:p>
    <w:p>
      <w:pPr/>
      <w:r>
        <w:rPr>
          <w:b w:val="0"/>
        </w:rPr>
        <w:t xml:space="preserve">Questo documento descrive </w:t>
      </w:r>
      <w:r>
        <w:rPr>
          <w:b/>
        </w:rPr>
        <w:t>come SIPO riconosce le persone e decide che cosa possano fare</w:t>
      </w:r>
      <w:r>
        <w:rPr>
          <w:b w:val="0"/>
        </w:rPr>
        <w:t xml:space="preserve">, e </w:t>
      </w:r>
      <w:r>
        <w:rPr>
          <w:b/>
        </w:rPr>
        <w:t>come questo cambia</w:t>
      </w:r>
      <w:r>
        <w:rPr>
          <w:b w:val="0"/>
        </w:rPr>
        <w:t xml:space="preserve"> con l’adozione del servizio di gestione delle identità di Roma Capitale. Tiene insieme le due cose di proposito: un accesso robusto davanti a servizi che rispondono senza gettone non migliora la sicurezza complessiva, e separare lo stato di fatto dal piano di intervento avrebbe nascosto proprio questo.</w:t>
      </w:r>
    </w:p>
    <w:p>
      <w:pPr/>
      <w:r>
        <w:rPr>
          <w:b w:val="0"/>
        </w:rPr>
        <w:t xml:space="preserve">È diviso in due parti. La </w:t>
      </w:r>
      <w:r>
        <w:rPr>
          <w:b/>
        </w:rPr>
        <w:t>prima</w:t>
      </w:r>
      <w:r>
        <w:rPr>
          <w:b w:val="0"/>
        </w:rPr>
        <w:t xml:space="preserve"> è una ricognizione dello stato di fatto, condotta sui sorgenti: non propone nulla e registra ciò che trova, compreso ciò che non c’è. La </w:t>
      </w:r>
      <w:r>
        <w:rPr>
          <w:b/>
        </w:rPr>
        <w:t>seconda</w:t>
      </w:r>
      <w:r>
        <w:rPr>
          <w:b w:val="0"/>
        </w:rPr>
        <w:t xml:space="preserve"> descrive l’integrazione con l’IAM: il flusso target, le decisioni da prendere con la raccomandazione motivata di chi scrive, gli interventi per componente e il piano per fasi.</w:t>
      </w:r>
    </w:p>
    <w:p>
      <w:pPr/>
      <w:r>
        <w:rPr>
          <w:b w:val="0"/>
        </w:rPr>
        <w:t xml:space="preserve">⚠️ </w:t>
      </w:r>
      <w:r>
        <w:rPr>
          <w:b/>
        </w:rPr>
        <w:t>Sostituisce [F1]</w:t>
      </w:r>
      <w:r>
        <w:rPr>
          <w:b w:val="0"/>
        </w:rPr>
        <w:t>, che resta agli atti come versione storica e non va più aggiornato. Due documenti sullo stesso tema divergono sempre, e qui il tema è uno solo.</w:t>
      </w:r>
    </w:p>
    <w:p>
      <w:pPr>
        <w:pStyle w:val="Heading2"/>
      </w:pPr>
      <w:r>
        <w:t>Perimetro e metodo</w:t>
      </w:r>
    </w:p>
    <w:p>
      <w:pPr/>
      <w:r>
        <w:rPr>
          <w:b w:val="0"/>
        </w:rPr>
        <w:t>Il documento accorpa tre ricognizioni indipendenti. La prima [F1] ha battuto in ampiezza l’intero perimetro di SIPO. La seconda [F2] ha campionato in profondità una coppia di moduli — il front-end e il back-end dei decessi — ricostruendo la catena fino ad ANPR. La terza [F3] ha studiato l’integrazione con l’IAM a partire dalla specifica dell’ente [F4].</w:t>
      </w:r>
    </w:p>
    <w:p>
      <w:pPr/>
      <w:r>
        <w:rPr>
          <w:b/>
        </w:rPr>
        <w:t>Le tre ricognizioni concordano su tutti i punti d’impianto</w:t>
      </w:r>
      <w:r>
        <w:rPr>
          <w:b w:val="0"/>
        </w:rPr>
        <w:t>, pur essendo state condotte separatamente e con perimetri diversi. Dove divergevano, la divergenza è stata verificata sui sorgenti e risolta; i tre casi sono riportati qui sotto perché la convergenza non sia data per scontata.</w:t>
      </w:r>
    </w:p>
    <w:tbl>
      <w:tblPr>
        <w:tblStyle w:val="TableGrid"/>
        <w:tblW w:type="auto" w:w="0"/>
        <w:tblLook w:firstColumn="1" w:firstRow="1" w:lastColumn="0" w:lastRow="0" w:noHBand="0" w:noVBand="1" w:val="04A0"/>
      </w:tblPr>
      <w:tblGrid>
        <w:gridCol w:w="2340"/>
        <w:gridCol w:w="2340"/>
        <w:gridCol w:w="2340"/>
        <w:gridCol w:w="2340"/>
      </w:tblGrid>
      <w:tr>
        <w:tc>
          <w:tcPr>
            <w:tcW w:type="dxa" w:w="1872"/>
          </w:tcPr>
          <w:p>
            <w:r/>
            <w:r>
              <w:rPr>
                <w:b/>
                <w:sz w:val="17"/>
              </w:rPr>
              <w:t>Punto</w:t>
            </w:r>
          </w:p>
        </w:tc>
        <w:tc>
          <w:tcPr>
            <w:tcW w:type="dxa" w:w="1584"/>
          </w:tcPr>
          <w:p>
            <w:r/>
            <w:r>
              <w:rPr>
                <w:b/>
                <w:sz w:val="17"/>
              </w:rPr>
              <w:t>Prima lettura</w:t>
            </w:r>
          </w:p>
        </w:tc>
        <w:tc>
          <w:tcPr>
            <w:tcW w:type="dxa" w:w="1584"/>
          </w:tcPr>
          <w:p>
            <w:r/>
            <w:r>
              <w:rPr>
                <w:b/>
                <w:sz w:val="17"/>
              </w:rPr>
              <w:t>Seconda lettura</w:t>
            </w:r>
          </w:p>
        </w:tc>
        <w:tc>
          <w:tcPr>
            <w:tcW w:type="dxa" w:w="4320"/>
          </w:tcPr>
          <w:p>
            <w:r/>
            <w:r>
              <w:rPr>
                <w:b/>
                <w:sz w:val="17"/>
              </w:rPr>
              <w:t>Verifica</w:t>
            </w:r>
          </w:p>
        </w:tc>
      </w:tr>
      <w:tr>
        <w:tc>
          <w:tcPr>
            <w:tcW w:type="dxa" w:w="1872"/>
          </w:tcPr>
          <w:p>
            <w:r/>
            <w:r>
              <w:rPr>
                <w:b w:val="0"/>
                <w:sz w:val="17"/>
              </w:rPr>
              <w:t>Valori dell’ambito</w:t>
            </w:r>
          </w:p>
        </w:tc>
        <w:tc>
          <w:tcPr>
            <w:tcW w:type="dxa" w:w="1584"/>
          </w:tcPr>
          <w:p>
            <w:r/>
            <w:r>
              <w:rPr>
                <w:b w:val="0"/>
                <w:sz w:val="17"/>
              </w:rPr>
              <w:t>quattro</w:t>
            </w:r>
          </w:p>
        </w:tc>
        <w:tc>
          <w:tcPr>
            <w:tcW w:type="dxa" w:w="1584"/>
          </w:tcPr>
          <w:p>
            <w:r/>
            <w:r>
              <w:rPr>
                <w:b w:val="0"/>
                <w:sz w:val="17"/>
              </w:rPr>
              <w:t>tre</w:t>
            </w:r>
          </w:p>
        </w:tc>
        <w:tc>
          <w:tcPr>
            <w:tcW w:type="dxa" w:w="4320"/>
          </w:tcPr>
          <w:p>
            <w:r/>
            <w:r>
              <w:rPr>
                <w:b/>
                <w:sz w:val="17"/>
              </w:rPr>
              <w:t>Tre negli inserimenti</w:t>
            </w:r>
            <w:r>
              <w:rPr>
                <w:b w:val="0"/>
                <w:sz w:val="17"/>
              </w:rPr>
              <w:t xml:space="preserve"> del repository; il commento nel codice ne dichiara un quarto, «statistica», che nei dati non esiste. Entrambe le letture erano fedeli alla propria fonte.</w:t>
            </w:r>
          </w:p>
        </w:tc>
      </w:tr>
      <w:tr>
        <w:tc>
          <w:tcPr>
            <w:tcW w:type="dxa" w:w="1872"/>
          </w:tcPr>
          <w:p>
            <w:r/>
            <w:r>
              <w:rPr>
                <w:b w:val="0"/>
                <w:sz w:val="17"/>
              </w:rPr>
              <w:t>File con la chiave di firma</w:t>
            </w:r>
          </w:p>
        </w:tc>
        <w:tc>
          <w:tcPr>
            <w:tcW w:type="dxa" w:w="1584"/>
          </w:tcPr>
          <w:p>
            <w:r/>
            <w:r>
              <w:rPr>
                <w:b w:val="0"/>
                <w:sz w:val="17"/>
              </w:rPr>
              <w:t>45</w:t>
            </w:r>
          </w:p>
        </w:tc>
        <w:tc>
          <w:tcPr>
            <w:tcW w:type="dxa" w:w="1584"/>
          </w:tcPr>
          <w:p>
            <w:r/>
            <w:r>
              <w:rPr>
                <w:b w:val="0"/>
                <w:sz w:val="17"/>
              </w:rPr>
              <w:t>44</w:t>
            </w:r>
          </w:p>
        </w:tc>
        <w:tc>
          <w:tcPr>
            <w:tcW w:type="dxa" w:w="4320"/>
          </w:tcPr>
          <w:p>
            <w:r/>
            <w:r>
              <w:rPr>
                <w:b/>
                <w:sz w:val="17"/>
              </w:rPr>
              <w:t>57</w:t>
            </w:r>
            <w:r>
              <w:rPr>
                <w:b w:val="0"/>
                <w:sz w:val="17"/>
              </w:rPr>
              <w:t xml:space="preserve"> sull’intero workspace: i due conteggi campionavano perimetri diversi.</w:t>
            </w:r>
          </w:p>
        </w:tc>
      </w:tr>
      <w:tr>
        <w:tc>
          <w:tcPr>
            <w:tcW w:type="dxa" w:w="1872"/>
          </w:tcPr>
          <w:p>
            <w:r/>
            <w:r>
              <w:rPr>
                <w:b w:val="0"/>
                <w:sz w:val="17"/>
              </w:rPr>
              <w:t>Protezione contro la falsificazione di richiesta</w:t>
            </w:r>
          </w:p>
        </w:tc>
        <w:tc>
          <w:tcPr>
            <w:tcW w:type="dxa" w:w="1584"/>
          </w:tcPr>
          <w:p>
            <w:r/>
            <w:r>
              <w:rPr>
                <w:b w:val="0"/>
                <w:sz w:val="17"/>
              </w:rPr>
              <w:t>attiva per difetto</w:t>
            </w:r>
          </w:p>
        </w:tc>
        <w:tc>
          <w:tcPr>
            <w:tcW w:type="dxa" w:w="1584"/>
          </w:tcPr>
          <w:p>
            <w:r/>
            <w:r>
              <w:rPr>
                <w:b w:val="0"/>
                <w:sz w:val="17"/>
              </w:rPr>
              <w:t>non trattata</w:t>
            </w:r>
          </w:p>
        </w:tc>
        <w:tc>
          <w:tcPr>
            <w:tcW w:type="dxa" w:w="4320"/>
          </w:tcPr>
          <w:p>
            <w:r/>
            <w:r>
              <w:rPr>
                <w:b w:val="0"/>
                <w:sz w:val="17"/>
              </w:rPr>
              <w:t>Verificata: la catena del front-end non la disattiva mai, quindi vale il comportamento predefinito. ⚠️ Si segnala perché il silenzio si presterebbe all’inferenza opposta.</w:t>
            </w:r>
          </w:p>
        </w:tc>
      </w:tr>
    </w:tbl>
    <w:p>
      <w:pPr/>
      <w:r>
        <w:rPr>
          <w:b w:val="0"/>
        </w:rPr>
        <w:t xml:space="preserve">Vale per tutto il documento il limite dichiarato in [F1]: </w:t>
      </w:r>
      <w:r>
        <w:rPr>
          <w:b/>
        </w:rPr>
        <w:t>leggendo il codice si accerta che cosa il sistema fa, non che cosa il livello di rete davanti a esso impedisce.</w:t>
      </w:r>
      <w:r>
        <w:rPr>
          <w:b w:val="0"/>
        </w:rPr>
        <w:t xml:space="preserve"> Alcuni dei rilievi sono attenuati, in esercizio, da una configurazione di rete che non è fra le sorgenti: il documento lo dice dove accade e lo registra come punto aperto (PI-12).</w:t>
      </w:r>
    </w:p>
    <w:p>
      <w:pPr>
        <w:pStyle w:val="Heading2"/>
      </w:pPr>
      <w:r>
        <w:t>Glossario</w:t>
      </w:r>
    </w:p>
    <w:tbl>
      <w:tblPr>
        <w:tblStyle w:val="TableGrid"/>
        <w:tblW w:type="auto" w:w="0"/>
        <w:tblLook w:firstColumn="1" w:firstRow="1" w:lastColumn="0" w:lastRow="0" w:noHBand="0" w:noVBand="1" w:val="04A0"/>
      </w:tblPr>
      <w:tblGrid>
        <w:gridCol w:w="4680"/>
        <w:gridCol w:w="4680"/>
      </w:tblGrid>
      <w:tr>
        <w:tc>
          <w:tcPr>
            <w:tcW w:type="dxa" w:w="2160"/>
          </w:tcPr>
          <w:p>
            <w:r/>
            <w:r>
              <w:rPr>
                <w:b/>
                <w:sz w:val="17"/>
              </w:rPr>
              <w:t>Termine</w:t>
            </w:r>
          </w:p>
        </w:tc>
        <w:tc>
          <w:tcPr>
            <w:tcW w:type="dxa" w:w="7200"/>
          </w:tcPr>
          <w:p>
            <w:r/>
            <w:r>
              <w:rPr>
                <w:b/>
                <w:sz w:val="17"/>
              </w:rPr>
              <w:t>Significato in questo documento</w:t>
            </w:r>
          </w:p>
        </w:tc>
      </w:tr>
      <w:tr>
        <w:tc>
          <w:tcPr>
            <w:tcW w:type="dxa" w:w="2160"/>
          </w:tcPr>
          <w:p>
            <w:r/>
            <w:r>
              <w:rPr>
                <w:b w:val="0"/>
                <w:sz w:val="17"/>
              </w:rPr>
              <w:t>Autenticazione</w:t>
            </w:r>
          </w:p>
        </w:tc>
        <w:tc>
          <w:tcPr>
            <w:tcW w:type="dxa" w:w="7200"/>
          </w:tcPr>
          <w:p>
            <w:r/>
            <w:r>
              <w:rPr>
                <w:b w:val="0"/>
                <w:sz w:val="17"/>
              </w:rPr>
              <w:t>Il procedimento con cui si stabilisce chi è l’utente.</w:t>
            </w:r>
          </w:p>
        </w:tc>
      </w:tr>
      <w:tr>
        <w:tc>
          <w:tcPr>
            <w:tcW w:type="dxa" w:w="2160"/>
          </w:tcPr>
          <w:p>
            <w:r/>
            <w:r>
              <w:rPr>
                <w:b w:val="0"/>
                <w:sz w:val="17"/>
              </w:rPr>
              <w:t>Autorizzazione</w:t>
            </w:r>
          </w:p>
        </w:tc>
        <w:tc>
          <w:tcPr>
            <w:tcW w:type="dxa" w:w="7200"/>
          </w:tcPr>
          <w:p>
            <w:r/>
            <w:r>
              <w:rPr>
                <w:b w:val="0"/>
                <w:sz w:val="17"/>
              </w:rPr>
              <w:t>La decisione se un utente già riconosciuto possa compiere una certa azione.</w:t>
            </w:r>
          </w:p>
        </w:tc>
      </w:tr>
      <w:tr>
        <w:tc>
          <w:tcPr>
            <w:tcW w:type="dxa" w:w="2160"/>
          </w:tcPr>
          <w:p>
            <w:r/>
            <w:r>
              <w:rPr>
                <w:b w:val="0"/>
                <w:sz w:val="17"/>
              </w:rPr>
              <w:t>Profilazione</w:t>
            </w:r>
          </w:p>
        </w:tc>
        <w:tc>
          <w:tcPr>
            <w:tcW w:type="dxa" w:w="7200"/>
          </w:tcPr>
          <w:p>
            <w:r/>
            <w:r>
              <w:rPr>
                <w:b w:val="0"/>
                <w:sz w:val="17"/>
              </w:rPr>
              <w:t>I dati che descrivono l’utente ai fini di quella decisione: ruoli, funzionalità abilitate, ambito organizzativo.</w:t>
            </w:r>
          </w:p>
        </w:tc>
      </w:tr>
      <w:tr>
        <w:tc>
          <w:tcPr>
            <w:tcW w:type="dxa" w:w="2160"/>
          </w:tcPr>
          <w:p>
            <w:r/>
            <w:r>
              <w:rPr>
                <w:b w:val="0"/>
                <w:sz w:val="17"/>
              </w:rPr>
              <w:t>Modalità header</w:t>
            </w:r>
          </w:p>
        </w:tc>
        <w:tc>
          <w:tcPr>
            <w:tcW w:type="dxa" w:w="7200"/>
          </w:tcPr>
          <w:p>
            <w:r/>
            <w:r>
              <w:rPr>
                <w:b w:val="0"/>
                <w:sz w:val="17"/>
              </w:rPr>
              <w:t>La modalità di integrazione con l’IAM in cui l’identità viaggia in intestazioni HTTP aggiunte da un proxy. È quella che SIPO usa oggi, ed è prevista dalla specifica dell’ente.</w:t>
            </w:r>
          </w:p>
        </w:tc>
      </w:tr>
      <w:tr>
        <w:tc>
          <w:tcPr>
            <w:tcW w:type="dxa" w:w="2160"/>
          </w:tcPr>
          <w:p>
            <w:r/>
            <w:r>
              <w:rPr>
                <w:b w:val="0"/>
                <w:sz w:val="17"/>
              </w:rPr>
              <w:t>Modalità OIDC</w:t>
            </w:r>
          </w:p>
        </w:tc>
        <w:tc>
          <w:tcPr>
            <w:tcW w:type="dxa" w:w="7200"/>
          </w:tcPr>
          <w:p>
            <w:r/>
            <w:r>
              <w:rPr>
                <w:b w:val="0"/>
                <w:sz w:val="17"/>
              </w:rPr>
              <w:t>La modalità in cui l’identità è provata da un gettone firmato, ottenuto con un reindirizzamento e uno scambio fuori banda.</w:t>
            </w:r>
          </w:p>
        </w:tc>
      </w:tr>
      <w:tr>
        <w:tc>
          <w:tcPr>
            <w:tcW w:type="dxa" w:w="2160"/>
          </w:tcPr>
          <w:p>
            <w:r/>
            <w:r>
              <w:rPr>
                <w:b w:val="0"/>
                <w:sz w:val="17"/>
              </w:rPr>
              <w:t>Utenza tecnica</w:t>
            </w:r>
          </w:p>
        </w:tc>
        <w:tc>
          <w:tcPr>
            <w:tcW w:type="dxa" w:w="7200"/>
          </w:tcPr>
          <w:p>
            <w:r/>
            <w:r>
              <w:rPr>
                <w:b w:val="0"/>
                <w:sz w:val="17"/>
              </w:rPr>
              <w:t>Un’identità applicativa usata per chiamare i servizi di back-end, distinta dalle persone.</w:t>
            </w:r>
          </w:p>
        </w:tc>
      </w:tr>
      <w:tr>
        <w:tc>
          <w:tcPr>
            <w:tcW w:type="dxa" w:w="2160"/>
          </w:tcPr>
          <w:p>
            <w:r/>
            <w:r>
              <w:rPr>
                <w:b w:val="0"/>
                <w:sz w:val="17"/>
              </w:rPr>
              <w:t>Profilo di back-end</w:t>
            </w:r>
          </w:p>
        </w:tc>
        <w:tc>
          <w:tcPr>
            <w:tcW w:type="dxa" w:w="7200"/>
          </w:tcPr>
          <w:p>
            <w:r/>
            <w:r>
              <w:rPr>
                <w:b w:val="0"/>
                <w:sz w:val="17"/>
              </w:rPr>
              <w:t>Il valore che lega il ruolo della persona all’utenza tecnica con cui si chiamano i servizi.</w:t>
            </w:r>
          </w:p>
        </w:tc>
      </w:tr>
      <w:tr>
        <w:tc>
          <w:tcPr>
            <w:tcW w:type="dxa" w:w="2160"/>
          </w:tcPr>
          <w:p>
            <w:r/>
            <w:r>
              <w:rPr>
                <w:b w:val="0"/>
                <w:sz w:val="17"/>
              </w:rPr>
              <w:t>Contesto operativo</w:t>
            </w:r>
          </w:p>
        </w:tc>
        <w:tc>
          <w:tcPr>
            <w:tcW w:type="dxa" w:w="7200"/>
          </w:tcPr>
          <w:p>
            <w:r/>
            <w:r>
              <w:rPr>
                <w:b w:val="0"/>
                <w:sz w:val="17"/>
              </w:rPr>
              <w:t>Nella seconda fase del front office: per conto di chi una persona sta operando, distinto da chi si è autenticato.</w:t>
            </w:r>
          </w:p>
        </w:tc>
      </w:tr>
    </w:tbl>
    <w:p>
      <w:pPr>
        <w:pStyle w:val="Heading2"/>
      </w:pPr>
      <w:r>
        <w:t>Riferimenti</w:t>
      </w:r>
    </w:p>
    <w:tbl>
      <w:tblPr>
        <w:tblStyle w:val="TableGrid"/>
        <w:tblW w:type="auto" w:w="0"/>
        <w:tblLook w:firstColumn="1" w:firstRow="1" w:lastColumn="0" w:lastRow="0" w:noHBand="0" w:noVBand="1" w:val="04A0"/>
      </w:tblPr>
      <w:tblGrid>
        <w:gridCol w:w="3120"/>
        <w:gridCol w:w="3120"/>
        <w:gridCol w:w="3120"/>
      </w:tblGrid>
      <w:tr>
        <w:tc>
          <w:tcPr>
            <w:tcW w:type="dxa" w:w="792"/>
          </w:tcPr>
          <w:p>
            <w:r/>
            <w:r>
              <w:rPr>
                <w:b/>
                <w:sz w:val="17"/>
              </w:rPr>
              <w:t>#</w:t>
            </w:r>
          </w:p>
        </w:tc>
        <w:tc>
          <w:tcPr>
            <w:tcW w:type="dxa" w:w="6120"/>
          </w:tcPr>
          <w:p>
            <w:r/>
            <w:r>
              <w:rPr>
                <w:b/>
                <w:sz w:val="17"/>
              </w:rPr>
              <w:t>Riferimento</w:t>
            </w:r>
          </w:p>
        </w:tc>
        <w:tc>
          <w:tcPr>
            <w:tcW w:type="dxa" w:w="2448"/>
          </w:tcPr>
          <w:p>
            <w:r/>
            <w:r>
              <w:rPr>
                <w:b/>
                <w:sz w:val="17"/>
              </w:rPr>
              <w:t>Natura</w:t>
            </w:r>
          </w:p>
        </w:tc>
      </w:tr>
      <w:tr>
        <w:tc>
          <w:tcPr>
            <w:tcW w:type="dxa" w:w="792"/>
          </w:tcPr>
          <w:p>
            <w:r/>
            <w:r>
              <w:rPr>
                <w:b w:val="0"/>
                <w:sz w:val="17"/>
              </w:rPr>
              <w:t>[F1]</w:t>
            </w:r>
          </w:p>
        </w:tc>
        <w:tc>
          <w:tcPr>
            <w:tcW w:type="dxa" w:w="6120"/>
          </w:tcPr>
          <w:p>
            <w:r/>
            <w:r>
              <w:rPr>
                <w:b w:val="0"/>
                <w:sz w:val="17"/>
              </w:rPr>
              <w:t>ASIS_Autenticazione-Profilazione_SIPO_v0.2.docx — ricognizione sui sorgenti dell’intero perimetro SIPO (25/09/2026)</w:t>
            </w:r>
          </w:p>
        </w:tc>
        <w:tc>
          <w:tcPr>
            <w:tcW w:type="dxa" w:w="2448"/>
          </w:tcPr>
          <w:p>
            <w:r/>
            <w:r>
              <w:rPr>
                <w:b w:val="0"/>
                <w:sz w:val="17"/>
              </w:rPr>
              <w:t>Documento di progetto · sostituito</w:t>
            </w:r>
          </w:p>
        </w:tc>
      </w:tr>
      <w:tr>
        <w:tc>
          <w:tcPr>
            <w:tcW w:type="dxa" w:w="792"/>
          </w:tcPr>
          <w:p>
            <w:r/>
            <w:r>
              <w:rPr>
                <w:b w:val="0"/>
                <w:sz w:val="17"/>
              </w:rPr>
              <w:t>[F2]</w:t>
            </w:r>
          </w:p>
        </w:tc>
        <w:tc>
          <w:tcPr>
            <w:tcW w:type="dxa" w:w="6120"/>
          </w:tcPr>
          <w:p>
            <w:r/>
            <w:r>
              <w:rPr>
                <w:b w:val="0"/>
                <w:sz w:val="17"/>
              </w:rPr>
              <w:t>Analisi_AS-IS_Profilazione.txt — ricognizione sul campione DecessiWeb / DecessiBE con il dettaglio operativo (30/09/2026)</w:t>
            </w:r>
          </w:p>
        </w:tc>
        <w:tc>
          <w:tcPr>
            <w:tcW w:type="dxa" w:w="2448"/>
          </w:tcPr>
          <w:p>
            <w:r/>
            <w:r>
              <w:rPr>
                <w:b w:val="0"/>
                <w:sz w:val="17"/>
              </w:rPr>
              <w:t>Analisi del fornitore</w:t>
            </w:r>
          </w:p>
        </w:tc>
      </w:tr>
      <w:tr>
        <w:tc>
          <w:tcPr>
            <w:tcW w:type="dxa" w:w="792"/>
          </w:tcPr>
          <w:p>
            <w:r/>
            <w:r>
              <w:rPr>
                <w:b w:val="0"/>
                <w:sz w:val="17"/>
              </w:rPr>
              <w:t>[F3]</w:t>
            </w:r>
          </w:p>
        </w:tc>
        <w:tc>
          <w:tcPr>
            <w:tcW w:type="dxa" w:w="6120"/>
          </w:tcPr>
          <w:p>
            <w:r/>
            <w:r>
              <w:rPr>
                <w:b w:val="0"/>
                <w:sz w:val="17"/>
              </w:rPr>
              <w:t>Analisi_Integrazione_IAM_Profilazione.txt — analisi di integrazione OIDC, decisioni, piano e rischi (30/09/2026)</w:t>
            </w:r>
          </w:p>
        </w:tc>
        <w:tc>
          <w:tcPr>
            <w:tcW w:type="dxa" w:w="2448"/>
          </w:tcPr>
          <w:p>
            <w:r/>
            <w:r>
              <w:rPr>
                <w:b w:val="0"/>
                <w:sz w:val="17"/>
              </w:rPr>
              <w:t>Analisi del fornitore</w:t>
            </w:r>
          </w:p>
        </w:tc>
      </w:tr>
      <w:tr>
        <w:tc>
          <w:tcPr>
            <w:tcW w:type="dxa" w:w="792"/>
          </w:tcPr>
          <w:p>
            <w:r/>
            <w:r>
              <w:rPr>
                <w:b w:val="0"/>
                <w:sz w:val="17"/>
              </w:rPr>
              <w:t>[F4]</w:t>
            </w:r>
          </w:p>
        </w:tc>
        <w:tc>
          <w:tcPr>
            <w:tcW w:type="dxa" w:w="6120"/>
          </w:tcPr>
          <w:p>
            <w:r/>
            <w:r>
              <w:rPr>
                <w:b w:val="0"/>
                <w:sz w:val="17"/>
              </w:rPr>
              <w:t>RMCAP-IAM-MAN «Integrazione applicativa con il servizio di Identity and Access Management», Ed. 16 del 23/06/2025 (RTI Fastweb-Leonardo)</w:t>
            </w:r>
          </w:p>
        </w:tc>
        <w:tc>
          <w:tcPr>
            <w:tcW w:type="dxa" w:w="2448"/>
          </w:tcPr>
          <w:p>
            <w:r/>
            <w:r>
              <w:rPr>
                <w:b w:val="0"/>
                <w:sz w:val="17"/>
              </w:rPr>
              <w:t>Specifica normativa dell’ente</w:t>
            </w:r>
          </w:p>
        </w:tc>
      </w:tr>
      <w:tr>
        <w:tc>
          <w:tcPr>
            <w:tcW w:type="dxa" w:w="792"/>
          </w:tcPr>
          <w:p>
            <w:r/>
            <w:r>
              <w:rPr>
                <w:b w:val="0"/>
                <w:sz w:val="17"/>
              </w:rPr>
              <w:t>[F5]</w:t>
            </w:r>
          </w:p>
        </w:tc>
        <w:tc>
          <w:tcPr>
            <w:tcW w:type="dxa" w:w="6120"/>
          </w:tcPr>
          <w:p>
            <w:r/>
            <w:r>
              <w:rPr>
                <w:b w:val="0"/>
                <w:sz w:val="17"/>
              </w:rPr>
              <w:t>Prologic — «Comunicazione tra Identity Broker e servizi SSO»</w:t>
            </w:r>
          </w:p>
        </w:tc>
        <w:tc>
          <w:tcPr>
            <w:tcW w:type="dxa" w:w="2448"/>
          </w:tcPr>
          <w:p>
            <w:r/>
            <w:r>
              <w:rPr>
                <w:b w:val="0"/>
                <w:sz w:val="17"/>
              </w:rPr>
              <w:t>Documentazione di fornitore</w:t>
            </w:r>
          </w:p>
        </w:tc>
      </w:tr>
      <w:tr>
        <w:tc>
          <w:tcPr>
            <w:tcW w:type="dxa" w:w="792"/>
          </w:tcPr>
          <w:p>
            <w:r/>
            <w:r>
              <w:rPr>
                <w:b w:val="0"/>
                <w:sz w:val="17"/>
              </w:rPr>
              <w:t>[F6]</w:t>
            </w:r>
          </w:p>
        </w:tc>
        <w:tc>
          <w:tcPr>
            <w:tcW w:type="dxa" w:w="6120"/>
          </w:tcPr>
          <w:p>
            <w:r/>
            <w:r>
              <w:rPr>
                <w:b w:val="0"/>
                <w:sz w:val="17"/>
              </w:rPr>
              <w:t>Sorgenti applicativi di SIPO: common/profilazione-utente, common/rest-security, common/rest-client, common/anpr-client, back-end/anagrafe-be, sipo-root/sql/SQL/collaudo</w:t>
            </w:r>
          </w:p>
        </w:tc>
        <w:tc>
          <w:tcPr>
            <w:tcW w:type="dxa" w:w="2448"/>
          </w:tcPr>
          <w:p>
            <w:r/>
            <w:r>
              <w:rPr>
                <w:b w:val="0"/>
                <w:sz w:val="17"/>
              </w:rPr>
              <w:t>Sorgente applicativo</w:t>
            </w:r>
          </w:p>
        </w:tc>
      </w:tr>
      <w:tr>
        <w:tc>
          <w:tcPr>
            <w:tcW w:type="dxa" w:w="792"/>
          </w:tcPr>
          <w:p>
            <w:r/>
            <w:r>
              <w:rPr>
                <w:b w:val="0"/>
                <w:sz w:val="17"/>
              </w:rPr>
              <w:t>[F7]</w:t>
            </w:r>
          </w:p>
        </w:tc>
        <w:tc>
          <w:tcPr>
            <w:tcW w:type="dxa" w:w="6120"/>
          </w:tcPr>
          <w:p>
            <w:r/>
            <w:r>
              <w:rPr>
                <w:b w:val="0"/>
                <w:sz w:val="17"/>
              </w:rPr>
              <w:t>fsha_mf-shared-library-main — libreria Angular condivisa di Roma Capitale</w:t>
            </w:r>
          </w:p>
        </w:tc>
        <w:tc>
          <w:tcPr>
            <w:tcW w:type="dxa" w:w="2448"/>
          </w:tcPr>
          <w:p>
            <w:r/>
            <w:r>
              <w:rPr>
                <w:b w:val="0"/>
                <w:sz w:val="17"/>
              </w:rPr>
              <w:t>Sorgente applicativo</w:t>
            </w:r>
          </w:p>
        </w:tc>
      </w:tr>
      <w:tr>
        <w:tc>
          <w:tcPr>
            <w:tcW w:type="dxa" w:w="792"/>
          </w:tcPr>
          <w:p>
            <w:r/>
            <w:r>
              <w:rPr>
                <w:b w:val="0"/>
                <w:sz w:val="17"/>
              </w:rPr>
              <w:t>[F8]</w:t>
            </w:r>
          </w:p>
        </w:tc>
        <w:tc>
          <w:tcPr>
            <w:tcW w:type="dxa" w:w="6120"/>
          </w:tcPr>
          <w:p>
            <w:r/>
            <w:r>
              <w:rPr>
                <w:b w:val="0"/>
                <w:sz w:val="17"/>
              </w:rPr>
              <w:t>ANALISI_Front-End-Angular_v0.4.docx — impostazione dei nuovi front-end</w:t>
            </w:r>
          </w:p>
        </w:tc>
        <w:tc>
          <w:tcPr>
            <w:tcW w:type="dxa" w:w="2448"/>
          </w:tcPr>
          <w:p>
            <w:r/>
            <w:r>
              <w:rPr>
                <w:b w:val="0"/>
                <w:sz w:val="17"/>
              </w:rPr>
              <w:t>Documento di progetto</w:t>
            </w:r>
          </w:p>
        </w:tc>
      </w:tr>
    </w:tbl>
    <w:p>
      <w:pPr>
        <w:pStyle w:val="Heading1"/>
      </w:pPr>
      <w:r>
        <w:t>Il quadro in una pagina</w:t>
      </w:r>
    </w:p>
    <w:p>
      <w:pPr/>
      <w:r>
        <w:rPr>
          <w:b w:val="0"/>
        </w:rPr>
        <w:t xml:space="preserve">SIPO ha </w:t>
      </w:r>
      <w:r>
        <w:rPr>
          <w:b/>
        </w:rPr>
        <w:t>due livelli di identità, distinti e scollegati</w:t>
      </w:r>
      <w:r>
        <w:rPr>
          <w:b w:val="0"/>
        </w:rPr>
        <w:t xml:space="preserve">. Il primo è la persona, e vive soltanto nei front-end: arriva dal portale sotto forma di intestazioni HTTP, viene arricchita con i profili letti dalla base dati anagrafica e deposta in sessione. Il secondo è l’identità tecnica verso i back-end: a ogni chiamata il front-end ottiene un gettone presentando </w:t>
      </w:r>
      <w:r>
        <w:rPr>
          <w:b/>
        </w:rPr>
        <w:t>un’utenza applicativa scelta in base al ruolo</w:t>
      </w:r>
      <w:r>
        <w:rPr>
          <w:b w:val="0"/>
        </w:rPr>
        <w:t>, non la persona.</w:t>
      </w:r>
    </w:p>
    <w:p>
      <w:pPr/>
      <w:r>
        <w:rPr>
          <w:b w:val="0"/>
        </w:rPr>
        <w:t xml:space="preserve">⚠️ </w:t>
      </w:r>
      <w:r>
        <w:rPr>
          <w:b/>
        </w:rPr>
        <w:t>Fra i due livelli l’identità dell’operatore si perde.</w:t>
      </w:r>
      <w:r>
        <w:rPr>
          <w:b w:val="0"/>
        </w:rPr>
        <w:t xml:space="preserve"> Nel gettone che raggiunge i servizi il soggetto è «amministratore» o «utente autorizzato», mai il codice fiscale di chi sta lavorando. Chi è davvero l’operatore viaggia nel corpo della richiesta, come un dato qualunque, e nessuno lo verifica. È la radice di buona parte dei rilievi della prima parte.</w:t>
      </w:r>
    </w:p>
    <w:p>
      <w:pPr/>
      <w:r>
        <w:rPr>
          <w:b w:val="0"/>
        </w:rPr>
        <w:t xml:space="preserve">Sull’integrazione con l’IAM il punto di partenza è migliore di quanto sembri: </w:t>
      </w:r>
      <w:r>
        <w:rPr>
          <w:b/>
        </w:rPr>
        <w:t>SIPO non è fuori dall’IAM, ne usa la modalità più debole</w:t>
      </w:r>
      <w:r>
        <w:rPr>
          <w:b w:val="0"/>
        </w:rPr>
        <w:t xml:space="preserve">. Le intestazioni «iv-» non sono un arrangiamento proprietario ma la modalità header prevista dal capitolo 3.2 della specifica dell’ente [F4]. Passare al flusso con gettone firmato significa </w:t>
      </w:r>
      <w:r>
        <w:rPr>
          <w:b/>
        </w:rPr>
        <w:t>cambiare soltanto lo strato di ingresso dell’identità</w:t>
      </w:r>
      <w:r>
        <w:rPr>
          <w:b w:val="0"/>
        </w:rPr>
        <w:t>: ruoli, aree e funzionalità restano dove sono, e l’oggetto che i trentacinque front-end leggono dalla sessione non cambia. Si configurano, non si riscrivono.</w:t>
      </w:r>
    </w:p>
    <w:p>
      <w:pPr/>
      <w:r>
        <w:rPr>
          <w:b w:val="0"/>
        </w:rPr>
        <w:t xml:space="preserve">⚠️ Ciò che l’integrazione </w:t>
      </w:r>
      <w:r>
        <w:rPr>
          <w:b/>
        </w:rPr>
        <w:t>non</w:t>
      </w:r>
      <w:r>
        <w:rPr>
          <w:b w:val="0"/>
        </w:rPr>
        <w:t xml:space="preserve"> porta va detto subito, perché è la metà meno comoda: i servizi che rispondono senza gettone, i segreti in chiaro, il trasporto non cifrato e l’assenza di un’autorizzazione per funzione non dipendono da come si entra. Il capitolo «Che cosa l’integrazione chiude» lo mette in tabella.</w:t>
      </w:r>
    </w:p>
    <w:p>
      <w:pPr>
        <w:pStyle w:val="Heading1"/>
      </w:pPr>
      <w:r>
        <w:t>Parte I — Lo stato di fatto</w:t>
      </w:r>
    </w:p>
    <w:p>
      <w:pPr/>
      <w:r>
        <w:rPr>
          <w:b w:val="0"/>
        </w:rPr>
        <w:t>La ricognizione che segue descrive il sistema come è oggi. Registra anche le assenze, perché un’assenza accertata evita che la stessa ricerca sia rifatta e impedisce di assumere come presente ciò che non c’è.</w:t>
      </w:r>
    </w:p>
    <w:p>
      <w:pPr>
        <w:pStyle w:val="Heading2"/>
      </w:pPr>
      <w:r>
        <w:t>L’autenticazione: SIPO non autentica</w:t>
      </w:r>
    </w:p>
    <w:p>
      <w:pPr/>
      <w:r>
        <w:rPr>
          <w:b w:val="0"/>
        </w:rPr>
        <w:t xml:space="preserve">Non esiste un punto di accesso applicativo: nessun controller che riceva credenziali, nessuna pagina che le chieda, nessun servizio che le verifichi. L’identità arriva dal portale come intestazioni HTTP — identificativo utente, gruppo, codice fiscale, dati anagrafici — ed è accolta da un filtro registrato sul solo percorso di ingresso. Spring Security è presente, ma il fornitore di autenticazione è quello della pre-autenticazione e </w:t>
      </w:r>
      <w:r>
        <w:rPr>
          <w:b/>
        </w:rPr>
        <w:t>le credenziali sono la stringa vuota</w:t>
      </w:r>
      <w:r>
        <w:rPr>
          <w:b w:val="0"/>
        </w:rPr>
        <w:t>: serve solo ad autorizzare.</w:t>
      </w:r>
    </w:p>
    <w:p>
      <w:r>
        <w:drawing>
          <wp:inline xmlns:a="http://schemas.openxmlformats.org/drawingml/2006/main" xmlns:pic="http://schemas.openxmlformats.org/drawingml/2006/picture">
            <wp:extent cx="5852160" cy="4500237"/>
            <wp:docPr id="1468249206" name="Picture 1468249206"/>
            <wp:cNvGraphicFramePr>
              <a:graphicFrameLocks noChangeAspect="1"/>
            </wp:cNvGraphicFramePr>
            <a:graphic>
              <a:graphicData uri="http://schemas.openxmlformats.org/drawingml/2006/picture">
                <pic:pic>
                  <pic:nvPicPr>
                    <pic:cNvPr id="0" name="aut_catena.png"/>
                    <pic:cNvPicPr/>
                  </pic:nvPicPr>
                  <pic:blipFill>
                    <a:blip r:embed="rId18"/>
                    <a:stretch>
                      <a:fillRect/>
                    </a:stretch>
                  </pic:blipFill>
                  <pic:spPr>
                    <a:xfrm>
                      <a:off x="0" y="0"/>
                      <a:ext cx="5852160" cy="4500237"/>
                    </a:xfrm>
                    <a:prstGeom prst="rect"/>
                  </pic:spPr>
                </pic:pic>
              </a:graphicData>
            </a:graphic>
          </wp:inline>
        </w:drawing>
      </w:r>
    </w:p>
    <w:p>
      <w:r>
        <w:rPr>
          <w:i/>
          <w:sz w:val="18"/>
        </w:rPr>
        <w:t>Figura 1 — La catena dell’accesso. Il pallino rosso segna i punti in cui un elemento è accolto senza essere verificato.</w:t>
      </w:r>
    </w:p>
    <w:p>
      <w:pPr/>
      <w:r>
        <w:rPr>
          <w:b w:val="0"/>
        </w:rPr>
        <w:t xml:space="preserve">Il corollario pratico è che </w:t>
      </w:r>
      <w:r>
        <w:rPr>
          <w:b/>
        </w:rPr>
        <w:t>in SIPO non esiste un luogo in cui intervenire sull’accesso</w:t>
      </w:r>
      <w:r>
        <w:rPr>
          <w:b w:val="0"/>
        </w:rPr>
        <w:t>: qualunque cambiamento riguardi il modo in cui gli operatori si identificano si decide altrove e arriva come un cambiamento del formato delle intestazioni. È esattamente ciò che la seconda parte di questo documento descrive.</w:t>
      </w:r>
    </w:p>
    <w:p>
      <w:pPr/>
      <w:r>
        <w:rPr>
          <w:b w:val="0"/>
        </w:rPr>
        <w:t xml:space="preserve">Verso i back-end avviene invece un’autenticazione vera: un flusso a concessione per password, con un gettone richiesto </w:t>
      </w:r>
      <w:r>
        <w:rPr>
          <w:b/>
        </w:rPr>
        <w:t>a ogni chiamata</w:t>
      </w:r>
      <w:r>
        <w:rPr>
          <w:b w:val="0"/>
        </w:rPr>
        <w:t xml:space="preserve"> e mai conservato. L’identità che vi viaggia è però quella dell’utenza tecnica. La catena che porta dal ruolo della persona a quell’utenza è questa.</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160"/>
          </w:tcPr>
          <w:p>
            <w:r/>
            <w:r>
              <w:rPr>
                <w:b/>
                <w:sz w:val="17"/>
              </w:rPr>
              <w:t>CONF_RUOLI.RUOLO</w:t>
            </w:r>
          </w:p>
        </w:tc>
        <w:tc>
          <w:tcPr>
            <w:tcW w:type="dxa" w:w="2160"/>
          </w:tcPr>
          <w:p>
            <w:r/>
            <w:r>
              <w:rPr>
                <w:b/>
                <w:sz w:val="17"/>
              </w:rPr>
              <w:t>Autorità nel front-end</w:t>
            </w:r>
          </w:p>
        </w:tc>
        <w:tc>
          <w:tcPr>
            <w:tcW w:type="dxa" w:w="1872"/>
          </w:tcPr>
          <w:p>
            <w:r/>
            <w:r>
              <w:rPr>
                <w:b/>
                <w:sz w:val="17"/>
              </w:rPr>
              <w:t>PROFILO_BE</w:t>
            </w:r>
          </w:p>
        </w:tc>
        <w:tc>
          <w:tcPr>
            <w:tcW w:type="dxa" w:w="1728"/>
          </w:tcPr>
          <w:p>
            <w:r/>
            <w:r>
              <w:rPr>
                <w:b/>
                <w:sz w:val="17"/>
              </w:rPr>
              <w:t>Utenza tecnica</w:t>
            </w:r>
          </w:p>
        </w:tc>
        <w:tc>
          <w:tcPr>
            <w:tcW w:type="dxa" w:w="2160"/>
          </w:tcPr>
          <w:p>
            <w:r/>
            <w:r>
              <w:rPr>
                <w:b/>
                <w:sz w:val="17"/>
              </w:rPr>
              <w:t>Autorità nel back-end</w:t>
            </w:r>
          </w:p>
        </w:tc>
      </w:tr>
      <w:tr>
        <w:tc>
          <w:tcPr>
            <w:tcW w:type="dxa" w:w="2160"/>
          </w:tcPr>
          <w:p>
            <w:r/>
            <w:r>
              <w:rPr>
                <w:b w:val="0"/>
                <w:sz w:val="17"/>
              </w:rPr>
              <w:t>ADMIN (1)</w:t>
            </w:r>
          </w:p>
        </w:tc>
        <w:tc>
          <w:tcPr>
            <w:tcW w:type="dxa" w:w="2160"/>
          </w:tcPr>
          <w:p>
            <w:r/>
            <w:r>
              <w:rPr>
                <w:b w:val="0"/>
                <w:sz w:val="17"/>
              </w:rPr>
              <w:t>ROLE_ADMIN</w:t>
            </w:r>
          </w:p>
        </w:tc>
        <w:tc>
          <w:tcPr>
            <w:tcW w:type="dxa" w:w="1872"/>
          </w:tcPr>
          <w:p>
            <w:r/>
            <w:r>
              <w:rPr>
                <w:b w:val="0"/>
                <w:sz w:val="17"/>
              </w:rPr>
              <w:t>ADMIN</w:t>
            </w:r>
          </w:p>
        </w:tc>
        <w:tc>
          <w:tcPr>
            <w:tcW w:type="dxa" w:w="1728"/>
          </w:tcPr>
          <w:p>
            <w:r/>
            <w:r>
              <w:rPr>
                <w:b w:val="0"/>
                <w:sz w:val="17"/>
              </w:rPr>
              <w:t>admin.user</w:t>
            </w:r>
          </w:p>
        </w:tc>
        <w:tc>
          <w:tcPr>
            <w:tcW w:type="dxa" w:w="2160"/>
          </w:tcPr>
          <w:p>
            <w:r/>
            <w:r>
              <w:rPr>
                <w:b w:val="0"/>
                <w:sz w:val="17"/>
              </w:rPr>
              <w:t>ROLE_ADMIN</w:t>
            </w:r>
          </w:p>
        </w:tc>
      </w:tr>
      <w:tr>
        <w:tc>
          <w:tcPr>
            <w:tcW w:type="dxa" w:w="2160"/>
          </w:tcPr>
          <w:p>
            <w:r/>
            <w:r>
              <w:rPr>
                <w:b w:val="0"/>
                <w:sz w:val="17"/>
              </w:rPr>
              <w:t>FUNZ_ANA (2)</w:t>
            </w:r>
          </w:p>
        </w:tc>
        <w:tc>
          <w:tcPr>
            <w:tcW w:type="dxa" w:w="2160"/>
          </w:tcPr>
          <w:p>
            <w:r/>
            <w:r>
              <w:rPr>
                <w:b w:val="0"/>
                <w:sz w:val="17"/>
              </w:rPr>
              <w:t>ROLE_FUNZ_ANA</w:t>
            </w:r>
          </w:p>
        </w:tc>
        <w:tc>
          <w:tcPr>
            <w:tcW w:type="dxa" w:w="1872"/>
          </w:tcPr>
          <w:p>
            <w:r/>
            <w:r>
              <w:rPr>
                <w:b w:val="0"/>
                <w:sz w:val="17"/>
              </w:rPr>
              <w:t>AUTH_USER</w:t>
            </w:r>
          </w:p>
        </w:tc>
        <w:tc>
          <w:tcPr>
            <w:tcW w:type="dxa" w:w="1728"/>
          </w:tcPr>
          <w:p>
            <w:r/>
            <w:r>
              <w:rPr>
                <w:b w:val="0"/>
                <w:sz w:val="17"/>
              </w:rPr>
              <w:t>auth.user</w:t>
            </w:r>
          </w:p>
        </w:tc>
        <w:tc>
          <w:tcPr>
            <w:tcW w:type="dxa" w:w="2160"/>
          </w:tcPr>
          <w:p>
            <w:r/>
            <w:r>
              <w:rPr>
                <w:b w:val="0"/>
                <w:sz w:val="17"/>
              </w:rPr>
              <w:t>ROLE_AUTH_USER</w:t>
            </w:r>
          </w:p>
        </w:tc>
      </w:tr>
      <w:tr>
        <w:tc>
          <w:tcPr>
            <w:tcW w:type="dxa" w:w="2160"/>
          </w:tcPr>
          <w:p>
            <w:r/>
            <w:r>
              <w:rPr>
                <w:b w:val="0"/>
                <w:sz w:val="17"/>
              </w:rPr>
              <w:t>DIR (3)</w:t>
            </w:r>
          </w:p>
        </w:tc>
        <w:tc>
          <w:tcPr>
            <w:tcW w:type="dxa" w:w="2160"/>
          </w:tcPr>
          <w:p>
            <w:r/>
            <w:r>
              <w:rPr>
                <w:b w:val="0"/>
                <w:sz w:val="17"/>
              </w:rPr>
              <w:t>ROLE_DIR</w:t>
            </w:r>
          </w:p>
        </w:tc>
        <w:tc>
          <w:tcPr>
            <w:tcW w:type="dxa" w:w="1872"/>
          </w:tcPr>
          <w:p>
            <w:r/>
            <w:r>
              <w:rPr>
                <w:b w:val="0"/>
                <w:sz w:val="17"/>
              </w:rPr>
              <w:t>AUTH_USER</w:t>
            </w:r>
          </w:p>
        </w:tc>
        <w:tc>
          <w:tcPr>
            <w:tcW w:type="dxa" w:w="1728"/>
          </w:tcPr>
          <w:p>
            <w:r/>
            <w:r>
              <w:rPr>
                <w:b w:val="0"/>
                <w:sz w:val="17"/>
              </w:rPr>
              <w:t>auth.user</w:t>
            </w:r>
          </w:p>
        </w:tc>
        <w:tc>
          <w:tcPr>
            <w:tcW w:type="dxa" w:w="2160"/>
          </w:tcPr>
          <w:p>
            <w:r/>
            <w:r>
              <w:rPr>
                <w:b w:val="0"/>
                <w:sz w:val="17"/>
              </w:rPr>
              <w:t>ROLE_AUTH_USER</w:t>
            </w:r>
          </w:p>
        </w:tc>
      </w:tr>
      <w:tr>
        <w:tc>
          <w:tcPr>
            <w:tcW w:type="dxa" w:w="2160"/>
          </w:tcPr>
          <w:p>
            <w:r/>
            <w:r>
              <w:rPr>
                <w:b w:val="0"/>
                <w:sz w:val="17"/>
              </w:rPr>
              <w:t>POLIZIA_LOC (8)</w:t>
            </w:r>
          </w:p>
        </w:tc>
        <w:tc>
          <w:tcPr>
            <w:tcW w:type="dxa" w:w="2160"/>
          </w:tcPr>
          <w:p>
            <w:r/>
            <w:r>
              <w:rPr>
                <w:b w:val="0"/>
                <w:sz w:val="17"/>
              </w:rPr>
              <w:t>ROLE_POLIZIA_LOC</w:t>
            </w:r>
          </w:p>
        </w:tc>
        <w:tc>
          <w:tcPr>
            <w:tcW w:type="dxa" w:w="1872"/>
          </w:tcPr>
          <w:p>
            <w:r/>
            <w:r>
              <w:rPr>
                <w:b w:val="0"/>
                <w:sz w:val="17"/>
              </w:rPr>
              <w:t>AUTH_USER</w:t>
            </w:r>
          </w:p>
        </w:tc>
        <w:tc>
          <w:tcPr>
            <w:tcW w:type="dxa" w:w="1728"/>
          </w:tcPr>
          <w:p>
            <w:r/>
            <w:r>
              <w:rPr>
                <w:b w:val="0"/>
                <w:sz w:val="17"/>
              </w:rPr>
              <w:t>auth.user</w:t>
            </w:r>
          </w:p>
        </w:tc>
        <w:tc>
          <w:tcPr>
            <w:tcW w:type="dxa" w:w="2160"/>
          </w:tcPr>
          <w:p>
            <w:r/>
            <w:r>
              <w:rPr>
                <w:b w:val="0"/>
                <w:sz w:val="17"/>
              </w:rPr>
              <w:t>ROLE_AUTH_USER</w:t>
            </w:r>
          </w:p>
        </w:tc>
      </w:tr>
      <w:tr>
        <w:tc>
          <w:tcPr>
            <w:tcW w:type="dxa" w:w="2160"/>
          </w:tcPr>
          <w:p>
            <w:r/>
            <w:r>
              <w:rPr>
                <w:b w:val="0"/>
                <w:sz w:val="17"/>
              </w:rPr>
              <w:t>CITTADINO (4)</w:t>
            </w:r>
          </w:p>
        </w:tc>
        <w:tc>
          <w:tcPr>
            <w:tcW w:type="dxa" w:w="2160"/>
          </w:tcPr>
          <w:p>
            <w:r/>
            <w:r>
              <w:rPr>
                <w:b w:val="0"/>
                <w:sz w:val="17"/>
              </w:rPr>
              <w:t>ROLE_CITTADINO</w:t>
            </w:r>
          </w:p>
        </w:tc>
        <w:tc>
          <w:tcPr>
            <w:tcW w:type="dxa" w:w="1872"/>
          </w:tcPr>
          <w:p>
            <w:r/>
            <w:r>
              <w:rPr>
                <w:b w:val="0"/>
                <w:sz w:val="17"/>
              </w:rPr>
              <w:t>CITTADINO</w:t>
            </w:r>
          </w:p>
        </w:tc>
        <w:tc>
          <w:tcPr>
            <w:tcW w:type="dxa" w:w="1728"/>
          </w:tcPr>
          <w:p>
            <w:r/>
            <w:r>
              <w:rPr>
                <w:b w:val="0"/>
                <w:sz w:val="17"/>
              </w:rPr>
              <w:t>cittadino</w:t>
            </w:r>
          </w:p>
        </w:tc>
        <w:tc>
          <w:tcPr>
            <w:tcW w:type="dxa" w:w="2160"/>
          </w:tcPr>
          <w:p>
            <w:r/>
            <w:r>
              <w:rPr>
                <w:b w:val="0"/>
                <w:sz w:val="17"/>
              </w:rPr>
              <w:t>ROLE_CITTADINO</w:t>
            </w:r>
          </w:p>
        </w:tc>
      </w:tr>
      <w:tr>
        <w:tc>
          <w:tcPr>
            <w:tcW w:type="dxa" w:w="2160"/>
          </w:tcPr>
          <w:p>
            <w:r/>
            <w:r>
              <w:rPr>
                <w:b w:val="0"/>
                <w:sz w:val="17"/>
              </w:rPr>
              <w:t>CITTADINO_PROF (5)</w:t>
            </w:r>
          </w:p>
        </w:tc>
        <w:tc>
          <w:tcPr>
            <w:tcW w:type="dxa" w:w="2160"/>
          </w:tcPr>
          <w:p>
            <w:r/>
            <w:r>
              <w:rPr>
                <w:b w:val="0"/>
                <w:sz w:val="17"/>
              </w:rPr>
              <w:t>ROLE_CITTADINO_PROF</w:t>
            </w:r>
          </w:p>
        </w:tc>
        <w:tc>
          <w:tcPr>
            <w:tcW w:type="dxa" w:w="1872"/>
          </w:tcPr>
          <w:p>
            <w:r/>
            <w:r>
              <w:rPr>
                <w:b w:val="0"/>
                <w:sz w:val="17"/>
              </w:rPr>
              <w:t>CITTADINO_PROF</w:t>
            </w:r>
          </w:p>
        </w:tc>
        <w:tc>
          <w:tcPr>
            <w:tcW w:type="dxa" w:w="1728"/>
          </w:tcPr>
          <w:p>
            <w:r/>
            <w:r>
              <w:rPr>
                <w:b w:val="0"/>
                <w:sz w:val="17"/>
              </w:rPr>
              <w:t>cittadino.prof</w:t>
            </w:r>
          </w:p>
        </w:tc>
        <w:tc>
          <w:tcPr>
            <w:tcW w:type="dxa" w:w="2160"/>
          </w:tcPr>
          <w:p>
            <w:r/>
            <w:r>
              <w:rPr>
                <w:b w:val="0"/>
                <w:sz w:val="17"/>
              </w:rPr>
              <w:t>ROLE_CITTADINO_PROF</w:t>
            </w:r>
          </w:p>
        </w:tc>
      </w:tr>
      <w:tr>
        <w:tc>
          <w:tcPr>
            <w:tcW w:type="dxa" w:w="2160"/>
          </w:tcPr>
          <w:p>
            <w:r/>
            <w:r>
              <w:rPr>
                <w:b w:val="0"/>
                <w:sz w:val="17"/>
              </w:rPr>
              <w:t>UFF_CERT_CORR (6)</w:t>
            </w:r>
          </w:p>
        </w:tc>
        <w:tc>
          <w:tcPr>
            <w:tcW w:type="dxa" w:w="2160"/>
          </w:tcPr>
          <w:p>
            <w:r/>
            <w:r>
              <w:rPr>
                <w:b w:val="0"/>
                <w:sz w:val="17"/>
              </w:rPr>
              <w:t>ROLE_UFF_CERT_CORR</w:t>
            </w:r>
          </w:p>
        </w:tc>
        <w:tc>
          <w:tcPr>
            <w:tcW w:type="dxa" w:w="1872"/>
          </w:tcPr>
          <w:p>
            <w:r/>
            <w:r>
              <w:rPr>
                <w:b w:val="0"/>
                <w:sz w:val="17"/>
              </w:rPr>
              <w:t>UFF_CERT_CORR</w:t>
            </w:r>
          </w:p>
        </w:tc>
        <w:tc>
          <w:tcPr>
            <w:tcW w:type="dxa" w:w="1728"/>
          </w:tcPr>
          <w:p>
            <w:r/>
            <w:r>
              <w:rPr>
                <w:b w:val="0"/>
                <w:sz w:val="17"/>
              </w:rPr>
              <w:t>uff.cert.corr</w:t>
            </w:r>
          </w:p>
        </w:tc>
        <w:tc>
          <w:tcPr>
            <w:tcW w:type="dxa" w:w="2160"/>
          </w:tcPr>
          <w:p>
            <w:r/>
            <w:r>
              <w:rPr>
                <w:b w:val="0"/>
                <w:sz w:val="17"/>
              </w:rPr>
              <w:t>ROLE_UFF_CERT_CORR</w:t>
            </w:r>
          </w:p>
        </w:tc>
      </w:tr>
      <w:tr>
        <w:tc>
          <w:tcPr>
            <w:tcW w:type="dxa" w:w="2160"/>
          </w:tcPr>
          <w:p>
            <w:r/>
            <w:r>
              <w:rPr>
                <w:b w:val="0"/>
                <w:sz w:val="17"/>
              </w:rPr>
              <w:t>UFF_CERT_ENTI_EST (7)</w:t>
            </w:r>
          </w:p>
        </w:tc>
        <w:tc>
          <w:tcPr>
            <w:tcW w:type="dxa" w:w="2160"/>
          </w:tcPr>
          <w:p>
            <w:r/>
            <w:r>
              <w:rPr>
                <w:b w:val="0"/>
                <w:sz w:val="17"/>
              </w:rPr>
              <w:t>ROLE_UFF_CERT_ENTI_EST</w:t>
            </w:r>
          </w:p>
        </w:tc>
        <w:tc>
          <w:tcPr>
            <w:tcW w:type="dxa" w:w="1872"/>
          </w:tcPr>
          <w:p>
            <w:r/>
            <w:r>
              <w:rPr>
                <w:b w:val="0"/>
                <w:sz w:val="17"/>
              </w:rPr>
              <w:t>UFF_CERT_ENTI_EST</w:t>
            </w:r>
          </w:p>
        </w:tc>
        <w:tc>
          <w:tcPr>
            <w:tcW w:type="dxa" w:w="1728"/>
          </w:tcPr>
          <w:p>
            <w:r/>
            <w:r>
              <w:rPr>
                <w:b w:val="0"/>
                <w:sz w:val="17"/>
              </w:rPr>
              <w:t>uff.cert.enti.est</w:t>
            </w:r>
          </w:p>
        </w:tc>
        <w:tc>
          <w:tcPr>
            <w:tcW w:type="dxa" w:w="2160"/>
          </w:tcPr>
          <w:p>
            <w:r/>
            <w:r>
              <w:rPr>
                <w:b w:val="0"/>
                <w:sz w:val="17"/>
              </w:rPr>
              <w:t>ROLE_UFF_CERT_ENTI_EST</w:t>
            </w:r>
          </w:p>
        </w:tc>
      </w:tr>
      <w:tr>
        <w:tc>
          <w:tcPr>
            <w:tcW w:type="dxa" w:w="2160"/>
          </w:tcPr>
          <w:p>
            <w:r/>
            <w:r>
              <w:rPr>
                <w:b w:val="0"/>
                <w:sz w:val="17"/>
              </w:rPr>
              <w:t>(nessuno, ripiego)</w:t>
            </w:r>
          </w:p>
        </w:tc>
        <w:tc>
          <w:tcPr>
            <w:tcW w:type="dxa" w:w="2160"/>
          </w:tcPr>
          <w:p>
            <w:r/>
            <w:r>
              <w:rPr>
                <w:b w:val="0"/>
                <w:sz w:val="17"/>
              </w:rPr>
              <w:t>ROLE_CITTADINO_CRI_ON</w:t>
            </w:r>
          </w:p>
        </w:tc>
        <w:tc>
          <w:tcPr>
            <w:tcW w:type="dxa" w:w="1872"/>
          </w:tcPr>
          <w:p>
            <w:r/>
            <w:r>
              <w:rPr>
                <w:b w:val="0"/>
                <w:sz w:val="17"/>
              </w:rPr>
              <w:t>CITTADINO_CRI_ON (solo in Java)</w:t>
            </w:r>
          </w:p>
        </w:tc>
        <w:tc>
          <w:tcPr>
            <w:tcW w:type="dxa" w:w="1728"/>
          </w:tcPr>
          <w:p>
            <w:r/>
            <w:r>
              <w:rPr>
                <w:b w:val="0"/>
                <w:sz w:val="17"/>
              </w:rPr>
              <w:t>da clientConfig</w:t>
            </w:r>
          </w:p>
        </w:tc>
        <w:tc>
          <w:tcPr>
            <w:tcW w:type="dxa" w:w="2160"/>
          </w:tcPr>
          <w:p>
            <w:r/>
            <w:r>
              <w:rPr>
                <w:b w:val="0"/>
                <w:sz w:val="17"/>
              </w:rPr>
              <w:t>ROLE_CITTADINO_CRI_ON</w:t>
            </w:r>
          </w:p>
        </w:tc>
      </w:tr>
    </w:tbl>
    <w:p>
      <w:pPr/>
      <w:r>
        <w:rPr>
          <w:b w:val="0"/>
        </w:rPr>
        <w:t xml:space="preserve">⚠️ </w:t>
      </w:r>
      <w:r>
        <w:rPr>
          <w:b/>
        </w:rPr>
        <w:t>Si noti che cosa si perde nel passaggio.</w:t>
      </w:r>
      <w:r>
        <w:rPr>
          <w:b w:val="0"/>
        </w:rPr>
        <w:t xml:space="preserve"> Le differenze fra funzionario anagrafico, dirigente e polizia locale esistono nel front-end e scompaiono nel back-end: tutti e tre diventano «utente autorizzato». Aree tematiche e funzionalità non attraversano affatto il confine.</w:t>
      </w:r>
    </w:p>
    <w:p>
      <w:pPr>
        <w:pStyle w:val="Heading2"/>
      </w:pPr>
      <w:r>
        <w:t>La profilazione</w:t>
      </w:r>
    </w:p>
    <w:p>
      <w:pPr/>
      <w:r>
        <w:rPr>
          <w:b w:val="0"/>
        </w:rPr>
        <w:t>Sei tabelle dello schema anagrafico descrivono chi può fare che cosa. Il perno è la tabella di assegnazione, che lega in una sola riga l’utente, il ruolo, l’area tematica e la funzionalità.</w:t>
      </w:r>
    </w:p>
    <w:p>
      <w:r>
        <w:drawing>
          <wp:inline xmlns:a="http://schemas.openxmlformats.org/drawingml/2006/main" xmlns:pic="http://schemas.openxmlformats.org/drawingml/2006/picture">
            <wp:extent cx="5852160" cy="3212327"/>
            <wp:docPr id="1468249207" name="Picture 1468249207"/>
            <wp:cNvGraphicFramePr>
              <a:graphicFrameLocks noChangeAspect="1"/>
            </wp:cNvGraphicFramePr>
            <a:graphic>
              <a:graphicData uri="http://schemas.openxmlformats.org/drawingml/2006/picture">
                <pic:pic>
                  <pic:nvPicPr>
                    <pic:cNvPr id="0" name="prof_modello.png"/>
                    <pic:cNvPicPr/>
                  </pic:nvPicPr>
                  <pic:blipFill>
                    <a:blip r:embed="rId19"/>
                    <a:stretch>
                      <a:fillRect/>
                    </a:stretch>
                  </pic:blipFill>
                  <pic:spPr>
                    <a:xfrm>
                      <a:off x="0" y="0"/>
                      <a:ext cx="5852160" cy="3212327"/>
                    </a:xfrm>
                    <a:prstGeom prst="rect"/>
                  </pic:spPr>
                </pic:pic>
              </a:graphicData>
            </a:graphic>
          </wp:inline>
        </w:drawing>
      </w:r>
    </w:p>
    <w:p>
      <w:r>
        <w:rPr>
          <w:i/>
          <w:sz w:val="18"/>
        </w:rPr>
        <w:t>Figura 2 — Le tabelle della profilazione. Il permesso non è associato al ruolo: passa sempre per l’utente.</w:t>
      </w:r>
    </w:p>
    <w:p>
      <w:pPr/>
      <w:r>
        <w:rPr>
          <w:b w:val="0"/>
        </w:rPr>
        <w:t xml:space="preserve">⚠️ </w:t>
      </w:r>
      <w:r>
        <w:rPr>
          <w:b/>
        </w:rPr>
        <w:t>Il ruolo non è collegato alle funzionalità.</w:t>
      </w:r>
      <w:r>
        <w:rPr>
          <w:b w:val="0"/>
        </w:rPr>
        <w:t xml:space="preserve"> La lettura che ricava le funzionalità di un utente non passa dal ruolo: unisce utente, area e funzionalità. Ne discende la proprietà che determina il costo di gestione dell’intero impianto: </w:t>
      </w:r>
      <w:r>
        <w:rPr>
          <w:b/>
        </w:rPr>
        <w:t>non esiste un luogo in cui sia scritto che cosa un ruolo comporti</w:t>
      </w:r>
      <w:r>
        <w:rPr>
          <w:b w:val="0"/>
        </w:rPr>
        <w:t>, e lo stesso ruolo può avere funzionalità diverse per utenti diversi. Per sapere che cosa significhi un ruolo bisogna esaminare le righe di chi lo possiede; per modificarlo, intervenire su tutte.</w:t>
      </w:r>
    </w:p>
    <w:p>
      <w:pPr/>
      <w:r>
        <w:rPr>
          <w:b w:val="0"/>
        </w:rPr>
        <w:t xml:space="preserve">Il catalogo delle funzionalità ha un solo effetto autorizzativo, all’ingresso, con un confronto per contenimento sulla sola destinazione iniziale; per il resto costruisce il menu. Nel back-end le espressioni di autorizzazione ragionano esclusivamente su liste di profili tecnici scritte nel codice: fra tutte, </w:t>
      </w:r>
      <w:r>
        <w:rPr>
          <w:b/>
        </w:rPr>
        <w:t>una sola</w:t>
      </w:r>
      <w:r>
        <w:rPr>
          <w:b w:val="0"/>
        </w:rPr>
        <w:t xml:space="preserve"> autorizza su una funzionalità.</w:t>
      </w:r>
    </w:p>
    <w:p>
      <w:pPr/>
      <w:r>
        <w:rPr>
          <w:b w:val="0"/>
        </w:rPr>
        <w:t xml:space="preserve">L’ambito organizzativo esiste su tre dimensioni — struttura interna, sede di municipio, struttura convenzionata — ma ⚠️ </w:t>
      </w:r>
      <w:r>
        <w:rPr>
          <w:b/>
        </w:rPr>
        <w:t>non è applicato dal server</w:t>
      </w:r>
      <w:r>
        <w:rPr>
          <w:b w:val="0"/>
        </w:rPr>
        <w:t>: arriva come parametro dal chiamante, e nulla lo confronta con l’utente autenticato. Né potrebbe: il gettone porta l’utenza tecnica, che di organizzazione non ne ha.</w:t>
      </w:r>
    </w:p>
    <w:p>
      <w:pPr>
        <w:pStyle w:val="Heading2"/>
      </w:pPr>
      <w:r>
        <w:t>L’identità verso l’esterno</w:t>
      </w:r>
    </w:p>
    <w:p>
      <w:pPr/>
      <w:r>
        <w:rPr>
          <w:b w:val="0"/>
        </w:rPr>
        <w:t xml:space="preserve">C’è una seconda sicurezza in SIPO, che convive con la prima senza toccarla ed è molto più matura: quella delle </w:t>
      </w:r>
      <w:r>
        <w:rPr>
          <w:b/>
        </w:rPr>
        <w:t>macchine</w:t>
      </w:r>
      <w:r>
        <w:rPr>
          <w:b w:val="0"/>
        </w:rPr>
        <w:t xml:space="preserve">. Il client ANPR porta cinquantuno file dedicati — caricamento di keystore, firma crittografica, asserzioni, firma dei messaggi — ed è dipendenza di trenta moduli di back-end. Esiste un </w:t>
      </w:r>
      <w:r>
        <w:rPr>
          <w:b/>
        </w:rPr>
        <w:t>registro delle postazioni</w:t>
      </w:r>
      <w:r>
        <w:rPr>
          <w:b w:val="0"/>
        </w:rPr>
        <w:t xml:space="preserve"> con i certificati, e un’operazione di arruolamento che li riceve, ne estrae chiave e certificato, firma l’identificativo di postazione e lo registra.</w:t>
      </w:r>
    </w:p>
    <w:p>
      <w:pPr/>
      <w:r>
        <w:rPr>
          <w:b w:val="0"/>
        </w:rPr>
        <w:t xml:space="preserve">⚠️ </w:t>
      </w:r>
      <w:r>
        <w:rPr>
          <w:b/>
        </w:rPr>
        <w:t>E tuttavia, verso ANPR, né l’operatore né la postazione sono attendibili.</w:t>
      </w:r>
      <w:r>
        <w:rPr>
          <w:b w:val="0"/>
        </w:rPr>
        <w:t xml:space="preserve"> L’identificativo di postazione passato alla procedura che seleziona il certificato è scritto nel codice e sovrascrive quello ricevuto: ogni chiamata proviene dalla stessa postazione, chiunque stia operando. L’operatore dei processi automatici è fisso. In finalizzazione il codice fiscale inviato è quello di chi ha </w:t>
      </w:r>
      <w:r>
        <w:rPr>
          <w:b/>
        </w:rPr>
        <w:t>creato</w:t>
      </w:r>
      <w:r>
        <w:rPr>
          <w:b w:val="0"/>
        </w:rPr>
        <w:t xml:space="preserve"> l’atto, non di chi lo sta formando.</w:t>
      </w:r>
    </w:p>
    <w:p>
      <w:pPr/>
      <w:r>
        <w:rPr>
          <w:b w:val="0"/>
        </w:rPr>
        <w:t xml:space="preserve">È lo stesso problema dell’identità che non arriva ai back-end, visto dal lato macchina — e ha la stessa soluzione: finché l’identità della persona non attraversa la catena, non può arrivare nemmeno all’ente terzo. ⚠️ Si aggiunga che la configurazione che collega il canale sicuro al componente che costruisce l’asserzione sta in </w:t>
      </w:r>
      <w:r>
        <w:rPr>
          <w:b/>
        </w:rPr>
        <w:t>due file orfani</w:t>
      </w:r>
      <w:r>
        <w:rPr>
          <w:b w:val="0"/>
        </w:rPr>
        <w:t>, uno dei quali nomina dieci volte una classe che non esiste: dal solo codice non è dimostrabile che quella parte venga eseguita (RI-21, PI-15).</w:t>
      </w:r>
    </w:p>
    <w:p>
      <w:pPr>
        <w:pStyle w:val="Heading2"/>
      </w:pPr>
      <w:r>
        <w:t>Il tracciamento</w:t>
      </w:r>
    </w:p>
    <w:p>
      <w:pPr/>
      <w:r>
        <w:rPr>
          <w:b/>
        </w:rPr>
        <w:t>Non esiste alcuna forma di registrazione automatica.</w:t>
      </w:r>
      <w:r>
        <w:rPr>
          <w:b w:val="0"/>
        </w:rPr>
        <w:t xml:space="preserve"> Le annotazioni che il framework mette a disposizione per attribuire a ogni riga il suo autore non compaiono in nessun punto del perimetro. Le colonne «chi» sono una quindicina, con sei nomi diversi, e ⚠️ </w:t>
      </w:r>
      <w:r>
        <w:rPr>
          <w:b/>
        </w:rPr>
        <w:t>il valore arriva dal client</w:t>
      </w:r>
      <w:r>
        <w:rPr>
          <w:b w:val="0"/>
        </w:rPr>
        <w:t>: una traccia così formata registra ciò che il chiamante ha dichiarato di essere, non ciò che il sistema ha accertato.</w:t>
      </w:r>
    </w:p>
    <w:p>
      <w:pPr/>
      <w:r>
        <w:rPr>
          <w:b w:val="0"/>
        </w:rPr>
        <w:t>L’unico registro sistematico degli accessi è una riga scritta a ogni connessione in un file di log. Nello stato civile non esiste alcuna tabella di audit: l’unica presente nel perimetro appartiene al dominio elettorale.</w:t>
      </w:r>
    </w:p>
    <w:p>
      <w:pPr>
        <w:pStyle w:val="Heading2"/>
      </w:pPr>
      <w:r>
        <w:t>I rilievi</w:t>
      </w:r>
    </w:p>
    <w:p>
      <w:pPr/>
      <w:r>
        <w:rPr>
          <w:b w:val="0"/>
        </w:rPr>
        <w:t>Si raccolgono qui, in un registro unico, i rilievi delle tre ricognizioni. La colonna «origine» conserva la corrispondenza con i registri dei documenti di partenza, così che il raccordo resti verificabile. La gravità è quella attribuita in [F2], estesa ai rilievi che provengono da [F1].</w:t>
      </w:r>
    </w:p>
    <w:p>
      <w:pPr/>
      <w:r>
        <w:rPr>
          <w:b w:val="0"/>
        </w:rPr>
        <w:t xml:space="preserve">⚠️ </w:t>
      </w:r>
      <w:r>
        <w:rPr>
          <w:b/>
        </w:rPr>
        <w:t>La valutazione del rischio reale richiede di sapere se gli host dei servizi siano raggiungibili senza passare dal proxy</w:t>
      </w:r>
      <w:r>
        <w:rPr>
          <w:b w:val="0"/>
        </w:rPr>
        <w:t xml:space="preserve"> (PI-12). Da quella risposta dipende se RI-01 e RI-04 siano difetti teorici o praticabili.</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tcPr>
          <w:p>
            <w:r/>
            <w:r>
              <w:rPr>
                <w:b/>
                <w:sz w:val="17"/>
              </w:rPr>
              <w:t>#</w:t>
            </w:r>
          </w:p>
        </w:tc>
        <w:tc>
          <w:tcPr>
            <w:tcW w:type="dxa" w:w="2016"/>
          </w:tcPr>
          <w:p>
            <w:r/>
            <w:r>
              <w:rPr>
                <w:b/>
                <w:sz w:val="17"/>
              </w:rPr>
              <w:t>Rilievo</w:t>
            </w:r>
          </w:p>
        </w:tc>
        <w:tc>
          <w:tcPr>
            <w:tcW w:type="dxa" w:w="864"/>
          </w:tcPr>
          <w:p>
            <w:r/>
            <w:r>
              <w:rPr>
                <w:b/>
                <w:sz w:val="17"/>
              </w:rPr>
              <w:t>Gravità</w:t>
            </w:r>
          </w:p>
        </w:tc>
        <w:tc>
          <w:tcPr>
            <w:tcW w:type="dxa" w:w="4464"/>
          </w:tcPr>
          <w:p>
            <w:r/>
            <w:r>
              <w:rPr>
                <w:b/>
                <w:sz w:val="17"/>
              </w:rPr>
              <w:t>Evidenza</w:t>
            </w:r>
          </w:p>
        </w:tc>
        <w:tc>
          <w:tcPr>
            <w:tcW w:type="dxa" w:w="1296"/>
          </w:tcPr>
          <w:p>
            <w:r/>
            <w:r>
              <w:rPr>
                <w:b/>
                <w:sz w:val="17"/>
              </w:rPr>
              <w:t>Origine</w:t>
            </w:r>
          </w:p>
        </w:tc>
      </w:tr>
      <w:tr>
        <w:tc>
          <w:tcPr>
            <w:tcW w:type="dxa" w:w="720"/>
          </w:tcPr>
          <w:p>
            <w:r/>
            <w:r>
              <w:rPr>
                <w:b w:val="0"/>
                <w:sz w:val="17"/>
              </w:rPr>
              <w:t>RI-01</w:t>
            </w:r>
          </w:p>
        </w:tc>
        <w:tc>
          <w:tcPr>
            <w:tcW w:type="dxa" w:w="2016"/>
          </w:tcPr>
          <w:p>
            <w:r/>
            <w:r>
              <w:rPr>
                <w:b w:val="0"/>
                <w:sz w:val="17"/>
              </w:rPr>
              <w:t>I servizi di back-end rispondono senza gettone</w:t>
            </w:r>
          </w:p>
        </w:tc>
        <w:tc>
          <w:tcPr>
            <w:tcW w:type="dxa" w:w="864"/>
          </w:tcPr>
          <w:p>
            <w:r/>
            <w:r>
              <w:rPr>
                <w:b w:val="0"/>
                <w:sz w:val="17"/>
              </w:rPr>
              <w:t>Critica</w:t>
            </w:r>
          </w:p>
        </w:tc>
        <w:tc>
          <w:tcPr>
            <w:tcW w:type="dxa" w:w="4464"/>
          </w:tcPr>
          <w:p>
            <w:r/>
            <w:r>
              <w:rPr>
                <w:b w:val="0"/>
                <w:sz w:val="17"/>
              </w:rPr>
              <w:t>ResourceServerConfig non dichiara anyRequest(). Ogni percorso non elencato e privo di @PreAuthorize risponde anche a chiamanti anonimi, comprese operazioni di scrittura: salvataggio e cancellazione di atti, finalizzazione, stampa di estratti con dati personali.</w:t>
            </w:r>
          </w:p>
        </w:tc>
        <w:tc>
          <w:tcPr>
            <w:tcW w:type="dxa" w:w="1296"/>
          </w:tcPr>
          <w:p>
            <w:r/>
            <w:r>
              <w:rPr>
                <w:b w:val="0"/>
                <w:sz w:val="17"/>
              </w:rPr>
              <w:t>C1 · R-03</w:t>
            </w:r>
          </w:p>
        </w:tc>
      </w:tr>
      <w:tr>
        <w:tc>
          <w:tcPr>
            <w:tcW w:type="dxa" w:w="720"/>
          </w:tcPr>
          <w:p>
            <w:r/>
            <w:r>
              <w:rPr>
                <w:b w:val="0"/>
                <w:sz w:val="17"/>
              </w:rPr>
              <w:t>RI-02</w:t>
            </w:r>
          </w:p>
        </w:tc>
        <w:tc>
          <w:tcPr>
            <w:tcW w:type="dxa" w:w="2016"/>
          </w:tcPr>
          <w:p>
            <w:r/>
            <w:r>
              <w:rPr>
                <w:b w:val="0"/>
                <w:sz w:val="17"/>
              </w:rPr>
              <w:t>L’identità dell’operatore non è legata al gettone</w:t>
            </w:r>
          </w:p>
        </w:tc>
        <w:tc>
          <w:tcPr>
            <w:tcW w:type="dxa" w:w="864"/>
          </w:tcPr>
          <w:p>
            <w:r/>
            <w:r>
              <w:rPr>
                <w:b w:val="0"/>
                <w:sz w:val="17"/>
              </w:rPr>
              <w:t>Critica</w:t>
            </w:r>
          </w:p>
        </w:tc>
        <w:tc>
          <w:tcPr>
            <w:tcW w:type="dxa" w:w="4464"/>
          </w:tcPr>
          <w:p>
            <w:r/>
            <w:r>
              <w:rPr>
                <w:b w:val="0"/>
                <w:sz w:val="17"/>
              </w:rPr>
              <w:t>Identificativo utente, organizzazione, codice fiscale e ruolo arrivano nel corpo della richiesta e il back-end li accetta senza verifica. Con un gettone qualsiasi — o senza, vedi RI-01 — si opera «come» un altro ufficiale o un’altra organizzazione. Il ruolo ricevuto decide perfino con quale utenza si chiama il canale ANPR.</w:t>
            </w:r>
          </w:p>
        </w:tc>
        <w:tc>
          <w:tcPr>
            <w:tcW w:type="dxa" w:w="1296"/>
          </w:tcPr>
          <w:p>
            <w:r/>
            <w:r>
              <w:rPr>
                <w:b w:val="0"/>
                <w:sz w:val="17"/>
              </w:rPr>
              <w:t>C4 · R-05 · R-07</w:t>
            </w:r>
          </w:p>
        </w:tc>
      </w:tr>
      <w:tr>
        <w:tc>
          <w:tcPr>
            <w:tcW w:type="dxa" w:w="720"/>
          </w:tcPr>
          <w:p>
            <w:r/>
            <w:r>
              <w:rPr>
                <w:b w:val="0"/>
                <w:sz w:val="17"/>
              </w:rPr>
              <w:t>RI-03</w:t>
            </w:r>
          </w:p>
        </w:tc>
        <w:tc>
          <w:tcPr>
            <w:tcW w:type="dxa" w:w="2016"/>
          </w:tcPr>
          <w:p>
            <w:r/>
            <w:r>
              <w:rPr>
                <w:b w:val="0"/>
                <w:sz w:val="17"/>
              </w:rPr>
              <w:t>Segreti in chiaro e una sola chiave di firma</w:t>
            </w:r>
          </w:p>
        </w:tc>
        <w:tc>
          <w:tcPr>
            <w:tcW w:type="dxa" w:w="864"/>
          </w:tcPr>
          <w:p>
            <w:r/>
            <w:r>
              <w:rPr>
                <w:b w:val="0"/>
                <w:sz w:val="17"/>
              </w:rPr>
              <w:t>Critica</w:t>
            </w:r>
          </w:p>
        </w:tc>
        <w:tc>
          <w:tcPr>
            <w:tcW w:type="dxa" w:w="4464"/>
          </w:tcPr>
          <w:p>
            <w:r/>
            <w:r>
              <w:rPr>
                <w:b w:val="0"/>
                <w:sz w:val="17"/>
              </w:rPr>
              <w:t>Password di base dati di produzione nei file di proprietà; security.signing-key identica in 57 file; segreti dei client con prefisso {noop}; chiave TripleDes nel codice. Chi conosce la chiave di firma può costruire un gettone con qualunque autorità, valido su tutti i back-end.</w:t>
            </w:r>
          </w:p>
        </w:tc>
        <w:tc>
          <w:tcPr>
            <w:tcW w:type="dxa" w:w="1296"/>
          </w:tcPr>
          <w:p>
            <w:r/>
            <w:r>
              <w:rPr>
                <w:b w:val="0"/>
                <w:sz w:val="17"/>
              </w:rPr>
              <w:t>C2 · R-04 · R-13</w:t>
            </w:r>
          </w:p>
        </w:tc>
      </w:tr>
      <w:tr>
        <w:tc>
          <w:tcPr>
            <w:tcW w:type="dxa" w:w="720"/>
          </w:tcPr>
          <w:p>
            <w:r/>
            <w:r>
              <w:rPr>
                <w:b w:val="0"/>
                <w:sz w:val="17"/>
              </w:rPr>
              <w:t>RI-04</w:t>
            </w:r>
          </w:p>
        </w:tc>
        <w:tc>
          <w:tcPr>
            <w:tcW w:type="dxa" w:w="2016"/>
          </w:tcPr>
          <w:p>
            <w:r/>
            <w:r>
              <w:rPr>
                <w:b w:val="0"/>
                <w:sz w:val="17"/>
              </w:rPr>
              <w:t>L’identità in ingresso è un header di cui ci si fida</w:t>
            </w:r>
          </w:p>
        </w:tc>
        <w:tc>
          <w:tcPr>
            <w:tcW w:type="dxa" w:w="864"/>
          </w:tcPr>
          <w:p>
            <w:r/>
            <w:r>
              <w:rPr>
                <w:b w:val="0"/>
                <w:sz w:val="17"/>
              </w:rPr>
              <w:t>Critica</w:t>
            </w:r>
          </w:p>
        </w:tc>
        <w:tc>
          <w:tcPr>
            <w:tcW w:type="dxa" w:w="4464"/>
          </w:tcPr>
          <w:p>
            <w:r/>
            <w:r>
              <w:rPr>
                <w:b w:val="0"/>
                <w:sz w:val="17"/>
              </w:rPr>
              <w:t>CdRLoginFilter accoglie iv-user e sysgroup senza alcuna verifica di provenienza o di firma. Se l’host del front-end è raggiungibile senza passare dal portale, un header basta a impersonare chiunque.</w:t>
            </w:r>
          </w:p>
        </w:tc>
        <w:tc>
          <w:tcPr>
            <w:tcW w:type="dxa" w:w="1296"/>
          </w:tcPr>
          <w:p>
            <w:r/>
            <w:r>
              <w:rPr>
                <w:b w:val="0"/>
                <w:sz w:val="17"/>
              </w:rPr>
              <w:t>C3 · R-01</w:t>
            </w:r>
          </w:p>
        </w:tc>
      </w:tr>
      <w:tr>
        <w:tc>
          <w:tcPr>
            <w:tcW w:type="dxa" w:w="720"/>
          </w:tcPr>
          <w:p>
            <w:r/>
            <w:r>
              <w:rPr>
                <w:b w:val="0"/>
                <w:sz w:val="17"/>
              </w:rPr>
              <w:t>RI-05</w:t>
            </w:r>
          </w:p>
        </w:tc>
        <w:tc>
          <w:tcPr>
            <w:tcW w:type="dxa" w:w="2016"/>
          </w:tcPr>
          <w:p>
            <w:r/>
            <w:r>
              <w:rPr>
                <w:b w:val="0"/>
                <w:sz w:val="17"/>
              </w:rPr>
              <w:t>Il nome della vista è scelto dal client</w:t>
            </w:r>
          </w:p>
        </w:tc>
        <w:tc>
          <w:tcPr>
            <w:tcW w:type="dxa" w:w="864"/>
          </w:tcPr>
          <w:p>
            <w:r/>
            <w:r>
              <w:rPr>
                <w:b w:val="0"/>
                <w:sz w:val="17"/>
              </w:rPr>
              <w:t>Critica</w:t>
            </w:r>
          </w:p>
        </w:tc>
        <w:tc>
          <w:tcPr>
            <w:tcW w:type="dxa" w:w="4464"/>
          </w:tcPr>
          <w:p>
            <w:r/>
            <w:r>
              <w:rPr>
                <w:b w:val="0"/>
                <w:sz w:val="17"/>
              </w:rPr>
              <w:t>In GestioneDecessiController.riprendiLavorazione il parametro idSelezionato è spezzato e la seconda parte diventa il valore restituito dal metodo, cioè il nome della vista risolta. Verificato alla riga 696.</w:t>
            </w:r>
          </w:p>
        </w:tc>
        <w:tc>
          <w:tcPr>
            <w:tcW w:type="dxa" w:w="1296"/>
          </w:tcPr>
          <w:p>
            <w:r/>
            <w:r>
              <w:rPr>
                <w:b w:val="0"/>
                <w:sz w:val="17"/>
              </w:rPr>
              <w:t>C5</w:t>
            </w:r>
          </w:p>
        </w:tc>
      </w:tr>
      <w:tr>
        <w:tc>
          <w:tcPr>
            <w:tcW w:type="dxa" w:w="720"/>
          </w:tcPr>
          <w:p>
            <w:r/>
            <w:r>
              <w:rPr>
                <w:b w:val="0"/>
                <w:sz w:val="17"/>
              </w:rPr>
              <w:t>RI-06</w:t>
            </w:r>
          </w:p>
        </w:tc>
        <w:tc>
          <w:tcPr>
            <w:tcW w:type="dxa" w:w="2016"/>
          </w:tcPr>
          <w:p>
            <w:r/>
            <w:r>
              <w:rPr>
                <w:b w:val="0"/>
                <w:sz w:val="17"/>
              </w:rPr>
              <w:t>Esiste un percorso alternativo di identificazione</w:t>
            </w:r>
          </w:p>
        </w:tc>
        <w:tc>
          <w:tcPr>
            <w:tcW w:type="dxa" w:w="864"/>
          </w:tcPr>
          <w:p>
            <w:r/>
            <w:r>
              <w:rPr>
                <w:b w:val="0"/>
                <w:sz w:val="17"/>
              </w:rPr>
              <w:t>Alta</w:t>
            </w:r>
          </w:p>
        </w:tc>
        <w:tc>
          <w:tcPr>
            <w:tcW w:type="dxa" w:w="4464"/>
          </w:tcPr>
          <w:p>
            <w:r/>
            <w:r>
              <w:rPr>
                <w:b w:val="0"/>
                <w:sz w:val="17"/>
              </w:rPr>
              <w:t>Con il parametro di richiesta mode=local l’identità è letta dagli attributi di sessione anziché dagli header. Non è condizionato al profilo né all’ambiente.</w:t>
            </w:r>
          </w:p>
        </w:tc>
        <w:tc>
          <w:tcPr>
            <w:tcW w:type="dxa" w:w="1296"/>
          </w:tcPr>
          <w:p>
            <w:r/>
            <w:r>
              <w:rPr>
                <w:b w:val="0"/>
                <w:sz w:val="17"/>
              </w:rPr>
              <w:t>R-02</w:t>
            </w:r>
          </w:p>
        </w:tc>
      </w:tr>
      <w:tr>
        <w:tc>
          <w:tcPr>
            <w:tcW w:type="dxa" w:w="720"/>
          </w:tcPr>
          <w:p>
            <w:r/>
            <w:r>
              <w:rPr>
                <w:b w:val="0"/>
                <w:sz w:val="17"/>
              </w:rPr>
              <w:t>RI-07</w:t>
            </w:r>
          </w:p>
        </w:tc>
        <w:tc>
          <w:tcPr>
            <w:tcW w:type="dxa" w:w="2016"/>
          </w:tcPr>
          <w:p>
            <w:r/>
            <w:r>
              <w:rPr>
                <w:b w:val="0"/>
                <w:sz w:val="17"/>
              </w:rPr>
              <w:t>Il front-end non autorizza per funzione</w:t>
            </w:r>
          </w:p>
        </w:tc>
        <w:tc>
          <w:tcPr>
            <w:tcW w:type="dxa" w:w="864"/>
          </w:tcPr>
          <w:p>
            <w:r/>
            <w:r>
              <w:rPr>
                <w:b w:val="0"/>
                <w:sz w:val="17"/>
              </w:rPr>
              <w:t>Alta</w:t>
            </w:r>
          </w:p>
        </w:tc>
        <w:tc>
          <w:tcPr>
            <w:tcW w:type="dxa" w:w="4464"/>
          </w:tcPr>
          <w:p>
            <w:r/>
            <w:r>
              <w:rPr>
                <w:b w:val="0"/>
                <w:sz w:val="17"/>
              </w:rPr>
              <w:t>Le rotte dei moduli non anagrafici non compaiono negli elenchi di SecurityConfig, che non ha una clausola di chiusura. Qualunque utente con sessione valida, anche un cittadino, raggiunge le funzioni degli altri moduli. Il menu è solo visivo.</w:t>
            </w:r>
          </w:p>
        </w:tc>
        <w:tc>
          <w:tcPr>
            <w:tcW w:type="dxa" w:w="1296"/>
          </w:tcPr>
          <w:p>
            <w:r/>
            <w:r>
              <w:rPr>
                <w:b w:val="0"/>
                <w:sz w:val="17"/>
              </w:rPr>
              <w:t>A1 · R-03</w:t>
            </w:r>
          </w:p>
        </w:tc>
      </w:tr>
      <w:tr>
        <w:tc>
          <w:tcPr>
            <w:tcW w:type="dxa" w:w="720"/>
          </w:tcPr>
          <w:p>
            <w:r/>
            <w:r>
              <w:rPr>
                <w:b w:val="0"/>
                <w:sz w:val="17"/>
              </w:rPr>
              <w:t>RI-08</w:t>
            </w:r>
          </w:p>
        </w:tc>
        <w:tc>
          <w:tcPr>
            <w:tcW w:type="dxa" w:w="2016"/>
          </w:tcPr>
          <w:p>
            <w:r/>
            <w:r>
              <w:rPr>
                <w:b w:val="0"/>
                <w:sz w:val="17"/>
              </w:rPr>
              <w:t>L’autorizzazione nel back-end è solo per profilo tecnico</w:t>
            </w:r>
          </w:p>
        </w:tc>
        <w:tc>
          <w:tcPr>
            <w:tcW w:type="dxa" w:w="864"/>
          </w:tcPr>
          <w:p>
            <w:r/>
            <w:r>
              <w:rPr>
                <w:b w:val="0"/>
                <w:sz w:val="17"/>
              </w:rPr>
              <w:t>Alta</w:t>
            </w:r>
          </w:p>
        </w:tc>
        <w:tc>
          <w:tcPr>
            <w:tcW w:type="dxa" w:w="4464"/>
          </w:tcPr>
          <w:p>
            <w:r/>
            <w:r>
              <w:rPr>
                <w:b w:val="0"/>
                <w:sz w:val="17"/>
              </w:rPr>
              <w:t>Le espressioni di autorizzazione ragionano su ADMIN, AUTH_USER e simili. Quasi tutte le operazioni di stato civile ammettono anche CITTADINO e CITTADINO_PROF. Nessun controllo per area, funzionalità, municipio o appartenenza del dato.</w:t>
            </w:r>
          </w:p>
        </w:tc>
        <w:tc>
          <w:tcPr>
            <w:tcW w:type="dxa" w:w="1296"/>
          </w:tcPr>
          <w:p>
            <w:r/>
            <w:r>
              <w:rPr>
                <w:b w:val="0"/>
                <w:sz w:val="17"/>
              </w:rPr>
              <w:t>A2</w:t>
            </w:r>
          </w:p>
        </w:tc>
      </w:tr>
      <w:tr>
        <w:tc>
          <w:tcPr>
            <w:tcW w:type="dxa" w:w="720"/>
          </w:tcPr>
          <w:p>
            <w:r/>
            <w:r>
              <w:rPr>
                <w:b w:val="0"/>
                <w:sz w:val="17"/>
              </w:rPr>
              <w:t>RI-09</w:t>
            </w:r>
          </w:p>
        </w:tc>
        <w:tc>
          <w:tcPr>
            <w:tcW w:type="dxa" w:w="2016"/>
          </w:tcPr>
          <w:p>
            <w:r/>
            <w:r>
              <w:rPr>
                <w:b w:val="0"/>
                <w:sz w:val="17"/>
              </w:rPr>
              <w:t>Verso ANPR operatore e postazione non sono attendibili</w:t>
            </w:r>
          </w:p>
        </w:tc>
        <w:tc>
          <w:tcPr>
            <w:tcW w:type="dxa" w:w="864"/>
          </w:tcPr>
          <w:p>
            <w:r/>
            <w:r>
              <w:rPr>
                <w:b w:val="0"/>
                <w:sz w:val="17"/>
              </w:rPr>
              <w:t>Alta</w:t>
            </w:r>
          </w:p>
        </w:tc>
        <w:tc>
          <w:tcPr>
            <w:tcW w:type="dxa" w:w="4464"/>
          </w:tcPr>
          <w:p>
            <w:r/>
            <w:r>
              <w:rPr>
                <w:b w:val="0"/>
                <w:sz w:val="17"/>
              </w:rPr>
              <w:t>La postazione è scritta nel codice (ConfigHandler.java:67, che sovrascrive il parametro ricevuto); l’operatore dei processi automatici è fisso e corrisponde a una persona reale; in finalizzazione il codice fiscale inviato è quello di chi ha creato l’atto, non di chi lo sta formando. Lo stato è statico e non protetto fra richieste.</w:t>
            </w:r>
          </w:p>
        </w:tc>
        <w:tc>
          <w:tcPr>
            <w:tcW w:type="dxa" w:w="1296"/>
          </w:tcPr>
          <w:p>
            <w:r/>
            <w:r>
              <w:rPr>
                <w:b w:val="0"/>
                <w:sz w:val="17"/>
              </w:rPr>
              <w:t>A3 · R-16</w:t>
            </w:r>
          </w:p>
        </w:tc>
      </w:tr>
      <w:tr>
        <w:tc>
          <w:tcPr>
            <w:tcW w:type="dxa" w:w="720"/>
          </w:tcPr>
          <w:p>
            <w:r/>
            <w:r>
              <w:rPr>
                <w:b w:val="0"/>
                <w:sz w:val="17"/>
              </w:rPr>
              <w:t>RI-10</w:t>
            </w:r>
          </w:p>
        </w:tc>
        <w:tc>
          <w:tcPr>
            <w:tcW w:type="dxa" w:w="2016"/>
          </w:tcPr>
          <w:p>
            <w:r/>
            <w:r>
              <w:rPr>
                <w:b w:val="0"/>
                <w:sz w:val="17"/>
              </w:rPr>
              <w:t>Sei moduli espongono le proprie rotte senza autenticazione</w:t>
            </w:r>
          </w:p>
        </w:tc>
        <w:tc>
          <w:tcPr>
            <w:tcW w:type="dxa" w:w="864"/>
          </w:tcPr>
          <w:p>
            <w:r/>
            <w:r>
              <w:rPr>
                <w:b w:val="0"/>
                <w:sz w:val="17"/>
              </w:rPr>
              <w:t>Alta</w:t>
            </w:r>
          </w:p>
        </w:tc>
        <w:tc>
          <w:tcPr>
            <w:tcW w:type="dxa" w:w="4464"/>
          </w:tcPr>
          <w:p>
            <w:r/>
            <w:r>
              <w:rPr>
                <w:b w:val="0"/>
                <w:sz w:val="17"/>
              </w:rPr>
              <w:t>Le classi BasicConfiguration di allineamento nascite, matrimoni e decessi, del modulo fax e posta certificata, della carta d’identità e di una copia fuori albero dichiarano permitAll e disabilitano la protezione contro la falsificazione di richiesta; il gestore delle credenziali è vuoto.</w:t>
            </w:r>
          </w:p>
        </w:tc>
        <w:tc>
          <w:tcPr>
            <w:tcW w:type="dxa" w:w="1296"/>
          </w:tcPr>
          <w:p>
            <w:r/>
            <w:r>
              <w:rPr>
                <w:b w:val="0"/>
                <w:sz w:val="17"/>
              </w:rPr>
              <w:t>R-09</w:t>
            </w:r>
          </w:p>
        </w:tc>
      </w:tr>
      <w:tr>
        <w:tc>
          <w:tcPr>
            <w:tcW w:type="dxa" w:w="720"/>
          </w:tcPr>
          <w:p>
            <w:r/>
            <w:r>
              <w:rPr>
                <w:b w:val="0"/>
                <w:sz w:val="17"/>
              </w:rPr>
              <w:t>RI-11</w:t>
            </w:r>
          </w:p>
        </w:tc>
        <w:tc>
          <w:tcPr>
            <w:tcW w:type="dxa" w:w="2016"/>
          </w:tcPr>
          <w:p>
            <w:r/>
            <w:r>
              <w:rPr>
                <w:b w:val="0"/>
                <w:sz w:val="17"/>
              </w:rPr>
              <w:t>Il filtro a chiave API non protegge ciò che emette gettoni</w:t>
            </w:r>
          </w:p>
        </w:tc>
        <w:tc>
          <w:tcPr>
            <w:tcW w:type="dxa" w:w="864"/>
          </w:tcPr>
          <w:p>
            <w:r/>
            <w:r>
              <w:rPr>
                <w:b w:val="0"/>
                <w:sz w:val="17"/>
              </w:rPr>
              <w:t>Alta</w:t>
            </w:r>
          </w:p>
        </w:tc>
        <w:tc>
          <w:tcPr>
            <w:tcW w:type="dxa" w:w="4464"/>
          </w:tcPr>
          <w:p>
            <w:r/>
            <w:r>
              <w:rPr>
                <w:b w:val="0"/>
                <w:sz w:val="17"/>
              </w:rPr>
              <w:t>ApiKeyFilter confronta il percorso con «/generate» e «/validate», ma il controller è mappato su «/api/token/…» e il modulo non dichiara un context-path: la condizione non si verifica mai. Nessun modulo consuma quegli endpoint.</w:t>
            </w:r>
          </w:p>
        </w:tc>
        <w:tc>
          <w:tcPr>
            <w:tcW w:type="dxa" w:w="1296"/>
          </w:tcPr>
          <w:p>
            <w:r/>
            <w:r>
              <w:rPr>
                <w:b w:val="0"/>
                <w:sz w:val="17"/>
              </w:rPr>
              <w:t>R-17</w:t>
            </w:r>
          </w:p>
        </w:tc>
      </w:tr>
      <w:tr>
        <w:tc>
          <w:tcPr>
            <w:tcW w:type="dxa" w:w="720"/>
          </w:tcPr>
          <w:p>
            <w:r/>
            <w:r>
              <w:rPr>
                <w:b w:val="0"/>
                <w:sz w:val="17"/>
              </w:rPr>
              <w:t>RI-12</w:t>
            </w:r>
          </w:p>
        </w:tc>
        <w:tc>
          <w:tcPr>
            <w:tcW w:type="dxa" w:w="2016"/>
          </w:tcPr>
          <w:p>
            <w:r/>
            <w:r>
              <w:rPr>
                <w:b w:val="0"/>
                <w:sz w:val="17"/>
              </w:rPr>
              <w:t>Dati personali in file di configurazione versionati</w:t>
            </w:r>
          </w:p>
        </w:tc>
        <w:tc>
          <w:tcPr>
            <w:tcW w:type="dxa" w:w="864"/>
          </w:tcPr>
          <w:p>
            <w:r/>
            <w:r>
              <w:rPr>
                <w:b w:val="0"/>
                <w:sz w:val="17"/>
              </w:rPr>
              <w:t>Alta</w:t>
            </w:r>
          </w:p>
        </w:tc>
        <w:tc>
          <w:tcPr>
            <w:tcW w:type="dxa" w:w="4464"/>
          </w:tcPr>
          <w:p>
            <w:r/>
            <w:r>
              <w:rPr>
                <w:b w:val="0"/>
                <w:sz w:val="17"/>
              </w:rPr>
              <w:t>I file di proprietà di produzione e preproduzione del client ANPR contengono il codice fiscale di operatori reali nel campo dell’operatore, accanto alle password dei keystore.</w:t>
            </w:r>
          </w:p>
        </w:tc>
        <w:tc>
          <w:tcPr>
            <w:tcW w:type="dxa" w:w="1296"/>
          </w:tcPr>
          <w:p>
            <w:r/>
            <w:r>
              <w:rPr>
                <w:b w:val="0"/>
                <w:sz w:val="17"/>
              </w:rPr>
              <w:t>R-19</w:t>
            </w:r>
          </w:p>
        </w:tc>
      </w:tr>
      <w:tr>
        <w:tc>
          <w:tcPr>
            <w:tcW w:type="dxa" w:w="720"/>
          </w:tcPr>
          <w:p>
            <w:r/>
            <w:r>
              <w:rPr>
                <w:b w:val="0"/>
                <w:sz w:val="17"/>
              </w:rPr>
              <w:t>RI-13</w:t>
            </w:r>
          </w:p>
        </w:tc>
        <w:tc>
          <w:tcPr>
            <w:tcW w:type="dxa" w:w="2016"/>
          </w:tcPr>
          <w:p>
            <w:r/>
            <w:r>
              <w:rPr>
                <w:b w:val="0"/>
                <w:sz w:val="17"/>
              </w:rPr>
              <w:t>Impostazioni predefinite permissive</w:t>
            </w:r>
          </w:p>
        </w:tc>
        <w:tc>
          <w:tcPr>
            <w:tcW w:type="dxa" w:w="864"/>
          </w:tcPr>
          <w:p>
            <w:r/>
            <w:r>
              <w:rPr>
                <w:b w:val="0"/>
                <w:sz w:val="17"/>
              </w:rPr>
              <w:t>Alta</w:t>
            </w:r>
          </w:p>
        </w:tc>
        <w:tc>
          <w:tcPr>
            <w:tcW w:type="dxa" w:w="4464"/>
          </w:tcPr>
          <w:p>
            <w:r/>
            <w:r>
              <w:rPr>
                <w:b w:val="0"/>
                <w:sz w:val="17"/>
              </w:rPr>
              <w:t>In assenza di ruoli il servizio assegna d’ufficio ROLE_CITTADINO_CRI_ON, e va in errore se l’utente non esiste. Tutte le utenze tecniche di collaudo hanno la stessa impronta della parola d’ordine. Un solo identificativo di risorsa per tutti i back-end.</w:t>
            </w:r>
          </w:p>
        </w:tc>
        <w:tc>
          <w:tcPr>
            <w:tcW w:type="dxa" w:w="1296"/>
          </w:tcPr>
          <w:p>
            <w:r/>
            <w:r>
              <w:rPr>
                <w:b w:val="0"/>
                <w:sz w:val="17"/>
              </w:rPr>
              <w:t>A4 · R-13</w:t>
            </w:r>
          </w:p>
        </w:tc>
      </w:tr>
      <w:tr>
        <w:tc>
          <w:tcPr>
            <w:tcW w:type="dxa" w:w="720"/>
          </w:tcPr>
          <w:p>
            <w:r/>
            <w:r>
              <w:rPr>
                <w:b w:val="0"/>
                <w:sz w:val="17"/>
              </w:rPr>
              <w:t>RI-14</w:t>
            </w:r>
          </w:p>
        </w:tc>
        <w:tc>
          <w:tcPr>
            <w:tcW w:type="dxa" w:w="2016"/>
          </w:tcPr>
          <w:p>
            <w:r/>
            <w:r>
              <w:rPr>
                <w:b w:val="0"/>
                <w:sz w:val="17"/>
              </w:rPr>
              <w:t>Trasporto non cifrato fra i servizi</w:t>
            </w:r>
          </w:p>
        </w:tc>
        <w:tc>
          <w:tcPr>
            <w:tcW w:type="dxa" w:w="864"/>
          </w:tcPr>
          <w:p>
            <w:r/>
            <w:r>
              <w:rPr>
                <w:b w:val="0"/>
                <w:sz w:val="17"/>
              </w:rPr>
              <w:t>Alta</w:t>
            </w:r>
          </w:p>
        </w:tc>
        <w:tc>
          <w:tcPr>
            <w:tcW w:type="dxa" w:w="4464"/>
          </w:tcPr>
          <w:p>
            <w:r/>
            <w:r>
              <w:rPr>
                <w:b w:val="0"/>
                <w:sz w:val="17"/>
              </w:rPr>
              <w:t>Le chiamate da front-end a back-end e fra back-end viaggiano in http, con gettoni al portatore validi dodici ore.</w:t>
            </w:r>
          </w:p>
        </w:tc>
        <w:tc>
          <w:tcPr>
            <w:tcW w:type="dxa" w:w="1296"/>
          </w:tcPr>
          <w:p>
            <w:r/>
            <w:r>
              <w:rPr>
                <w:b w:val="0"/>
                <w:sz w:val="17"/>
              </w:rPr>
              <w:t>A5</w:t>
            </w:r>
          </w:p>
        </w:tc>
      </w:tr>
      <w:tr>
        <w:tc>
          <w:tcPr>
            <w:tcW w:type="dxa" w:w="720"/>
          </w:tcPr>
          <w:p>
            <w:r/>
            <w:r>
              <w:rPr>
                <w:b w:val="0"/>
                <w:sz w:val="17"/>
              </w:rPr>
              <w:t>RI-15</w:t>
            </w:r>
          </w:p>
        </w:tc>
        <w:tc>
          <w:tcPr>
            <w:tcW w:type="dxa" w:w="2016"/>
          </w:tcPr>
          <w:p>
            <w:r/>
            <w:r>
              <w:rPr>
                <w:b w:val="0"/>
                <w:sz w:val="17"/>
              </w:rPr>
              <w:t>Il permesso è attribuito per utente, non per ruolo</w:t>
            </w:r>
          </w:p>
        </w:tc>
        <w:tc>
          <w:tcPr>
            <w:tcW w:type="dxa" w:w="864"/>
          </w:tcPr>
          <w:p>
            <w:r/>
            <w:r>
              <w:rPr>
                <w:b w:val="0"/>
                <w:sz w:val="17"/>
              </w:rPr>
              <w:t>Media</w:t>
            </w:r>
          </w:p>
        </w:tc>
        <w:tc>
          <w:tcPr>
            <w:tcW w:type="dxa" w:w="4464"/>
          </w:tcPr>
          <w:p>
            <w:r/>
            <w:r>
              <w:rPr>
                <w:b w:val="0"/>
                <w:sz w:val="17"/>
              </w:rPr>
              <w:t>La lettura che ricava le funzionalità non passa dal ruolo: unisce utente, area tematica e funzionalità. Non esiste alcun luogo in cui sia scritto che cosa un ruolo comporti, e lo stesso ruolo può avere funzionalità diverse per utenti diversi.</w:t>
            </w:r>
          </w:p>
        </w:tc>
        <w:tc>
          <w:tcPr>
            <w:tcW w:type="dxa" w:w="1296"/>
          </w:tcPr>
          <w:p>
            <w:r/>
            <w:r>
              <w:rPr>
                <w:b w:val="0"/>
                <w:sz w:val="17"/>
              </w:rPr>
              <w:t>R-15 · [F2] 11.2</w:t>
            </w:r>
          </w:p>
        </w:tc>
      </w:tr>
      <w:tr>
        <w:tc>
          <w:tcPr>
            <w:tcW w:type="dxa" w:w="720"/>
          </w:tcPr>
          <w:p>
            <w:r/>
            <w:r>
              <w:rPr>
                <w:b w:val="0"/>
                <w:sz w:val="17"/>
              </w:rPr>
              <w:t>RI-16</w:t>
            </w:r>
          </w:p>
        </w:tc>
        <w:tc>
          <w:tcPr>
            <w:tcW w:type="dxa" w:w="2016"/>
          </w:tcPr>
          <w:p>
            <w:r/>
            <w:r>
              <w:rPr>
                <w:b w:val="0"/>
                <w:sz w:val="17"/>
              </w:rPr>
              <w:t>Solo il primo ruolo determina i privilegi</w:t>
            </w:r>
          </w:p>
        </w:tc>
        <w:tc>
          <w:tcPr>
            <w:tcW w:type="dxa" w:w="864"/>
          </w:tcPr>
          <w:p>
            <w:r/>
            <w:r>
              <w:rPr>
                <w:b w:val="0"/>
                <w:sz w:val="17"/>
              </w:rPr>
              <w:t>Media</w:t>
            </w:r>
          </w:p>
        </w:tc>
        <w:tc>
          <w:tcPr>
            <w:tcW w:type="dxa" w:w="4464"/>
          </w:tcPr>
          <w:p>
            <w:r/>
            <w:r>
              <w:rPr>
                <w:b w:val="0"/>
                <w:sz w:val="17"/>
              </w:rPr>
              <w:t>Il profilo passato al back-end, la descrizione mostrata in testata e il filtro delle azioni nelle pagine usano tutti il primo ruolo, cioè quello con identificativo minore. Per un utente con più ruoli il comportamento dipende dall’ordinamento della lettura.</w:t>
            </w:r>
          </w:p>
        </w:tc>
        <w:tc>
          <w:tcPr>
            <w:tcW w:type="dxa" w:w="1296"/>
          </w:tcPr>
          <w:p>
            <w:r/>
            <w:r>
              <w:rPr>
                <w:b w:val="0"/>
                <w:sz w:val="17"/>
              </w:rPr>
              <w:t>M1 · R-06</w:t>
            </w:r>
          </w:p>
        </w:tc>
      </w:tr>
      <w:tr>
        <w:tc>
          <w:tcPr>
            <w:tcW w:type="dxa" w:w="720"/>
          </w:tcPr>
          <w:p>
            <w:r/>
            <w:r>
              <w:rPr>
                <w:b w:val="0"/>
                <w:sz w:val="17"/>
              </w:rPr>
              <w:t>RI-17</w:t>
            </w:r>
          </w:p>
        </w:tc>
        <w:tc>
          <w:tcPr>
            <w:tcW w:type="dxa" w:w="2016"/>
          </w:tcPr>
          <w:p>
            <w:r/>
            <w:r>
              <w:rPr>
                <w:b w:val="0"/>
                <w:sz w:val="17"/>
              </w:rPr>
              <w:t>Il catalogo delle funzionalità ha un solo effetto autorizzativo</w:t>
            </w:r>
          </w:p>
        </w:tc>
        <w:tc>
          <w:tcPr>
            <w:tcW w:type="dxa" w:w="864"/>
          </w:tcPr>
          <w:p>
            <w:r/>
            <w:r>
              <w:rPr>
                <w:b w:val="0"/>
                <w:sz w:val="17"/>
              </w:rPr>
              <w:t>Media</w:t>
            </w:r>
          </w:p>
        </w:tc>
        <w:tc>
          <w:tcPr>
            <w:tcW w:type="dxa" w:w="4464"/>
          </w:tcPr>
          <w:p>
            <w:r/>
            <w:r>
              <w:rPr>
                <w:b w:val="0"/>
                <w:sz w:val="17"/>
              </w:rPr>
              <w:t>La verifica avviene all’ingresso, con un confronto per contenimento sulla sola destinazione iniziale, e una destinazione vuota la supera. Le navigazioni successive non la ripercorrono.</w:t>
            </w:r>
          </w:p>
        </w:tc>
        <w:tc>
          <w:tcPr>
            <w:tcW w:type="dxa" w:w="1296"/>
          </w:tcPr>
          <w:p>
            <w:r/>
            <w:r>
              <w:rPr>
                <w:b w:val="0"/>
                <w:sz w:val="17"/>
              </w:rPr>
              <w:t>R-08</w:t>
            </w:r>
          </w:p>
        </w:tc>
      </w:tr>
      <w:tr>
        <w:tc>
          <w:tcPr>
            <w:tcW w:type="dxa" w:w="720"/>
          </w:tcPr>
          <w:p>
            <w:r/>
            <w:r>
              <w:rPr>
                <w:b w:val="0"/>
                <w:sz w:val="17"/>
              </w:rPr>
              <w:t>RI-18</w:t>
            </w:r>
          </w:p>
        </w:tc>
        <w:tc>
          <w:tcPr>
            <w:tcW w:type="dxa" w:w="2016"/>
          </w:tcPr>
          <w:p>
            <w:r/>
            <w:r>
              <w:rPr>
                <w:b w:val="0"/>
                <w:sz w:val="17"/>
              </w:rPr>
              <w:t>Un gettone nuovo a ogni chiamata, e quarantaquattro emittenti</w:t>
            </w:r>
          </w:p>
        </w:tc>
        <w:tc>
          <w:tcPr>
            <w:tcW w:type="dxa" w:w="864"/>
          </w:tcPr>
          <w:p>
            <w:r/>
            <w:r>
              <w:rPr>
                <w:b w:val="0"/>
                <w:sz w:val="17"/>
              </w:rPr>
              <w:t>Media</w:t>
            </w:r>
          </w:p>
        </w:tc>
        <w:tc>
          <w:tcPr>
            <w:tcW w:type="dxa" w:w="4464"/>
          </w:tcPr>
          <w:p>
            <w:r/>
            <w:r>
              <w:rPr>
                <w:b w:val="0"/>
                <w:sz w:val="17"/>
              </w:rPr>
              <w:t>Il client richiede un gettone all’inizio di ogni metodo, senza alcuna conservazione: due viaggi per ogni chiamata. Ogni back-end è insieme server di autorizzazione e di risorsa: nessuna gestione centrale, e la revoca è impossibile perché i gettoni non hanno stato.</w:t>
            </w:r>
          </w:p>
        </w:tc>
        <w:tc>
          <w:tcPr>
            <w:tcW w:type="dxa" w:w="1296"/>
          </w:tcPr>
          <w:p>
            <w:r/>
            <w:r>
              <w:rPr>
                <w:b w:val="0"/>
                <w:sz w:val="17"/>
              </w:rPr>
              <w:t>M2 · M3</w:t>
            </w:r>
          </w:p>
        </w:tc>
      </w:tr>
      <w:tr>
        <w:tc>
          <w:tcPr>
            <w:tcW w:type="dxa" w:w="720"/>
          </w:tcPr>
          <w:p>
            <w:r/>
            <w:r>
              <w:rPr>
                <w:b w:val="0"/>
                <w:sz w:val="17"/>
              </w:rPr>
              <w:t>RI-19</w:t>
            </w:r>
          </w:p>
        </w:tc>
        <w:tc>
          <w:tcPr>
            <w:tcW w:type="dxa" w:w="2016"/>
          </w:tcPr>
          <w:p>
            <w:r/>
            <w:r>
              <w:rPr>
                <w:b w:val="0"/>
                <w:sz w:val="17"/>
              </w:rPr>
              <w:t>La sessione non è governata</w:t>
            </w:r>
          </w:p>
        </w:tc>
        <w:tc>
          <w:tcPr>
            <w:tcW w:type="dxa" w:w="864"/>
          </w:tcPr>
          <w:p>
            <w:r/>
            <w:r>
              <w:rPr>
                <w:b w:val="0"/>
                <w:sz w:val="17"/>
              </w:rPr>
              <w:t>Media</w:t>
            </w:r>
          </w:p>
        </w:tc>
        <w:tc>
          <w:tcPr>
            <w:tcW w:type="dxa" w:w="4464"/>
          </w:tcPr>
          <w:p>
            <w:r/>
            <w:r>
              <w:rPr>
                <w:b w:val="0"/>
                <w:sz w:val="17"/>
              </w:rPr>
              <w:t>La durata è configurata da un solo modulo; nessun attributo di sicurezza sul cookie; nessun archivio condiviso fra istanze; nessun limite di sessioni concorrenti; l’interceptor per la sessione scaduta non è registrato.</w:t>
            </w:r>
          </w:p>
        </w:tc>
        <w:tc>
          <w:tcPr>
            <w:tcW w:type="dxa" w:w="1296"/>
          </w:tcPr>
          <w:p>
            <w:r/>
            <w:r>
              <w:rPr>
                <w:b w:val="0"/>
                <w:sz w:val="17"/>
              </w:rPr>
              <w:t>M6 · R-14</w:t>
            </w:r>
          </w:p>
        </w:tc>
      </w:tr>
      <w:tr>
        <w:tc>
          <w:tcPr>
            <w:tcW w:type="dxa" w:w="720"/>
          </w:tcPr>
          <w:p>
            <w:r/>
            <w:r>
              <w:rPr>
                <w:b w:val="0"/>
                <w:sz w:val="17"/>
              </w:rPr>
              <w:t>RI-20</w:t>
            </w:r>
          </w:p>
        </w:tc>
        <w:tc>
          <w:tcPr>
            <w:tcW w:type="dxa" w:w="2016"/>
          </w:tcPr>
          <w:p>
            <w:r/>
            <w:r>
              <w:rPr>
                <w:b w:val="0"/>
                <w:sz w:val="17"/>
              </w:rPr>
              <w:t>La configurazione di profilazione non è versionata</w:t>
            </w:r>
          </w:p>
        </w:tc>
        <w:tc>
          <w:tcPr>
            <w:tcW w:type="dxa" w:w="864"/>
          </w:tcPr>
          <w:p>
            <w:r/>
            <w:r>
              <w:rPr>
                <w:b w:val="0"/>
                <w:sz w:val="17"/>
              </w:rPr>
              <w:t>Media</w:t>
            </w:r>
          </w:p>
        </w:tc>
        <w:tc>
          <w:tcPr>
            <w:tcW w:type="dxa" w:w="4464"/>
          </w:tcPr>
          <w:p>
            <w:r/>
            <w:r>
              <w:rPr>
                <w:b w:val="0"/>
                <w:sz w:val="17"/>
              </w:rPr>
              <w:t>Negli script del repository non compare alcun inserimento di aree tematiche, funzionalità o ruoli per l’ambito Stato Civile: la configurazione reale esiste solo sulle basi dati degli ambienti.</w:t>
            </w:r>
          </w:p>
        </w:tc>
        <w:tc>
          <w:tcPr>
            <w:tcW w:type="dxa" w:w="1296"/>
          </w:tcPr>
          <w:p>
            <w:r/>
            <w:r>
              <w:rPr>
                <w:b w:val="0"/>
                <w:sz w:val="17"/>
              </w:rPr>
              <w:t>M7</w:t>
            </w:r>
          </w:p>
        </w:tc>
      </w:tr>
      <w:tr>
        <w:tc>
          <w:tcPr>
            <w:tcW w:type="dxa" w:w="720"/>
          </w:tcPr>
          <w:p>
            <w:r/>
            <w:r>
              <w:rPr>
                <w:b w:val="0"/>
                <w:sz w:val="17"/>
              </w:rPr>
              <w:t>RI-21</w:t>
            </w:r>
          </w:p>
        </w:tc>
        <w:tc>
          <w:tcPr>
            <w:tcW w:type="dxa" w:w="2016"/>
          </w:tcPr>
          <w:p>
            <w:r/>
            <w:r>
              <w:rPr>
                <w:b w:val="0"/>
                <w:sz w:val="17"/>
              </w:rPr>
              <w:t>La configurazione del canale sicuro verso ANPR è orfana</w:t>
            </w:r>
          </w:p>
        </w:tc>
        <w:tc>
          <w:tcPr>
            <w:tcW w:type="dxa" w:w="864"/>
          </w:tcPr>
          <w:p>
            <w:r/>
            <w:r>
              <w:rPr>
                <w:b w:val="0"/>
                <w:sz w:val="17"/>
              </w:rPr>
              <w:t>Media</w:t>
            </w:r>
          </w:p>
        </w:tc>
        <w:tc>
          <w:tcPr>
            <w:tcW w:type="dxa" w:w="4464"/>
          </w:tcPr>
          <w:p>
            <w:r/>
            <w:r>
              <w:rPr>
                <w:b w:val="0"/>
                <w:sz w:val="17"/>
              </w:rPr>
              <w:t>Il file cxf.xml non è caricato da alcun componente e nomina dieci volte una classe inesistente; saml.properties è caricato solo da lì. Non è dimostrabile dal codice che l’asserzione SAML venga mai costruita.</w:t>
            </w:r>
          </w:p>
        </w:tc>
        <w:tc>
          <w:tcPr>
            <w:tcW w:type="dxa" w:w="1296"/>
          </w:tcPr>
          <w:p>
            <w:r/>
            <w:r>
              <w:rPr>
                <w:b w:val="0"/>
                <w:sz w:val="17"/>
              </w:rPr>
              <w:t>R-18</w:t>
            </w:r>
          </w:p>
        </w:tc>
      </w:tr>
      <w:tr>
        <w:tc>
          <w:tcPr>
            <w:tcW w:type="dxa" w:w="720"/>
          </w:tcPr>
          <w:p>
            <w:r/>
            <w:r>
              <w:rPr>
                <w:b w:val="0"/>
                <w:sz w:val="17"/>
              </w:rPr>
              <w:t>RI-22</w:t>
            </w:r>
          </w:p>
        </w:tc>
        <w:tc>
          <w:tcPr>
            <w:tcW w:type="dxa" w:w="2016"/>
          </w:tcPr>
          <w:p>
            <w:r/>
            <w:r>
              <w:rPr>
                <w:b w:val="0"/>
                <w:sz w:val="17"/>
              </w:rPr>
              <w:t>Il modello a permessi per aspetti è stato abbandonato a metà</w:t>
            </w:r>
          </w:p>
        </w:tc>
        <w:tc>
          <w:tcPr>
            <w:tcW w:type="dxa" w:w="864"/>
          </w:tcPr>
          <w:p>
            <w:r/>
            <w:r>
              <w:rPr>
                <w:b w:val="0"/>
                <w:sz w:val="17"/>
              </w:rPr>
              <w:t>Media</w:t>
            </w:r>
          </w:p>
        </w:tc>
        <w:tc>
          <w:tcPr>
            <w:tcW w:type="dxa" w:w="4464"/>
          </w:tcPr>
          <w:p>
            <w:r/>
            <w:r>
              <w:rPr>
                <w:b w:val="0"/>
                <w:sz w:val="17"/>
              </w:rPr>
              <w:t>Le quattro classi CheckPermission sono commentate riga per riga e importano una classe assente dal workspace. Era il tentativo di sostituire l’autorizzazione per indirizzo con una per permessi: la direzione non è inesplorata, è interrotta.</w:t>
            </w:r>
          </w:p>
        </w:tc>
        <w:tc>
          <w:tcPr>
            <w:tcW w:type="dxa" w:w="1296"/>
          </w:tcPr>
          <w:p>
            <w:r/>
            <w:r>
              <w:rPr>
                <w:b w:val="0"/>
                <w:sz w:val="17"/>
              </w:rPr>
              <w:t>R-20</w:t>
            </w:r>
          </w:p>
        </w:tc>
      </w:tr>
      <w:tr>
        <w:tc>
          <w:tcPr>
            <w:tcW w:type="dxa" w:w="720"/>
          </w:tcPr>
          <w:p>
            <w:r/>
            <w:r>
              <w:rPr>
                <w:b w:val="0"/>
                <w:sz w:val="17"/>
              </w:rPr>
              <w:t>RI-23</w:t>
            </w:r>
          </w:p>
        </w:tc>
        <w:tc>
          <w:tcPr>
            <w:tcW w:type="dxa" w:w="2016"/>
          </w:tcPr>
          <w:p>
            <w:r/>
            <w:r>
              <w:rPr>
                <w:b w:val="0"/>
                <w:sz w:val="17"/>
              </w:rPr>
              <w:t>La firma dell’identificativo di postazione esiste in tre copie</w:t>
            </w:r>
          </w:p>
        </w:tc>
        <w:tc>
          <w:tcPr>
            <w:tcW w:type="dxa" w:w="864"/>
          </w:tcPr>
          <w:p>
            <w:r/>
            <w:r>
              <w:rPr>
                <w:b w:val="0"/>
                <w:sz w:val="17"/>
              </w:rPr>
              <w:t>Media</w:t>
            </w:r>
          </w:p>
        </w:tc>
        <w:tc>
          <w:tcPr>
            <w:tcW w:type="dxa" w:w="4464"/>
          </w:tcPr>
          <w:p>
            <w:r/>
            <w:r>
              <w:rPr>
                <w:b w:val="0"/>
                <w:sz w:val="17"/>
              </w:rPr>
              <w:t>La stessa logica è scritta in anpr-client, nel programma a riga di comando e nel modulo anagrafico. La cifratura simmetrica esiste in sedici copie con tre chiavi distinte.</w:t>
            </w:r>
          </w:p>
        </w:tc>
        <w:tc>
          <w:tcPr>
            <w:tcW w:type="dxa" w:w="1296"/>
          </w:tcPr>
          <w:p>
            <w:r/>
            <w:r>
              <w:rPr>
                <w:b w:val="0"/>
                <w:sz w:val="17"/>
              </w:rPr>
              <w:t>R-21</w:t>
            </w:r>
          </w:p>
        </w:tc>
      </w:tr>
      <w:tr>
        <w:tc>
          <w:tcPr>
            <w:tcW w:type="dxa" w:w="720"/>
          </w:tcPr>
          <w:p>
            <w:r/>
            <w:r>
              <w:rPr>
                <w:b w:val="0"/>
                <w:sz w:val="17"/>
              </w:rPr>
              <w:t>RI-24</w:t>
            </w:r>
          </w:p>
        </w:tc>
        <w:tc>
          <w:tcPr>
            <w:tcW w:type="dxa" w:w="2016"/>
          </w:tcPr>
          <w:p>
            <w:r/>
            <w:r>
              <w:rPr>
                <w:b w:val="0"/>
                <w:sz w:val="17"/>
              </w:rPr>
              <w:t>Il tracciamento è puntuale e la sua chiave arriva dal client</w:t>
            </w:r>
          </w:p>
        </w:tc>
        <w:tc>
          <w:tcPr>
            <w:tcW w:type="dxa" w:w="864"/>
          </w:tcPr>
          <w:p>
            <w:r/>
            <w:r>
              <w:rPr>
                <w:b w:val="0"/>
                <w:sz w:val="17"/>
              </w:rPr>
              <w:t>Media</w:t>
            </w:r>
          </w:p>
        </w:tc>
        <w:tc>
          <w:tcPr>
            <w:tcW w:type="dxa" w:w="4464"/>
          </w:tcPr>
          <w:p>
            <w:r/>
            <w:r>
              <w:rPr>
                <w:b w:val="0"/>
                <w:sz w:val="17"/>
              </w:rPr>
              <w:t>Nessun meccanismo automatico di registrazione; poche colonne «chi» con sei nomi diversi, valorizzate dal parametro di richiesta. Il registro dei rilasci di estratti ha una lista di esclusione configurabile.</w:t>
            </w:r>
          </w:p>
        </w:tc>
        <w:tc>
          <w:tcPr>
            <w:tcW w:type="dxa" w:w="1296"/>
          </w:tcPr>
          <w:p>
            <w:r/>
            <w:r>
              <w:rPr>
                <w:b w:val="0"/>
                <w:sz w:val="17"/>
              </w:rPr>
              <w:t>R-10 · R-11</w:t>
            </w:r>
          </w:p>
        </w:tc>
      </w:tr>
      <w:tr>
        <w:tc>
          <w:tcPr>
            <w:tcW w:type="dxa" w:w="720"/>
          </w:tcPr>
          <w:p>
            <w:r/>
            <w:r>
              <w:rPr>
                <w:b w:val="0"/>
                <w:sz w:val="17"/>
              </w:rPr>
              <w:t>RI-25</w:t>
            </w:r>
          </w:p>
        </w:tc>
        <w:tc>
          <w:tcPr>
            <w:tcW w:type="dxa" w:w="2016"/>
          </w:tcPr>
          <w:p>
            <w:r/>
            <w:r>
              <w:rPr>
                <w:b w:val="0"/>
                <w:sz w:val="17"/>
              </w:rPr>
              <w:t>Gli errori di autorizzazione non arrivano all’operatore</w:t>
            </w:r>
          </w:p>
        </w:tc>
        <w:tc>
          <w:tcPr>
            <w:tcW w:type="dxa" w:w="864"/>
          </w:tcPr>
          <w:p>
            <w:r/>
            <w:r>
              <w:rPr>
                <w:b w:val="0"/>
                <w:sz w:val="17"/>
              </w:rPr>
              <w:t>Media</w:t>
            </w:r>
          </w:p>
        </w:tc>
        <w:tc>
          <w:tcPr>
            <w:tcW w:type="dxa" w:w="4464"/>
          </w:tcPr>
          <w:p>
            <w:r/>
            <w:r>
              <w:rPr>
                <w:b w:val="0"/>
                <w:sz w:val="17"/>
              </w:rPr>
              <w:t>Le risposte 401 e 403 dei back-end sono assorbite dal front-end: l’operatore vede un elenco vuoto, non un messaggio di accesso negato.</w:t>
            </w:r>
          </w:p>
        </w:tc>
        <w:tc>
          <w:tcPr>
            <w:tcW w:type="dxa" w:w="1296"/>
          </w:tcPr>
          <w:p>
            <w:r/>
            <w:r>
              <w:rPr>
                <w:b w:val="0"/>
                <w:sz w:val="17"/>
              </w:rPr>
              <w:t>M5</w:t>
            </w:r>
          </w:p>
        </w:tc>
      </w:tr>
      <w:tr>
        <w:tc>
          <w:tcPr>
            <w:tcW w:type="dxa" w:w="720"/>
          </w:tcPr>
          <w:p>
            <w:r/>
            <w:r>
              <w:rPr>
                <w:b w:val="0"/>
                <w:sz w:val="17"/>
              </w:rPr>
              <w:t>RI-26</w:t>
            </w:r>
          </w:p>
        </w:tc>
        <w:tc>
          <w:tcPr>
            <w:tcW w:type="dxa" w:w="2016"/>
          </w:tcPr>
          <w:p>
            <w:r/>
            <w:r>
              <w:rPr>
                <w:b w:val="0"/>
                <w:sz w:val="17"/>
              </w:rPr>
              <w:t>La configurazione per ambiente è legata al ramo compilato</w:t>
            </w:r>
          </w:p>
        </w:tc>
        <w:tc>
          <w:tcPr>
            <w:tcW w:type="dxa" w:w="864"/>
          </w:tcPr>
          <w:p>
            <w:r/>
            <w:r>
              <w:rPr>
                <w:b w:val="0"/>
                <w:sz w:val="17"/>
              </w:rPr>
              <w:t>Media</w:t>
            </w:r>
          </w:p>
        </w:tc>
        <w:tc>
          <w:tcPr>
            <w:tcW w:type="dxa" w:w="4464"/>
          </w:tcPr>
          <w:p>
            <w:r/>
            <w:r>
              <w:rPr>
                <w:b w:val="0"/>
                <w:sz w:val="17"/>
              </w:rPr>
              <w:t>Blocchi commentati nella persistenza, bersaglio nel file del client, ambiente ANPR scritto nel codice: quale ambiente si raggiunge dipende dal ramo da cui si è costruita l’immagine.</w:t>
            </w:r>
          </w:p>
        </w:tc>
        <w:tc>
          <w:tcPr>
            <w:tcW w:type="dxa" w:w="1296"/>
          </w:tcPr>
          <w:p>
            <w:r/>
            <w:r>
              <w:rPr>
                <w:b w:val="0"/>
                <w:sz w:val="17"/>
              </w:rPr>
              <w:t>M4</w:t>
            </w:r>
          </w:p>
        </w:tc>
      </w:tr>
      <w:tr>
        <w:tc>
          <w:tcPr>
            <w:tcW w:type="dxa" w:w="720"/>
          </w:tcPr>
          <w:p>
            <w:r/>
            <w:r>
              <w:rPr>
                <w:b w:val="0"/>
                <w:sz w:val="17"/>
              </w:rPr>
              <w:t>RI-27</w:t>
            </w:r>
          </w:p>
        </w:tc>
        <w:tc>
          <w:tcPr>
            <w:tcW w:type="dxa" w:w="2016"/>
          </w:tcPr>
          <w:p>
            <w:r/>
            <w:r>
              <w:rPr>
                <w:b w:val="0"/>
                <w:sz w:val="17"/>
              </w:rPr>
              <w:t>Codice di sicurezza presente e non attivo</w:t>
            </w:r>
          </w:p>
        </w:tc>
        <w:tc>
          <w:tcPr>
            <w:tcW w:type="dxa" w:w="864"/>
          </w:tcPr>
          <w:p>
            <w:r/>
            <w:r>
              <w:rPr>
                <w:b w:val="0"/>
                <w:sz w:val="17"/>
              </w:rPr>
              <w:t>Bassa</w:t>
            </w:r>
          </w:p>
        </w:tc>
        <w:tc>
          <w:tcPr>
            <w:tcW w:type="dxa" w:w="4464"/>
          </w:tcPr>
          <w:p>
            <w:r/>
            <w:r>
              <w:rPr>
                <w:b w:val="0"/>
                <w:sz w:val="17"/>
              </w:rPr>
              <w:t>Il vincolo di giunzione per la Polizia Locale non è mai invocato; l’interceptor di sessione invalida non è registrato; il gestore che disattiva la validazione dei certificati resta nel percorso di classe di trenta moduli pur essendo irraggiungibile.</w:t>
            </w:r>
          </w:p>
        </w:tc>
        <w:tc>
          <w:tcPr>
            <w:tcW w:type="dxa" w:w="1296"/>
          </w:tcPr>
          <w:p>
            <w:r/>
            <w:r>
              <w:rPr>
                <w:b w:val="0"/>
                <w:sz w:val="17"/>
              </w:rPr>
              <w:t>B1 · R-12</w:t>
            </w:r>
          </w:p>
        </w:tc>
      </w:tr>
      <w:tr>
        <w:tc>
          <w:tcPr>
            <w:tcW w:type="dxa" w:w="720"/>
          </w:tcPr>
          <w:p>
            <w:r/>
            <w:r>
              <w:rPr>
                <w:b w:val="0"/>
                <w:sz w:val="17"/>
              </w:rPr>
              <w:t>RI-28</w:t>
            </w:r>
          </w:p>
        </w:tc>
        <w:tc>
          <w:tcPr>
            <w:tcW w:type="dxa" w:w="2016"/>
          </w:tcPr>
          <w:p>
            <w:r/>
            <w:r>
              <w:rPr>
                <w:b w:val="0"/>
                <w:sz w:val="17"/>
              </w:rPr>
              <w:t>L’impianto esiste in due copie</w:t>
            </w:r>
          </w:p>
        </w:tc>
        <w:tc>
          <w:tcPr>
            <w:tcW w:type="dxa" w:w="864"/>
          </w:tcPr>
          <w:p>
            <w:r/>
            <w:r>
              <w:rPr>
                <w:b w:val="0"/>
                <w:sz w:val="17"/>
              </w:rPr>
              <w:t>Bassa</w:t>
            </w:r>
          </w:p>
        </w:tc>
        <w:tc>
          <w:tcPr>
            <w:tcW w:type="dxa" w:w="4464"/>
          </w:tcPr>
          <w:p>
            <w:r/>
            <w:r>
              <w:rPr>
                <w:b w:val="0"/>
                <w:sz w:val="17"/>
              </w:rPr>
              <w:t>Profilazione, sicurezza REST, client ed entità sono duplicati sotto la radice delle elezioni, con lo stesso identificativo di artefatto: la copia può sovrascrivere l’originale nel deposito locale. Un modulo di produzione dipende dal duplicato.</w:t>
            </w:r>
          </w:p>
        </w:tc>
        <w:tc>
          <w:tcPr>
            <w:tcW w:type="dxa" w:w="1296"/>
          </w:tcPr>
          <w:p>
            <w:r/>
            <w:r>
              <w:rPr>
                <w:b w:val="0"/>
                <w:sz w:val="17"/>
              </w:rPr>
              <w:t>B1 · R-15</w:t>
            </w:r>
          </w:p>
        </w:tc>
      </w:tr>
      <w:tr>
        <w:tc>
          <w:tcPr>
            <w:tcW w:type="dxa" w:w="720"/>
          </w:tcPr>
          <w:p>
            <w:r/>
            <w:r>
              <w:rPr>
                <w:b w:val="0"/>
                <w:sz w:val="17"/>
              </w:rPr>
              <w:t>RI-29</w:t>
            </w:r>
          </w:p>
        </w:tc>
        <w:tc>
          <w:tcPr>
            <w:tcW w:type="dxa" w:w="2016"/>
          </w:tcPr>
          <w:p>
            <w:r/>
            <w:r>
              <w:rPr>
                <w:b w:val="0"/>
                <w:sz w:val="17"/>
              </w:rPr>
              <w:t>Pila tecnologica fuori supporto</w:t>
            </w:r>
          </w:p>
        </w:tc>
        <w:tc>
          <w:tcPr>
            <w:tcW w:type="dxa" w:w="864"/>
          </w:tcPr>
          <w:p>
            <w:r/>
            <w:r>
              <w:rPr>
                <w:b w:val="0"/>
                <w:sz w:val="17"/>
              </w:rPr>
              <w:t>Bassa</w:t>
            </w:r>
          </w:p>
        </w:tc>
        <w:tc>
          <w:tcPr>
            <w:tcW w:type="dxa" w:w="4464"/>
          </w:tcPr>
          <w:p>
            <w:r/>
            <w:r>
              <w:rPr>
                <w:b w:val="0"/>
                <w:sz w:val="17"/>
              </w:rPr>
              <w:t>Spring Boot 2.1, il modulo OAuth2 di Spring Security è fuori supporto, il tipo di concessione in uso è deprecato, log4j2 2.15.0 porta una vulnerabilità nota.</w:t>
            </w:r>
          </w:p>
        </w:tc>
        <w:tc>
          <w:tcPr>
            <w:tcW w:type="dxa" w:w="1296"/>
          </w:tcPr>
          <w:p>
            <w:r/>
            <w:r>
              <w:rPr>
                <w:b w:val="0"/>
                <w:sz w:val="17"/>
              </w:rPr>
              <w:t>B2</w:t>
            </w:r>
          </w:p>
        </w:tc>
      </w:tr>
    </w:tbl>
    <w:p>
      <w:pPr>
        <w:pStyle w:val="Heading1"/>
      </w:pPr>
      <w:r>
        <w:t>Parte II — L’integrazione con IAM</w:t>
      </w:r>
    </w:p>
    <w:p>
      <w:pPr>
        <w:pStyle w:val="Heading2"/>
      </w:pPr>
      <w:r>
        <w:t>Il punto di partenza</w:t>
      </w:r>
    </w:p>
    <w:p>
      <w:pPr/>
      <w:r>
        <w:rPr>
          <w:b w:val="0"/>
        </w:rPr>
        <w:t xml:space="preserve">La specifica dell’ente [F4] prevede due modalità di integrazione. Nella prima l’identità viaggia in intestazioni HTTP aggiunte da un proxy; nella seconda è provata da un gettone firmato ottenuto con un reindirizzamento. </w:t>
      </w:r>
      <w:r>
        <w:rPr>
          <w:b/>
        </w:rPr>
        <w:t>SIPO usa oggi la prima</w:t>
      </w:r>
      <w:r>
        <w:rPr>
          <w:b w:val="0"/>
        </w:rPr>
        <w:t>, e la usa come la specifica la descrive: le intestazioni che legge sono quelle della tabella del capitolo 3.2.</w:t>
      </w:r>
    </w:p>
    <w:p>
      <w:pPr/>
      <w:r>
        <w:rPr>
          <w:b w:val="0"/>
        </w:rPr>
        <w:t xml:space="preserve">Due scostamenti vanno però annotati, perché sono anche due opportunità. Il primo: la specifica prevede che i gruppi dell’utente arrivino in un’intestazione dedicata, e </w:t>
      </w:r>
      <w:r>
        <w:rPr>
          <w:b/>
        </w:rPr>
        <w:t>SIPO non la usa</w:t>
      </w:r>
      <w:r>
        <w:rPr>
          <w:b w:val="0"/>
        </w:rPr>
        <w:t xml:space="preserve"> — i ruoli vengono dalla base dati anagrafica. Il secondo: il tipo di utente arriva in un’intestazione non prevista dalla specifica, una variabile aggiunta dalla politica del proxy.</w:t>
      </w:r>
    </w:p>
    <w:p>
      <w:pPr/>
      <w:r>
        <w:rPr>
          <w:b w:val="0"/>
        </w:rPr>
        <w:t xml:space="preserve">⚠️ Ne discende l’osservazione che riorienta tutto il capitolo: </w:t>
      </w:r>
      <w:r>
        <w:rPr>
          <w:b/>
        </w:rPr>
        <w:t>l’autenticazione è già delegata, l’autorizzazione è già in SIPO</w:t>
      </w:r>
      <w:r>
        <w:rPr>
          <w:b w:val="0"/>
        </w:rPr>
        <w:t>. Passare al gettone firmato cambia il protocollo e il modello di fiducia, non la ripartizione delle responsabilità. Il passo «profili per codice fiscale» del flusso target corrisponde a ciò che oggi fanno il controller di autenticazione e il suo accesso ai dati, con la chiave cambiata.</w:t>
      </w:r>
    </w:p>
    <w:p>
      <w:pPr/>
      <w:r>
        <w:rPr>
          <w:b w:val="0"/>
        </w:rPr>
        <w:t xml:space="preserve">Una conferma collaterale viene dai nuovi front-end. La libreria Angular condivisa [F7] rinvia, in assenza di gettone, a un indirizzo che contiene «loginIAM» [F8]: le applicazioni nuove </w:t>
      </w:r>
      <w:r>
        <w:rPr>
          <w:b/>
        </w:rPr>
        <w:t>puntano già dove SIPO dovrà arrivare</w:t>
      </w:r>
      <w:r>
        <w:rPr>
          <w:b w:val="0"/>
        </w:rPr>
        <w:t>. Il che rende la migrazione anche una convergenza, non solo un adeguamento.</w:t>
      </w:r>
    </w:p>
    <w:p>
      <w:pPr>
        <w:pStyle w:val="Heading2"/>
      </w:pPr>
      <w:r>
        <w:t>Il flusso target</w:t>
      </w:r>
    </w:p>
    <w:p>
      <w:r>
        <w:drawing>
          <wp:inline xmlns:a="http://schemas.openxmlformats.org/drawingml/2006/main" xmlns:pic="http://schemas.openxmlformats.org/drawingml/2006/picture">
            <wp:extent cx="5852160" cy="3823411"/>
            <wp:docPr id="1468249208" name="Picture 1468249208"/>
            <wp:cNvGraphicFramePr>
              <a:graphicFrameLocks noChangeAspect="1"/>
            </wp:cNvGraphicFramePr>
            <a:graphic>
              <a:graphicData uri="http://schemas.openxmlformats.org/drawingml/2006/picture">
                <pic:pic>
                  <pic:nvPicPr>
                    <pic:cNvPr id="0" name="iam_flusso.png"/>
                    <pic:cNvPicPr/>
                  </pic:nvPicPr>
                  <pic:blipFill>
                    <a:blip r:embed="rId20"/>
                    <a:stretch>
                      <a:fillRect/>
                    </a:stretch>
                  </pic:blipFill>
                  <pic:spPr>
                    <a:xfrm>
                      <a:off x="0" y="0"/>
                      <a:ext cx="5852160" cy="3823411"/>
                    </a:xfrm>
                    <a:prstGeom prst="rect"/>
                  </pic:spPr>
                </pic:pic>
              </a:graphicData>
            </a:graphic>
          </wp:inline>
        </w:drawing>
      </w:r>
    </w:p>
    <w:p>
      <w:r>
        <w:rPr>
          <w:i/>
          <w:sz w:val="18"/>
        </w:rPr>
        <w:t>Figura 3 — Il flusso di autenticazione target. In verde ciò che va costruito.</w:t>
      </w:r>
    </w:p>
    <w:p>
      <w:pPr/>
      <w:r>
        <w:rPr>
          <w:b w:val="0"/>
        </w:rPr>
        <w:t xml:space="preserve">Otto passi, dei quali </w:t>
      </w:r>
      <w:r>
        <w:rPr>
          <w:b/>
        </w:rPr>
        <w:t>cinque sono nuovi e tre restano come sono</w:t>
      </w:r>
      <w:r>
        <w:rPr>
          <w:b w:val="0"/>
        </w:rPr>
        <w:t>. Si costruisce il punto di ingresso che genera i parametri di sicurezza e reindirizza; la callback che riceve il codice e ne verifica la corrispondenza; lo scambio fuori banda con la convalida completa del gettone; la lettura dei profili per codice fiscale; la mappatura sui campi dell’oggetto di sessione.</w:t>
      </w:r>
    </w:p>
    <w:p>
      <w:pPr/>
      <w:r>
        <w:rPr>
          <w:b/>
        </w:rPr>
        <w:t>Ciò che non cambia è il contratto verso le applicazioni.</w:t>
      </w:r>
      <w:r>
        <w:rPr>
          <w:b w:val="0"/>
        </w:rPr>
        <w:t xml:space="preserve"> L’oggetto depositato in sessione resta quello di oggi, con gli stessi campi: i trentacinque front-end vanno configurati e ricollaudati, non riscritti. È la ragione per cui questo intervento è proporzionato — e anche il motivo per cui conviene farlo dentro la libreria condivisa e non in ciascuna applicazione.</w:t>
      </w:r>
    </w:p>
    <w:p>
      <w:pPr/>
      <w:r>
        <w:rPr>
          <w:b w:val="0"/>
        </w:rPr>
        <w:t xml:space="preserve">⚠️ Due intestazioni non sono identità e vanno garantite comunque: l’indirizzo di provenienza e il </w:t>
      </w:r>
      <w:r>
        <w:rPr>
          <w:b/>
        </w:rPr>
        <w:t>numero di serie del certificato di postazione</w:t>
      </w:r>
      <w:r>
        <w:rPr>
          <w:b w:val="0"/>
        </w:rPr>
        <w:t>, che alimenta il canale ANPR. Se la pubblicazione cambia e quelle intestazioni spariscono, si perde l’unico legame fra la sessione e la postazione fisica (PI-07).</w:t>
      </w:r>
    </w:p>
    <w:p>
      <w:pPr>
        <w:pStyle w:val="Heading2"/>
      </w:pPr>
      <w:r>
        <w:t>Le decisioni da prendere</w:t>
      </w:r>
    </w:p>
    <w:p>
      <w:pPr/>
      <w:r>
        <w:rPr>
          <w:b w:val="0"/>
        </w:rPr>
        <w:t>Sei decisioni precedono la scrittura di codice. Per ciascuna si riportano le alternative e la raccomandazione di chi scrive, con la ragione: la scelta resta del committente.</w:t>
      </w:r>
    </w:p>
    <w:tbl>
      <w:tblPr>
        <w:tblStyle w:val="TableGrid"/>
        <w:tblW w:type="auto" w:w="0"/>
        <w:tblLook w:firstColumn="1" w:firstRow="1" w:lastColumn="0" w:lastRow="0" w:noHBand="0" w:noVBand="1" w:val="04A0"/>
      </w:tblPr>
      <w:tblGrid>
        <w:gridCol w:w="2340"/>
        <w:gridCol w:w="2340"/>
        <w:gridCol w:w="2340"/>
        <w:gridCol w:w="2340"/>
      </w:tblGrid>
      <w:tr>
        <w:tc>
          <w:tcPr>
            <w:tcW w:type="dxa" w:w="576"/>
          </w:tcPr>
          <w:p>
            <w:r/>
            <w:r>
              <w:rPr>
                <w:b/>
                <w:sz w:val="17"/>
              </w:rPr>
              <w:t>#</w:t>
            </w:r>
          </w:p>
        </w:tc>
        <w:tc>
          <w:tcPr>
            <w:tcW w:type="dxa" w:w="1872"/>
          </w:tcPr>
          <w:p>
            <w:r/>
            <w:r>
              <w:rPr>
                <w:b/>
                <w:sz w:val="17"/>
              </w:rPr>
              <w:t>Decisione</w:t>
            </w:r>
          </w:p>
        </w:tc>
        <w:tc>
          <w:tcPr>
            <w:tcW w:type="dxa" w:w="2592"/>
          </w:tcPr>
          <w:p>
            <w:r/>
            <w:r>
              <w:rPr>
                <w:b/>
                <w:sz w:val="17"/>
              </w:rPr>
              <w:t>Alternative</w:t>
            </w:r>
          </w:p>
        </w:tc>
        <w:tc>
          <w:tcPr>
            <w:tcW w:type="dxa" w:w="4320"/>
          </w:tcPr>
          <w:p>
            <w:r/>
            <w:r>
              <w:rPr>
                <w:b/>
                <w:sz w:val="17"/>
              </w:rPr>
              <w:t>Raccomandazione</w:t>
            </w:r>
          </w:p>
        </w:tc>
      </w:tr>
      <w:tr>
        <w:tc>
          <w:tcPr>
            <w:tcW w:type="dxa" w:w="576"/>
          </w:tcPr>
          <w:p>
            <w:r/>
            <w:r>
              <w:rPr>
                <w:b w:val="0"/>
                <w:sz w:val="17"/>
              </w:rPr>
              <w:t>D1</w:t>
            </w:r>
          </w:p>
        </w:tc>
        <w:tc>
          <w:tcPr>
            <w:tcW w:type="dxa" w:w="1872"/>
          </w:tcPr>
          <w:p>
            <w:r/>
            <w:r>
              <w:rPr>
                <w:b w:val="0"/>
                <w:sz w:val="17"/>
              </w:rPr>
              <w:t>Chi è il componente che dialoga con IAM</w:t>
            </w:r>
          </w:p>
        </w:tc>
        <w:tc>
          <w:tcPr>
            <w:tcW w:type="dxa" w:w="2592"/>
          </w:tcPr>
          <w:p>
            <w:r/>
            <w:r>
              <w:rPr>
                <w:b w:val="0"/>
                <w:sz w:val="17"/>
              </w:rPr>
              <w:t>(A) la libreria di profilazione dentro ciascun front-end · (B) l’Identity Broker del fornitore · (C) un componente di autenticazione centrale di SIPO</w:t>
            </w:r>
          </w:p>
        </w:tc>
        <w:tc>
          <w:tcPr>
            <w:tcW w:type="dxa" w:w="4320"/>
          </w:tcPr>
          <w:p>
            <w:r/>
            <w:r>
              <w:rPr>
                <w:b/>
                <w:sz w:val="17"/>
              </w:rPr>
              <w:t>(A) per la prima fase</w:t>
            </w:r>
            <w:r>
              <w:rPr>
                <w:b w:val="0"/>
                <w:sz w:val="17"/>
              </w:rPr>
              <w:t>, dietro un’interfaccia che renda la scelta reversibile. È la via più breve e non introduce componenti nuovi. ⚠️ (B) va considerata solo se il supporto all’IAM dell’ente è confermato e se il ripiego «claim senza verifica della firma» si può disattivare: altrimenti si introdurrebbe sul percorso critico del login un componente che in caso di errore accetta asserzioni non verificate. (C) resta l’approdo naturale della seconda fase.</w:t>
            </w:r>
          </w:p>
        </w:tc>
      </w:tr>
      <w:tr>
        <w:tc>
          <w:tcPr>
            <w:tcW w:type="dxa" w:w="576"/>
          </w:tcPr>
          <w:p>
            <w:r/>
            <w:r>
              <w:rPr>
                <w:b w:val="0"/>
                <w:sz w:val="17"/>
              </w:rPr>
              <w:t>D2</w:t>
            </w:r>
          </w:p>
        </w:tc>
        <w:tc>
          <w:tcPr>
            <w:tcW w:type="dxa" w:w="1872"/>
          </w:tcPr>
          <w:p>
            <w:r/>
            <w:r>
              <w:rPr>
                <w:b w:val="0"/>
                <w:sz w:val="17"/>
              </w:rPr>
              <w:t>Chi restituisce i profili a partire dal codice fiscale</w:t>
            </w:r>
          </w:p>
        </w:tc>
        <w:tc>
          <w:tcPr>
            <w:tcW w:type="dxa" w:w="2592"/>
          </w:tcPr>
          <w:p>
            <w:r/>
            <w:r>
              <w:rPr>
                <w:b w:val="0"/>
                <w:sz w:val="17"/>
              </w:rPr>
              <w:t>(a) un servizio dell’IAM · (b) un servizio di SIPO che espone ANAG_USR</w:t>
            </w:r>
          </w:p>
        </w:tc>
        <w:tc>
          <w:tcPr>
            <w:tcW w:type="dxa" w:w="4320"/>
          </w:tcPr>
          <w:p>
            <w:r/>
            <w:r>
              <w:rPr>
                <w:b/>
                <w:sz w:val="17"/>
              </w:rPr>
              <w:t>Modello ibrido.</w:t>
            </w:r>
            <w:r>
              <w:rPr>
                <w:b w:val="0"/>
                <w:sz w:val="17"/>
              </w:rPr>
              <w:t xml:space="preserve"> L’IAM decide l’accesso di massima — se la persona è abilitata al back-office o al front-office — e SIPO resta la fonte dei profili di dettaglio, perché ruoli, aree, funzionalità e organizzazione hanno una granularità che un IAM non gestisce. ⚠️ Vale comunque la pena esporli con un servizio dedicato: oggi quelle letture girano dentro ciascuno dei trentacinque front-end con le credenziali di base dati dentro il pacchetto.</w:t>
            </w:r>
          </w:p>
        </w:tc>
      </w:tr>
      <w:tr>
        <w:tc>
          <w:tcPr>
            <w:tcW w:type="dxa" w:w="576"/>
          </w:tcPr>
          <w:p>
            <w:r/>
            <w:r>
              <w:rPr>
                <w:b w:val="0"/>
                <w:sz w:val="17"/>
              </w:rPr>
              <w:t>D3</w:t>
            </w:r>
          </w:p>
        </w:tc>
        <w:tc>
          <w:tcPr>
            <w:tcW w:type="dxa" w:w="1872"/>
          </w:tcPr>
          <w:p>
            <w:r/>
            <w:r>
              <w:rPr>
                <w:b w:val="0"/>
                <w:sz w:val="17"/>
              </w:rPr>
              <w:t>Quale chiave lega l’utente IAM all’utente SIPO</w:t>
            </w:r>
          </w:p>
        </w:tc>
        <w:tc>
          <w:tcPr>
            <w:tcW w:type="dxa" w:w="2592"/>
          </w:tcPr>
          <w:p>
            <w:r/>
            <w:r>
              <w:rPr>
                <w:b w:val="0"/>
                <w:sz w:val="17"/>
              </w:rPr>
              <w:t>codice fiscale · nome utente</w:t>
            </w:r>
          </w:p>
        </w:tc>
        <w:tc>
          <w:tcPr>
            <w:tcW w:type="dxa" w:w="4320"/>
          </w:tcPr>
          <w:p>
            <w:r/>
            <w:r>
              <w:rPr>
                <w:b/>
                <w:sz w:val="17"/>
              </w:rPr>
              <w:t>Codice fiscale</w:t>
            </w:r>
            <w:r>
              <w:rPr>
                <w:b w:val="0"/>
                <w:sz w:val="17"/>
              </w:rPr>
              <w:t>, con ripiego transitorio sul nome utente, registrato e segnalato, finché la bonifica non è completa. Il codice fiscale è stabile e comune a tutti i canali. ⚠️ Oggi la colonna è facoltativa, non univoca e non indicizzata: la bonifica è un prerequisito, non un’attività parallela.</w:t>
            </w:r>
          </w:p>
        </w:tc>
      </w:tr>
      <w:tr>
        <w:tc>
          <w:tcPr>
            <w:tcW w:type="dxa" w:w="576"/>
          </w:tcPr>
          <w:p>
            <w:r/>
            <w:r>
              <w:rPr>
                <w:b w:val="0"/>
                <w:sz w:val="17"/>
              </w:rPr>
              <w:t>D4</w:t>
            </w:r>
          </w:p>
        </w:tc>
        <w:tc>
          <w:tcPr>
            <w:tcW w:type="dxa" w:w="1872"/>
          </w:tcPr>
          <w:p>
            <w:r/>
            <w:r>
              <w:rPr>
                <w:b w:val="0"/>
                <w:sz w:val="17"/>
              </w:rPr>
              <w:t>Come l’identità dell’operatore raggiunge i back-end</w:t>
            </w:r>
          </w:p>
        </w:tc>
        <w:tc>
          <w:tcPr>
            <w:tcW w:type="dxa" w:w="2592"/>
          </w:tcPr>
          <w:p>
            <w:r/>
            <w:r>
              <w:rPr>
                <w:b w:val="0"/>
                <w:sz w:val="17"/>
              </w:rPr>
              <w:t>nessun cambiamento · un gettone SIPO per l’utente · inoltrare il gettone IAM</w:t>
            </w:r>
          </w:p>
        </w:tc>
        <w:tc>
          <w:tcPr>
            <w:tcW w:type="dxa" w:w="4320"/>
          </w:tcPr>
          <w:p>
            <w:r/>
            <w:r>
              <w:rPr>
                <w:b/>
                <w:sz w:val="17"/>
              </w:rPr>
              <w:t>Nessun cambiamento nella prima fase, gettone SIPO per l’utente nella seconda.</w:t>
            </w:r>
            <w:r>
              <w:rPr>
                <w:b w:val="0"/>
                <w:sz w:val="17"/>
              </w:rPr>
              <w:t xml:space="preserve"> Inoltrare il gettone dell’IAM è sconsigliato: il destinatario dichiarato è il client IAM e i back-end di SIPO non lo sono. ⚠️ È la seconda fase, non la prima, a chiudere RI-02 e a dare ad ANPR un operatore reale.</w:t>
            </w:r>
          </w:p>
        </w:tc>
      </w:tr>
      <w:tr>
        <w:tc>
          <w:tcPr>
            <w:tcW w:type="dxa" w:w="576"/>
          </w:tcPr>
          <w:p>
            <w:r/>
            <w:r>
              <w:rPr>
                <w:b w:val="0"/>
                <w:sz w:val="17"/>
              </w:rPr>
              <w:t>D5</w:t>
            </w:r>
          </w:p>
        </w:tc>
        <w:tc>
          <w:tcPr>
            <w:tcW w:type="dxa" w:w="1872"/>
          </w:tcPr>
          <w:p>
            <w:r/>
            <w:r>
              <w:rPr>
                <w:b w:val="0"/>
                <w:sz w:val="17"/>
              </w:rPr>
              <w:t>Come si realizza la parte OIDC sulla pila attuale</w:t>
            </w:r>
          </w:p>
        </w:tc>
        <w:tc>
          <w:tcPr>
            <w:tcW w:type="dxa" w:w="2592"/>
          </w:tcPr>
          <w:p>
            <w:r/>
            <w:r>
              <w:rPr>
                <w:b w:val="0"/>
                <w:sz w:val="17"/>
              </w:rPr>
              <w:t>callback esplicita con le librerie già presenti · aggiornare prima la piattaforma</w:t>
            </w:r>
          </w:p>
        </w:tc>
        <w:tc>
          <w:tcPr>
            <w:tcW w:type="dxa" w:w="4320"/>
          </w:tcPr>
          <w:p>
            <w:r/>
            <w:r>
              <w:rPr>
                <w:b/>
                <w:sz w:val="17"/>
              </w:rPr>
              <w:t>Callback esplicita.</w:t>
            </w:r>
            <w:r>
              <w:rPr>
                <w:b w:val="0"/>
                <w:sz w:val="17"/>
              </w:rPr>
              <w:t xml:space="preserve"> Legare l’integrazione all’aggiornamento della piattaforma significherebbe subordinarla a un intervento che tocca trentacinque front-end e quarantaquattro back-end. ⚠️ L’aggiornamento resta necessario (RI-29), ma per altre ragioni e con altri tempi.</w:t>
            </w:r>
          </w:p>
        </w:tc>
      </w:tr>
      <w:tr>
        <w:tc>
          <w:tcPr>
            <w:tcW w:type="dxa" w:w="576"/>
          </w:tcPr>
          <w:p>
            <w:r/>
            <w:r>
              <w:rPr>
                <w:b w:val="0"/>
                <w:sz w:val="17"/>
              </w:rPr>
              <w:t>D6</w:t>
            </w:r>
          </w:p>
        </w:tc>
        <w:tc>
          <w:tcPr>
            <w:tcW w:type="dxa" w:w="1872"/>
          </w:tcPr>
          <w:p>
            <w:r/>
            <w:r>
              <w:rPr>
                <w:b w:val="0"/>
                <w:sz w:val="17"/>
              </w:rPr>
              <w:t>Come convivono le due modalità durante la migrazione</w:t>
            </w:r>
          </w:p>
        </w:tc>
        <w:tc>
          <w:tcPr>
            <w:tcW w:type="dxa" w:w="2592"/>
          </w:tcPr>
          <w:p>
            <w:r/>
            <w:r>
              <w:rPr>
                <w:b w:val="0"/>
                <w:sz w:val="17"/>
              </w:rPr>
              <w:t>passaggio secco · proprietà per ambiente</w:t>
            </w:r>
          </w:p>
        </w:tc>
        <w:tc>
          <w:tcPr>
            <w:tcW w:type="dxa" w:w="4320"/>
          </w:tcPr>
          <w:p>
            <w:r/>
            <w:r>
              <w:rPr>
                <w:b/>
                <w:sz w:val="17"/>
              </w:rPr>
              <w:t>Proprietà per ambiente</w:t>
            </w:r>
            <w:r>
              <w:rPr>
                <w:b w:val="0"/>
                <w:sz w:val="17"/>
              </w:rPr>
              <w:t xml:space="preserve">, per poter tornare indietro senza un rilascio. ⚠️ In modalità OIDC gli header in ingresso vanno ignorati </w:t>
            </w:r>
            <w:r>
              <w:rPr>
                <w:b/>
                <w:sz w:val="17"/>
              </w:rPr>
              <w:t>e rimossi dalla richiesta</w:t>
            </w:r>
            <w:r>
              <w:rPr>
                <w:b w:val="0"/>
                <w:sz w:val="17"/>
              </w:rPr>
              <w:t>: lasciarli leggibili riaprirebbe il vettore che l’integrazione serve a chiudere (RI-04).</w:t>
            </w:r>
          </w:p>
        </w:tc>
      </w:tr>
    </w:tbl>
    <w:p>
      <w:pPr/>
      <w:r>
        <w:rPr>
          <w:b w:val="0"/>
        </w:rPr>
        <w:t xml:space="preserve">⚠️ Una raccomandazione trasversale, che vale qualunque sia l’esito di D1: </w:t>
      </w:r>
      <w:r>
        <w:rPr>
          <w:b/>
        </w:rPr>
        <w:t>il codice vada scritto dietro un’interfaccia</w:t>
      </w:r>
      <w:r>
        <w:rPr>
          <w:b w:val="0"/>
        </w:rPr>
        <w:t xml:space="preserve"> che separi «costruisci il reindirizzamento» e «gestisci il ritorno» dal resto. Così la scelta fra le tre alternative non costringe a riscrivere la libreria, e un eventuale cambio di fornitore non è un rifacimento.</w:t>
      </w:r>
    </w:p>
    <w:p>
      <w:pPr>
        <w:pStyle w:val="Heading2"/>
      </w:pPr>
      <w:r>
        <w:t>Che cosa l’integrazione chiude, e che cosa no</w:t>
      </w:r>
    </w:p>
    <w:p>
      <w:pPr/>
      <w:r>
        <w:rPr>
          <w:b w:val="0"/>
        </w:rPr>
        <w:t>È la tabella che risponde alla domanda più utile: che cosa si compra con questo intervento.</w:t>
      </w:r>
    </w:p>
    <w:p>
      <w:r>
        <w:drawing>
          <wp:inline xmlns:a="http://schemas.openxmlformats.org/drawingml/2006/main" xmlns:pic="http://schemas.openxmlformats.org/drawingml/2006/picture">
            <wp:extent cx="5852160" cy="2731008"/>
            <wp:docPr id="1468249209" name="Picture 1468249209"/>
            <wp:cNvGraphicFramePr>
              <a:graphicFrameLocks noChangeAspect="1"/>
            </wp:cNvGraphicFramePr>
            <a:graphic>
              <a:graphicData uri="http://schemas.openxmlformats.org/drawingml/2006/picture">
                <pic:pic>
                  <pic:nvPicPr>
                    <pic:cNvPr id="0" name="iam_raccordo.png"/>
                    <pic:cNvPicPr/>
                  </pic:nvPicPr>
                  <pic:blipFill>
                    <a:blip r:embed="rId21"/>
                    <a:stretch>
                      <a:fillRect/>
                    </a:stretch>
                  </pic:blipFill>
                  <pic:spPr>
                    <a:xfrm>
                      <a:off x="0" y="0"/>
                      <a:ext cx="5852160" cy="2731008"/>
                    </a:xfrm>
                    <a:prstGeom prst="rect"/>
                  </pic:spPr>
                </pic:pic>
              </a:graphicData>
            </a:graphic>
          </wp:inline>
        </w:drawing>
      </w:r>
    </w:p>
    <w:p>
      <w:r>
        <w:rPr>
          <w:i/>
          <w:sz w:val="18"/>
        </w:rPr>
        <w:t>Figura 4 — Il raccordo fra i rilievi dello stato di fatto e ciò che l’integrazione risolve.</w:t>
      </w:r>
    </w:p>
    <w:tbl>
      <w:tblPr>
        <w:tblStyle w:val="TableGrid"/>
        <w:tblW w:type="auto" w:w="0"/>
        <w:tblLook w:firstColumn="1" w:firstRow="1" w:lastColumn="0" w:lastRow="0" w:noHBand="0" w:noVBand="1" w:val="04A0"/>
      </w:tblPr>
      <w:tblGrid>
        <w:gridCol w:w="3120"/>
        <w:gridCol w:w="3120"/>
        <w:gridCol w:w="3120"/>
      </w:tblGrid>
      <w:tr>
        <w:tc>
          <w:tcPr>
            <w:tcW w:type="dxa" w:w="2304"/>
          </w:tcPr>
          <w:p>
            <w:r/>
            <w:r>
              <w:rPr>
                <w:b/>
                <w:sz w:val="17"/>
              </w:rPr>
              <w:t>Rilievo</w:t>
            </w:r>
          </w:p>
        </w:tc>
        <w:tc>
          <w:tcPr>
            <w:tcW w:type="dxa" w:w="1872"/>
          </w:tcPr>
          <w:p>
            <w:r/>
            <w:r>
              <w:rPr>
                <w:b/>
                <w:sz w:val="17"/>
              </w:rPr>
              <w:t>L’integrazione lo chiude?</w:t>
            </w:r>
          </w:p>
        </w:tc>
        <w:tc>
          <w:tcPr>
            <w:tcW w:type="dxa" w:w="5184"/>
          </w:tcPr>
          <w:p>
            <w:r/>
            <w:r>
              <w:rPr>
                <w:b/>
                <w:sz w:val="17"/>
              </w:rPr>
              <w:t>Perché</w:t>
            </w:r>
          </w:p>
        </w:tc>
      </w:tr>
      <w:tr>
        <w:tc>
          <w:tcPr>
            <w:tcW w:type="dxa" w:w="2304"/>
          </w:tcPr>
          <w:p>
            <w:r/>
            <w:r>
              <w:rPr>
                <w:b w:val="0"/>
                <w:sz w:val="17"/>
              </w:rPr>
              <w:t>RI-04 Fiducia negli header</w:t>
            </w:r>
          </w:p>
        </w:tc>
        <w:tc>
          <w:tcPr>
            <w:tcW w:type="dxa" w:w="1872"/>
          </w:tcPr>
          <w:p>
            <w:r/>
            <w:r>
              <w:rPr>
                <w:b/>
                <w:sz w:val="17"/>
              </w:rPr>
              <w:t>Sì, prima fase</w:t>
            </w:r>
          </w:p>
        </w:tc>
        <w:tc>
          <w:tcPr>
            <w:tcW w:type="dxa" w:w="5184"/>
          </w:tcPr>
          <w:p>
            <w:r/>
            <w:r>
              <w:rPr>
                <w:b w:val="0"/>
                <w:sz w:val="17"/>
              </w:rPr>
              <w:t>L’identità diventa un gettone firmato che si verifica, non un header che si accoglie.</w:t>
            </w:r>
          </w:p>
        </w:tc>
      </w:tr>
      <w:tr>
        <w:tc>
          <w:tcPr>
            <w:tcW w:type="dxa" w:w="2304"/>
          </w:tcPr>
          <w:p>
            <w:r/>
            <w:r>
              <w:rPr>
                <w:b w:val="0"/>
                <w:sz w:val="17"/>
              </w:rPr>
              <w:t>RI-06 Percorso mode=local</w:t>
            </w:r>
          </w:p>
        </w:tc>
        <w:tc>
          <w:tcPr>
            <w:tcW w:type="dxa" w:w="1872"/>
          </w:tcPr>
          <w:p>
            <w:r/>
            <w:r>
              <w:rPr>
                <w:b/>
                <w:sz w:val="17"/>
              </w:rPr>
              <w:t>Sì, prima fase</w:t>
            </w:r>
          </w:p>
        </w:tc>
        <w:tc>
          <w:tcPr>
            <w:tcW w:type="dxa" w:w="5184"/>
          </w:tcPr>
          <w:p>
            <w:r/>
            <w:r>
              <w:rPr>
                <w:b w:val="0"/>
                <w:sz w:val="17"/>
              </w:rPr>
              <w:t>Il parametro sparisce con la dismissione della modalità header.</w:t>
            </w:r>
          </w:p>
        </w:tc>
      </w:tr>
      <w:tr>
        <w:tc>
          <w:tcPr>
            <w:tcW w:type="dxa" w:w="2304"/>
          </w:tcPr>
          <w:p>
            <w:r/>
            <w:r>
              <w:rPr>
                <w:b w:val="0"/>
                <w:sz w:val="17"/>
              </w:rPr>
              <w:t>RI-19 Sessione non governata</w:t>
            </w:r>
          </w:p>
        </w:tc>
        <w:tc>
          <w:tcPr>
            <w:tcW w:type="dxa" w:w="1872"/>
          </w:tcPr>
          <w:p>
            <w:r/>
            <w:r>
              <w:rPr>
                <w:b/>
                <w:sz w:val="17"/>
              </w:rPr>
              <w:t>Sì, prima fase</w:t>
            </w:r>
          </w:p>
        </w:tc>
        <w:tc>
          <w:tcPr>
            <w:tcW w:type="dxa" w:w="5184"/>
          </w:tcPr>
          <w:p>
            <w:r/>
            <w:r>
              <w:rPr>
                <w:b w:val="0"/>
                <w:sz w:val="17"/>
              </w:rPr>
              <w:t>Rigenerazione dell’identificativo dopo il login, attributi del cookie e durata esplicita sono requisiti dell’integrazione.</w:t>
            </w:r>
          </w:p>
        </w:tc>
      </w:tr>
      <w:tr>
        <w:tc>
          <w:tcPr>
            <w:tcW w:type="dxa" w:w="2304"/>
          </w:tcPr>
          <w:p>
            <w:r/>
            <w:r>
              <w:rPr>
                <w:b w:val="0"/>
                <w:sz w:val="17"/>
              </w:rPr>
              <w:t>RI-17 Convalida della destinazione</w:t>
            </w:r>
          </w:p>
        </w:tc>
        <w:tc>
          <w:tcPr>
            <w:tcW w:type="dxa" w:w="1872"/>
          </w:tcPr>
          <w:p>
            <w:r/>
            <w:r>
              <w:rPr>
                <w:b/>
                <w:sz w:val="17"/>
              </w:rPr>
              <w:t>Sì, prima fase</w:t>
            </w:r>
          </w:p>
        </w:tc>
        <w:tc>
          <w:tcPr>
            <w:tcW w:type="dxa" w:w="5184"/>
          </w:tcPr>
          <w:p>
            <w:r/>
            <w:r>
              <w:rPr>
                <w:b w:val="0"/>
                <w:sz w:val="17"/>
              </w:rPr>
              <w:t>La destinazione si conserva lato server e si convalida per corrispondenza esatta.</w:t>
            </w:r>
          </w:p>
        </w:tc>
      </w:tr>
      <w:tr>
        <w:tc>
          <w:tcPr>
            <w:tcW w:type="dxa" w:w="2304"/>
          </w:tcPr>
          <w:p>
            <w:r/>
            <w:r>
              <w:rPr>
                <w:b w:val="0"/>
                <w:sz w:val="17"/>
              </w:rPr>
              <w:t>RI-02 Identità non propagata</w:t>
            </w:r>
          </w:p>
        </w:tc>
        <w:tc>
          <w:tcPr>
            <w:tcW w:type="dxa" w:w="1872"/>
          </w:tcPr>
          <w:p>
            <w:r/>
            <w:r>
              <w:rPr>
                <w:b w:val="0"/>
                <w:sz w:val="17"/>
              </w:rPr>
              <w:t>Solo seconda fase</w:t>
            </w:r>
          </w:p>
        </w:tc>
        <w:tc>
          <w:tcPr>
            <w:tcW w:type="dxa" w:w="5184"/>
          </w:tcPr>
          <w:p>
            <w:r/>
            <w:r>
              <w:rPr>
                <w:b w:val="0"/>
                <w:sz w:val="17"/>
              </w:rPr>
              <w:t>Richiede un gettone che rappresenti la persona e non l’utenza tecnica.</w:t>
            </w:r>
          </w:p>
        </w:tc>
      </w:tr>
      <w:tr>
        <w:tc>
          <w:tcPr>
            <w:tcW w:type="dxa" w:w="2304"/>
          </w:tcPr>
          <w:p>
            <w:r/>
            <w:r>
              <w:rPr>
                <w:b w:val="0"/>
                <w:sz w:val="17"/>
              </w:rPr>
              <w:t>RI-16 Solo il primo ruolo</w:t>
            </w:r>
          </w:p>
        </w:tc>
        <w:tc>
          <w:tcPr>
            <w:tcW w:type="dxa" w:w="1872"/>
          </w:tcPr>
          <w:p>
            <w:r/>
            <w:r>
              <w:rPr>
                <w:b w:val="0"/>
                <w:sz w:val="17"/>
              </w:rPr>
              <w:t>Solo seconda fase</w:t>
            </w:r>
          </w:p>
        </w:tc>
        <w:tc>
          <w:tcPr>
            <w:tcW w:type="dxa" w:w="5184"/>
          </w:tcPr>
          <w:p>
            <w:r/>
            <w:r>
              <w:rPr>
                <w:b w:val="0"/>
                <w:sz w:val="17"/>
              </w:rPr>
              <w:t>Il gettone può portare tutti i ruoli; oggi la scelta è forzata dal meccanismo.</w:t>
            </w:r>
          </w:p>
        </w:tc>
      </w:tr>
      <w:tr>
        <w:tc>
          <w:tcPr>
            <w:tcW w:type="dxa" w:w="2304"/>
          </w:tcPr>
          <w:p>
            <w:r/>
            <w:r>
              <w:rPr>
                <w:b w:val="0"/>
                <w:sz w:val="17"/>
              </w:rPr>
              <w:t>RI-18 Quarantaquattro emittenti</w:t>
            </w:r>
          </w:p>
        </w:tc>
        <w:tc>
          <w:tcPr>
            <w:tcW w:type="dxa" w:w="1872"/>
          </w:tcPr>
          <w:p>
            <w:r/>
            <w:r>
              <w:rPr>
                <w:b w:val="0"/>
                <w:sz w:val="17"/>
              </w:rPr>
              <w:t>Solo seconda fase</w:t>
            </w:r>
          </w:p>
        </w:tc>
        <w:tc>
          <w:tcPr>
            <w:tcW w:type="dxa" w:w="5184"/>
          </w:tcPr>
          <w:p>
            <w:r/>
            <w:r>
              <w:rPr>
                <w:b w:val="0"/>
                <w:sz w:val="17"/>
              </w:rPr>
              <w:t>Un emittente unico rende possibili la revoca e una gestione centrale.</w:t>
            </w:r>
          </w:p>
        </w:tc>
      </w:tr>
      <w:tr>
        <w:tc>
          <w:tcPr>
            <w:tcW w:type="dxa" w:w="2304"/>
          </w:tcPr>
          <w:p>
            <w:r/>
            <w:r>
              <w:rPr>
                <w:b w:val="0"/>
                <w:sz w:val="17"/>
              </w:rPr>
              <w:t>RI-09 Tracciabilità verso ANPR</w:t>
            </w:r>
          </w:p>
        </w:tc>
        <w:tc>
          <w:tcPr>
            <w:tcW w:type="dxa" w:w="1872"/>
          </w:tcPr>
          <w:p>
            <w:r/>
            <w:r>
              <w:rPr>
                <w:b w:val="0"/>
                <w:sz w:val="17"/>
              </w:rPr>
              <w:t>Solo seconda fase</w:t>
            </w:r>
          </w:p>
        </w:tc>
        <w:tc>
          <w:tcPr>
            <w:tcW w:type="dxa" w:w="5184"/>
          </w:tcPr>
          <w:p>
            <w:r/>
            <w:r>
              <w:rPr>
                <w:b w:val="0"/>
                <w:sz w:val="17"/>
              </w:rPr>
              <w:t>Operatore e postazione reali arrivano solo se l’identità arriva.</w:t>
            </w:r>
          </w:p>
        </w:tc>
      </w:tr>
      <w:tr>
        <w:tc>
          <w:tcPr>
            <w:tcW w:type="dxa" w:w="2304"/>
          </w:tcPr>
          <w:p>
            <w:r/>
            <w:r>
              <w:rPr>
                <w:b w:val="0"/>
                <w:sz w:val="17"/>
              </w:rPr>
              <w:t>RI-13 Impostazioni permissive</w:t>
            </w:r>
          </w:p>
        </w:tc>
        <w:tc>
          <w:tcPr>
            <w:tcW w:type="dxa" w:w="1872"/>
          </w:tcPr>
          <w:p>
            <w:r/>
            <w:r>
              <w:rPr>
                <w:b w:val="0"/>
                <w:sz w:val="17"/>
              </w:rPr>
              <w:t>Solo seconda fase</w:t>
            </w:r>
          </w:p>
        </w:tc>
        <w:tc>
          <w:tcPr>
            <w:tcW w:type="dxa" w:w="5184"/>
          </w:tcPr>
          <w:p>
            <w:r/>
            <w:r>
              <w:rPr>
                <w:b w:val="0"/>
                <w:sz w:val="17"/>
              </w:rPr>
              <w:t>Le utenze tecniche condivise si dismettono quando non servono più.</w:t>
            </w:r>
          </w:p>
        </w:tc>
      </w:tr>
      <w:tr>
        <w:tc>
          <w:tcPr>
            <w:tcW w:type="dxa" w:w="2304"/>
          </w:tcPr>
          <w:p>
            <w:r/>
            <w:r>
              <w:rPr>
                <w:b w:val="0"/>
                <w:sz w:val="17"/>
              </w:rPr>
              <w:t>RI-01 Servizi senza gettone</w:t>
            </w:r>
          </w:p>
        </w:tc>
        <w:tc>
          <w:tcPr>
            <w:tcW w:type="dxa" w:w="1872"/>
          </w:tcPr>
          <w:p>
            <w:r/>
            <w:r>
              <w:rPr>
                <w:b/>
                <w:sz w:val="17"/>
              </w:rPr>
              <w:t>No</w:t>
            </w:r>
          </w:p>
        </w:tc>
        <w:tc>
          <w:tcPr>
            <w:tcW w:type="dxa" w:w="5184"/>
          </w:tcPr>
          <w:p>
            <w:r/>
            <w:r>
              <w:rPr>
                <w:b w:val="0"/>
                <w:sz w:val="17"/>
              </w:rPr>
              <w:t>⚠️ Non dipende dall’autenticazione. È una clausola di chiusura nella configurazione: intervento piccolo, indipendente, da anticipare.</w:t>
            </w:r>
          </w:p>
        </w:tc>
      </w:tr>
      <w:tr>
        <w:tc>
          <w:tcPr>
            <w:tcW w:type="dxa" w:w="2304"/>
          </w:tcPr>
          <w:p>
            <w:r/>
            <w:r>
              <w:rPr>
                <w:b w:val="0"/>
                <w:sz w:val="17"/>
              </w:rPr>
              <w:t>RI-03 Segreti in chiaro</w:t>
            </w:r>
          </w:p>
        </w:tc>
        <w:tc>
          <w:tcPr>
            <w:tcW w:type="dxa" w:w="1872"/>
          </w:tcPr>
          <w:p>
            <w:r/>
            <w:r>
              <w:rPr>
                <w:b/>
                <w:sz w:val="17"/>
              </w:rPr>
              <w:t>No</w:t>
            </w:r>
          </w:p>
        </w:tc>
        <w:tc>
          <w:tcPr>
            <w:tcW w:type="dxa" w:w="5184"/>
          </w:tcPr>
          <w:p>
            <w:r/>
            <w:r>
              <w:rPr>
                <w:b w:val="0"/>
                <w:sz w:val="17"/>
              </w:rPr>
              <w:t>La chiave di firma unica sparisce con la seconda fase; tutto il resto no.</w:t>
            </w:r>
          </w:p>
        </w:tc>
      </w:tr>
      <w:tr>
        <w:tc>
          <w:tcPr>
            <w:tcW w:type="dxa" w:w="2304"/>
          </w:tcPr>
          <w:p>
            <w:r/>
            <w:r>
              <w:rPr>
                <w:b w:val="0"/>
                <w:sz w:val="17"/>
              </w:rPr>
              <w:t>RI-05 Vista scelta dal client</w:t>
            </w:r>
          </w:p>
        </w:tc>
        <w:tc>
          <w:tcPr>
            <w:tcW w:type="dxa" w:w="1872"/>
          </w:tcPr>
          <w:p>
            <w:r/>
            <w:r>
              <w:rPr>
                <w:b/>
                <w:sz w:val="17"/>
              </w:rPr>
              <w:t>No</w:t>
            </w:r>
          </w:p>
        </w:tc>
        <w:tc>
          <w:tcPr>
            <w:tcW w:type="dxa" w:w="5184"/>
          </w:tcPr>
          <w:p>
            <w:r/>
            <w:r>
              <w:rPr>
                <w:b w:val="0"/>
                <w:sz w:val="17"/>
              </w:rPr>
              <w:t>È un difetto applicativo, non di accesso.</w:t>
            </w:r>
          </w:p>
        </w:tc>
      </w:tr>
      <w:tr>
        <w:tc>
          <w:tcPr>
            <w:tcW w:type="dxa" w:w="2304"/>
          </w:tcPr>
          <w:p>
            <w:r/>
            <w:r>
              <w:rPr>
                <w:b w:val="0"/>
                <w:sz w:val="17"/>
              </w:rPr>
              <w:t>RI-14 Trasporto non cifrato</w:t>
            </w:r>
          </w:p>
        </w:tc>
        <w:tc>
          <w:tcPr>
            <w:tcW w:type="dxa" w:w="1872"/>
          </w:tcPr>
          <w:p>
            <w:r/>
            <w:r>
              <w:rPr>
                <w:b/>
                <w:sz w:val="17"/>
              </w:rPr>
              <w:t>No</w:t>
            </w:r>
          </w:p>
        </w:tc>
        <w:tc>
          <w:tcPr>
            <w:tcW w:type="dxa" w:w="5184"/>
          </w:tcPr>
          <w:p>
            <w:r/>
            <w:r>
              <w:rPr>
                <w:b w:val="0"/>
                <w:sz w:val="17"/>
              </w:rPr>
              <w:t>È una scelta di pubblicazione dei servizi.</w:t>
            </w:r>
          </w:p>
        </w:tc>
      </w:tr>
      <w:tr>
        <w:tc>
          <w:tcPr>
            <w:tcW w:type="dxa" w:w="2304"/>
          </w:tcPr>
          <w:p>
            <w:r/>
            <w:r>
              <w:rPr>
                <w:b w:val="0"/>
                <w:sz w:val="17"/>
              </w:rPr>
              <w:t>RI-07 Autorizzazione per funzione</w:t>
            </w:r>
          </w:p>
        </w:tc>
        <w:tc>
          <w:tcPr>
            <w:tcW w:type="dxa" w:w="1872"/>
          </w:tcPr>
          <w:p>
            <w:r/>
            <w:r>
              <w:rPr>
                <w:b/>
                <w:sz w:val="17"/>
              </w:rPr>
              <w:t>No</w:t>
            </w:r>
          </w:p>
        </w:tc>
        <w:tc>
          <w:tcPr>
            <w:tcW w:type="dxa" w:w="5184"/>
          </w:tcPr>
          <w:p>
            <w:r/>
            <w:r>
              <w:rPr>
                <w:b w:val="0"/>
                <w:sz w:val="17"/>
              </w:rPr>
              <w:t>L’integrazione porta l’identità, non il modello dei permessi.</w:t>
            </w:r>
          </w:p>
        </w:tc>
      </w:tr>
      <w:tr>
        <w:tc>
          <w:tcPr>
            <w:tcW w:type="dxa" w:w="2304"/>
          </w:tcPr>
          <w:p>
            <w:r/>
            <w:r>
              <w:rPr>
                <w:b w:val="0"/>
                <w:sz w:val="17"/>
              </w:rPr>
              <w:t>RI-12 Dati personali versionati</w:t>
            </w:r>
          </w:p>
        </w:tc>
        <w:tc>
          <w:tcPr>
            <w:tcW w:type="dxa" w:w="1872"/>
          </w:tcPr>
          <w:p>
            <w:r/>
            <w:r>
              <w:rPr>
                <w:b/>
                <w:sz w:val="17"/>
              </w:rPr>
              <w:t>No</w:t>
            </w:r>
          </w:p>
        </w:tc>
        <w:tc>
          <w:tcPr>
            <w:tcW w:type="dxa" w:w="5184"/>
          </w:tcPr>
          <w:p>
            <w:r/>
            <w:r>
              <w:rPr>
                <w:b w:val="0"/>
                <w:sz w:val="17"/>
              </w:rPr>
              <w:t>È igiene del repository.</w:t>
            </w:r>
          </w:p>
        </w:tc>
      </w:tr>
    </w:tbl>
    <w:p>
      <w:pPr/>
      <w:r>
        <w:rPr>
          <w:b w:val="0"/>
        </w:rPr>
        <w:t xml:space="preserve">⚠️ </w:t>
      </w:r>
      <w:r>
        <w:rPr>
          <w:b/>
        </w:rPr>
        <w:t>La colonna dei «no» non si risolve da sé e non va rinviata.</w:t>
      </w:r>
      <w:r>
        <w:rPr>
          <w:b w:val="0"/>
        </w:rPr>
        <w:t xml:space="preserve"> Il caso più netto è RI-01: i servizi che rispondono senza gettone. Correggerlo è un intervento piccolo — una clausola di chiusura nella configurazione di sicurezza — indipendente dall’integrazione e realizzabile subito. Finché resta aperto, un accesso robusto davanti a servizi aperti non migliora la sicurezza complessiva: la sposta soltanto di un passo.</w:t>
      </w:r>
    </w:p>
    <w:p>
      <w:pPr>
        <w:pStyle w:val="Heading2"/>
      </w:pPr>
      <w:r>
        <w:t>Gli interventi per componente</w:t>
      </w:r>
    </w:p>
    <w:tbl>
      <w:tblPr>
        <w:tblStyle w:val="TableGrid"/>
        <w:tblW w:type="auto" w:w="0"/>
        <w:tblLook w:firstColumn="1" w:firstRow="1" w:lastColumn="0" w:lastRow="0" w:noHBand="0" w:noVBand="1" w:val="04A0"/>
      </w:tblPr>
      <w:tblGrid>
        <w:gridCol w:w="3120"/>
        <w:gridCol w:w="3120"/>
        <w:gridCol w:w="3120"/>
      </w:tblGrid>
      <w:tr>
        <w:tc>
          <w:tcPr>
            <w:tcW w:type="dxa" w:w="2016"/>
          </w:tcPr>
          <w:p>
            <w:r/>
            <w:r>
              <w:rPr>
                <w:b/>
                <w:sz w:val="17"/>
              </w:rPr>
              <w:t>Componente</w:t>
            </w:r>
          </w:p>
        </w:tc>
        <w:tc>
          <w:tcPr>
            <w:tcW w:type="dxa" w:w="3312"/>
          </w:tcPr>
          <w:p>
            <w:r/>
            <w:r>
              <w:rPr>
                <w:b/>
                <w:sz w:val="17"/>
              </w:rPr>
              <w:t>Intervento</w:t>
            </w:r>
          </w:p>
        </w:tc>
        <w:tc>
          <w:tcPr>
            <w:tcW w:type="dxa" w:w="4032"/>
          </w:tcPr>
          <w:p>
            <w:r/>
            <w:r>
              <w:rPr>
                <w:b/>
                <w:sz w:val="17"/>
              </w:rPr>
              <w:t>Note</w:t>
            </w:r>
          </w:p>
        </w:tc>
      </w:tr>
      <w:tr>
        <w:tc>
          <w:tcPr>
            <w:tcW w:type="dxa" w:w="2016"/>
          </w:tcPr>
          <w:p>
            <w:r/>
            <w:r>
              <w:rPr>
                <w:b w:val="0"/>
                <w:sz w:val="17"/>
              </w:rPr>
              <w:t>Libreria di profilazione</w:t>
            </w:r>
          </w:p>
        </w:tc>
        <w:tc>
          <w:tcPr>
            <w:tcW w:type="dxa" w:w="3312"/>
          </w:tcPr>
          <w:p>
            <w:r/>
            <w:r>
              <w:rPr>
                <w:b w:val="0"/>
                <w:sz w:val="17"/>
              </w:rPr>
              <w:t>Punto di ingresso, callback, convalida del gettone, mappatura dei claim, proprietà per la coesistenza, logout, governo della sessione, clausola di chiusura</w:t>
            </w:r>
          </w:p>
        </w:tc>
        <w:tc>
          <w:tcPr>
            <w:tcW w:type="dxa" w:w="4032"/>
          </w:tcPr>
          <w:p>
            <w:r/>
            <w:r>
              <w:rPr>
                <w:b/>
                <w:sz w:val="17"/>
              </w:rPr>
              <w:t>È il punto di integrazione principale.</w:t>
            </w:r>
            <w:r>
              <w:rPr>
                <w:b w:val="0"/>
                <w:sz w:val="17"/>
              </w:rPr>
              <w:t xml:space="preserve"> Il contratto verso le applicazioni resta invariato.</w:t>
            </w:r>
          </w:p>
        </w:tc>
      </w:tr>
      <w:tr>
        <w:tc>
          <w:tcPr>
            <w:tcW w:type="dxa" w:w="2016"/>
          </w:tcPr>
          <w:p>
            <w:r/>
            <w:r>
              <w:rPr>
                <w:b w:val="0"/>
                <w:sz w:val="17"/>
              </w:rPr>
              <w:t>Servizio dei profili (nuovo)</w:t>
            </w:r>
          </w:p>
        </w:tc>
        <w:tc>
          <w:tcPr>
            <w:tcW w:type="dxa" w:w="3312"/>
          </w:tcPr>
          <w:p>
            <w:r/>
            <w:r>
              <w:rPr>
                <w:b w:val="0"/>
                <w:sz w:val="17"/>
              </w:rPr>
              <w:t>Espone per codice fiscale utente, ruoli, aree, funzionalità, organizzazione e dati di postazione</w:t>
            </w:r>
          </w:p>
        </w:tc>
        <w:tc>
          <w:tcPr>
            <w:tcW w:type="dxa" w:w="4032"/>
          </w:tcPr>
          <w:p>
            <w:r/>
            <w:r>
              <w:rPr>
                <w:b w:val="0"/>
                <w:sz w:val="17"/>
              </w:rPr>
              <w:t xml:space="preserve">⚠️ Sostituisce le letture che oggi girano dentro ciascun front-end </w:t>
            </w:r>
            <w:r>
              <w:rPr>
                <w:b/>
                <w:sz w:val="17"/>
              </w:rPr>
              <w:t>con le credenziali di base dati nel pacchetto</w:t>
            </w:r>
            <w:r>
              <w:rPr>
                <w:b w:val="0"/>
                <w:sz w:val="17"/>
              </w:rPr>
              <w:t>. Il guadagno non è solo di pulizia.</w:t>
            </w:r>
          </w:p>
        </w:tc>
      </w:tr>
      <w:tr>
        <w:tc>
          <w:tcPr>
            <w:tcW w:type="dxa" w:w="2016"/>
          </w:tcPr>
          <w:p>
            <w:r/>
            <w:r>
              <w:rPr>
                <w:b w:val="0"/>
                <w:sz w:val="17"/>
              </w:rPr>
              <w:t>Base dati anagrafica</w:t>
            </w:r>
          </w:p>
        </w:tc>
        <w:tc>
          <w:tcPr>
            <w:tcW w:type="dxa" w:w="3312"/>
          </w:tcPr>
          <w:p>
            <w:r/>
            <w:r>
              <w:rPr>
                <w:b w:val="0"/>
                <w:sz w:val="17"/>
              </w:rPr>
              <w:t>Bonifica dei codici fiscali, indice univoco e obbligatorietà, registro degli accessi, versionamento della configurazione</w:t>
            </w:r>
          </w:p>
        </w:tc>
        <w:tc>
          <w:tcPr>
            <w:tcW w:type="dxa" w:w="4032"/>
          </w:tcPr>
          <w:p>
            <w:r/>
            <w:r>
              <w:rPr>
                <w:b w:val="0"/>
                <w:sz w:val="17"/>
              </w:rPr>
              <w:t xml:space="preserve">⚠️ </w:t>
            </w:r>
            <w:r>
              <w:rPr>
                <w:b/>
                <w:sz w:val="17"/>
              </w:rPr>
              <w:t>Prerequisito, non attività parallela</w:t>
            </w:r>
            <w:r>
              <w:rPr>
                <w:b w:val="0"/>
                <w:sz w:val="17"/>
              </w:rPr>
              <w:t>: la chiave di ricerca diventa il codice fiscale, che oggi è facoltativo, non univoco e non indicizzato.</w:t>
            </w:r>
          </w:p>
        </w:tc>
      </w:tr>
      <w:tr>
        <w:tc>
          <w:tcPr>
            <w:tcW w:type="dxa" w:w="2016"/>
          </w:tcPr>
          <w:p>
            <w:r/>
            <w:r>
              <w:rPr>
                <w:b w:val="0"/>
                <w:sz w:val="17"/>
              </w:rPr>
              <w:t>I trentacinque front-end</w:t>
            </w:r>
          </w:p>
        </w:tc>
        <w:tc>
          <w:tcPr>
            <w:tcW w:type="dxa" w:w="3312"/>
          </w:tcPr>
          <w:p>
            <w:r/>
            <w:r>
              <w:rPr>
                <w:b w:val="0"/>
                <w:sz w:val="17"/>
              </w:rPr>
              <w:t>Configurazione, ricollaudo dell’accesso e della navigazione</w:t>
            </w:r>
          </w:p>
        </w:tc>
        <w:tc>
          <w:tcPr>
            <w:tcW w:type="dxa" w:w="4032"/>
          </w:tcPr>
          <w:p>
            <w:r/>
            <w:r>
              <w:rPr>
                <w:b w:val="0"/>
                <w:sz w:val="17"/>
              </w:rPr>
              <w:t>Nessuna riscrittura.</w:t>
            </w:r>
          </w:p>
        </w:tc>
      </w:tr>
      <w:tr>
        <w:tc>
          <w:tcPr>
            <w:tcW w:type="dxa" w:w="2016"/>
          </w:tcPr>
          <w:p>
            <w:r/>
            <w:r>
              <w:rPr>
                <w:b w:val="0"/>
                <w:sz w:val="17"/>
              </w:rPr>
              <w:t>Client e sicurezza REST</w:t>
            </w:r>
          </w:p>
        </w:tc>
        <w:tc>
          <w:tcPr>
            <w:tcW w:type="dxa" w:w="3312"/>
          </w:tcPr>
          <w:p>
            <w:r/>
            <w:r>
              <w:rPr>
                <w:b w:val="0"/>
                <w:sz w:val="17"/>
              </w:rPr>
              <w:t>Seconda fase: gettone dell’utente, conservazione, solo server di risorsa, identità letta dal gettone</w:t>
            </w:r>
          </w:p>
        </w:tc>
        <w:tc>
          <w:tcPr>
            <w:tcW w:type="dxa" w:w="4032"/>
          </w:tcPr>
          <w:p>
            <w:r/>
            <w:r>
              <w:rPr>
                <w:b w:val="0"/>
                <w:sz w:val="17"/>
              </w:rPr>
              <w:t>Chiude RI-02 e RI-18.</w:t>
            </w:r>
          </w:p>
        </w:tc>
      </w:tr>
      <w:tr>
        <w:tc>
          <w:tcPr>
            <w:tcW w:type="dxa" w:w="2016"/>
          </w:tcPr>
          <w:p>
            <w:r/>
            <w:r>
              <w:rPr>
                <w:b w:val="0"/>
                <w:sz w:val="17"/>
              </w:rPr>
              <w:t>Canale ANPR</w:t>
            </w:r>
          </w:p>
        </w:tc>
        <w:tc>
          <w:tcPr>
            <w:tcW w:type="dxa" w:w="3312"/>
          </w:tcPr>
          <w:p>
            <w:r/>
            <w:r>
              <w:rPr>
                <w:b w:val="0"/>
                <w:sz w:val="17"/>
              </w:rPr>
              <w:t>Seconda fase: operatore e postazione reali</w:t>
            </w:r>
          </w:p>
        </w:tc>
        <w:tc>
          <w:tcPr>
            <w:tcW w:type="dxa" w:w="4032"/>
          </w:tcPr>
          <w:p>
            <w:r/>
            <w:r>
              <w:rPr>
                <w:b w:val="0"/>
                <w:sz w:val="17"/>
              </w:rPr>
              <w:t>Dipende dalla risposta a PI-07.</w:t>
            </w:r>
          </w:p>
        </w:tc>
      </w:tr>
      <w:tr>
        <w:tc>
          <w:tcPr>
            <w:tcW w:type="dxa" w:w="2016"/>
          </w:tcPr>
          <w:p>
            <w:r/>
            <w:r>
              <w:rPr>
                <w:b w:val="0"/>
                <w:sz w:val="17"/>
              </w:rPr>
              <w:t>Front office</w:t>
            </w:r>
          </w:p>
        </w:tc>
        <w:tc>
          <w:tcPr>
            <w:tcW w:type="dxa" w:w="3312"/>
          </w:tcPr>
          <w:p>
            <w:r/>
            <w:r>
              <w:rPr>
                <w:b w:val="0"/>
                <w:sz w:val="17"/>
              </w:rPr>
              <w:t>Terza fase: contesto operativo per persona giuridica, delega e assistito</w:t>
            </w:r>
          </w:p>
        </w:tc>
        <w:tc>
          <w:tcPr>
            <w:tcW w:type="dxa" w:w="4032"/>
          </w:tcPr>
          <w:p>
            <w:r/>
            <w:r>
              <w:rPr>
                <w:b w:val="0"/>
                <w:sz w:val="17"/>
              </w:rPr>
              <w:t>Non riguarda il back-office. ⚠️ Oggi il professionista è ricavato dalla base dati, senza rappresentanza né deleghe.</w:t>
            </w:r>
          </w:p>
        </w:tc>
      </w:tr>
      <w:tr>
        <w:tc>
          <w:tcPr>
            <w:tcW w:type="dxa" w:w="2016"/>
          </w:tcPr>
          <w:p>
            <w:r/>
            <w:r>
              <w:rPr>
                <w:b w:val="0"/>
                <w:sz w:val="17"/>
              </w:rPr>
              <w:t>Consumatori esterni delle intestazioni</w:t>
            </w:r>
          </w:p>
        </w:tc>
        <w:tc>
          <w:tcPr>
            <w:tcW w:type="dxa" w:w="3312"/>
          </w:tcPr>
          <w:p>
            <w:r/>
            <w:r>
              <w:rPr>
                <w:b w:val="0"/>
                <w:sz w:val="17"/>
              </w:rPr>
              <w:t>Censimento e piano dedicato</w:t>
            </w:r>
          </w:p>
        </w:tc>
        <w:tc>
          <w:tcPr>
            <w:tcW w:type="dxa" w:w="4032"/>
          </w:tcPr>
          <w:p>
            <w:r/>
            <w:r>
              <w:rPr>
                <w:b w:val="0"/>
                <w:sz w:val="17"/>
              </w:rPr>
              <w:t>⚠️ Altri prodotti leggono le stesse intestazioni: cambiare la giunzione li tocca (PI-08).</w:t>
            </w:r>
          </w:p>
        </w:tc>
      </w:tr>
    </w:tbl>
    <w:p>
      <w:pPr>
        <w:pStyle w:val="Heading2"/>
      </w:pPr>
      <w:r>
        <w:t>Il piano per fasi</w:t>
      </w:r>
    </w:p>
    <w:tbl>
      <w:tblPr>
        <w:tblStyle w:val="TableGrid"/>
        <w:tblW w:type="auto" w:w="0"/>
        <w:tblLook w:firstColumn="1" w:firstRow="1" w:lastColumn="0" w:lastRow="0" w:noHBand="0" w:noVBand="1" w:val="04A0"/>
      </w:tblPr>
      <w:tblGrid>
        <w:gridCol w:w="2340"/>
        <w:gridCol w:w="2340"/>
        <w:gridCol w:w="2340"/>
        <w:gridCol w:w="2340"/>
      </w:tblGrid>
      <w:tr>
        <w:tc>
          <w:tcPr>
            <w:tcW w:type="dxa" w:w="576"/>
          </w:tcPr>
          <w:p>
            <w:r/>
            <w:r>
              <w:rPr>
                <w:b/>
                <w:sz w:val="17"/>
              </w:rPr>
              <w:t>Fase</w:t>
            </w:r>
          </w:p>
        </w:tc>
        <w:tc>
          <w:tcPr>
            <w:tcW w:type="dxa" w:w="3456"/>
          </w:tcPr>
          <w:p>
            <w:r/>
            <w:r>
              <w:rPr>
                <w:b/>
                <w:sz w:val="17"/>
              </w:rPr>
              <w:t>Contenuto</w:t>
            </w:r>
          </w:p>
        </w:tc>
        <w:tc>
          <w:tcPr>
            <w:tcW w:type="dxa" w:w="1152"/>
          </w:tcPr>
          <w:p>
            <w:r/>
            <w:r>
              <w:rPr>
                <w:b/>
                <w:sz w:val="17"/>
              </w:rPr>
              <w:t>Giorni/uomo</w:t>
            </w:r>
          </w:p>
        </w:tc>
        <w:tc>
          <w:tcPr>
            <w:tcW w:type="dxa" w:w="4176"/>
          </w:tcPr>
          <w:p>
            <w:r/>
            <w:r>
              <w:rPr>
                <w:b/>
                <w:sz w:val="17"/>
              </w:rPr>
              <w:t>Che cosa porta</w:t>
            </w:r>
          </w:p>
        </w:tc>
      </w:tr>
      <w:tr>
        <w:tc>
          <w:tcPr>
            <w:tcW w:type="dxa" w:w="576"/>
          </w:tcPr>
          <w:p>
            <w:r/>
            <w:r>
              <w:rPr>
                <w:b w:val="0"/>
                <w:sz w:val="17"/>
              </w:rPr>
              <w:t>0</w:t>
            </w:r>
          </w:p>
        </w:tc>
        <w:tc>
          <w:tcPr>
            <w:tcW w:type="dxa" w:w="3456"/>
          </w:tcPr>
          <w:p>
            <w:r/>
            <w:r>
              <w:rPr>
                <w:b w:val="0"/>
                <w:sz w:val="17"/>
              </w:rPr>
              <w:t>Decisioni D1-D6 con i presidi, prova tecnica del flusso su un front-end, scheda del servizio e richieste di apertura</w:t>
            </w:r>
          </w:p>
        </w:tc>
        <w:tc>
          <w:tcPr>
            <w:tcW w:type="dxa" w:w="1152"/>
          </w:tcPr>
          <w:p>
            <w:r/>
            <w:r>
              <w:rPr>
                <w:b w:val="0"/>
                <w:sz w:val="17"/>
              </w:rPr>
              <w:t>6-9</w:t>
            </w:r>
          </w:p>
        </w:tc>
        <w:tc>
          <w:tcPr>
            <w:tcW w:type="dxa" w:w="4176"/>
          </w:tcPr>
          <w:p>
            <w:r/>
            <w:r>
              <w:rPr>
                <w:b w:val="0"/>
                <w:sz w:val="17"/>
              </w:rPr>
              <w:t>La verifica che la pila attuale regga, prima di impegnarsi.</w:t>
            </w:r>
          </w:p>
        </w:tc>
      </w:tr>
      <w:tr>
        <w:tc>
          <w:tcPr>
            <w:tcW w:type="dxa" w:w="576"/>
          </w:tcPr>
          <w:p>
            <w:r/>
            <w:r>
              <w:rPr>
                <w:b w:val="0"/>
                <w:sz w:val="17"/>
              </w:rPr>
              <w:t>1</w:t>
            </w:r>
          </w:p>
        </w:tc>
        <w:tc>
          <w:tcPr>
            <w:tcW w:type="dxa" w:w="3456"/>
          </w:tcPr>
          <w:p>
            <w:r/>
            <w:r>
              <w:rPr>
                <w:b w:val="0"/>
                <w:sz w:val="17"/>
              </w:rPr>
              <w:t>Accesso OIDC per back-office e front-office: adattatore, punto di ingresso, callback, convalida, servizio dei profili, bonifica della base dati, rilascio sui trentacinque front-end</w:t>
            </w:r>
          </w:p>
        </w:tc>
        <w:tc>
          <w:tcPr>
            <w:tcW w:type="dxa" w:w="1152"/>
          </w:tcPr>
          <w:p>
            <w:r/>
            <w:r>
              <w:rPr>
                <w:b w:val="0"/>
                <w:sz w:val="17"/>
              </w:rPr>
              <w:t>45-60</w:t>
            </w:r>
          </w:p>
        </w:tc>
        <w:tc>
          <w:tcPr>
            <w:tcW w:type="dxa" w:w="4176"/>
          </w:tcPr>
          <w:p>
            <w:r/>
            <w:r>
              <w:rPr>
                <w:b w:val="0"/>
                <w:sz w:val="17"/>
              </w:rPr>
              <w:t>Chiude RI-04, RI-06, RI-17 e RI-19. È il percorso minimo per avere l’accesso su IAM.</w:t>
            </w:r>
          </w:p>
        </w:tc>
      </w:tr>
      <w:tr>
        <w:tc>
          <w:tcPr>
            <w:tcW w:type="dxa" w:w="576"/>
          </w:tcPr>
          <w:p>
            <w:r/>
            <w:r>
              <w:rPr>
                <w:b w:val="0"/>
                <w:sz w:val="17"/>
              </w:rPr>
              <w:t>2</w:t>
            </w:r>
          </w:p>
        </w:tc>
        <w:tc>
          <w:tcPr>
            <w:tcW w:type="dxa" w:w="3456"/>
          </w:tcPr>
          <w:p>
            <w:r/>
            <w:r>
              <w:rPr>
                <w:b w:val="0"/>
                <w:sz w:val="17"/>
              </w:rPr>
              <w:t>Identità fino ai back-end sul campione: emittente unico, gettone dell’utente, identità letta dal gettone, operatore e postazione reali verso ANPR</w:t>
            </w:r>
          </w:p>
        </w:tc>
        <w:tc>
          <w:tcPr>
            <w:tcW w:type="dxa" w:w="1152"/>
          </w:tcPr>
          <w:p>
            <w:r/>
            <w:r>
              <w:rPr>
                <w:b w:val="0"/>
                <w:sz w:val="17"/>
              </w:rPr>
              <w:t>30-40</w:t>
            </w:r>
          </w:p>
        </w:tc>
        <w:tc>
          <w:tcPr>
            <w:tcW w:type="dxa" w:w="4176"/>
          </w:tcPr>
          <w:p>
            <w:r/>
            <w:r>
              <w:rPr>
                <w:b w:val="0"/>
                <w:sz w:val="17"/>
              </w:rPr>
              <w:t>Chiude RI-02, RI-09, RI-16, RI-18 e parte di RI-13. ⚠️ L’estensione agli altri back-end è un programma a sé.</w:t>
            </w:r>
          </w:p>
        </w:tc>
      </w:tr>
      <w:tr>
        <w:tc>
          <w:tcPr>
            <w:tcW w:type="dxa" w:w="576"/>
          </w:tcPr>
          <w:p>
            <w:r/>
            <w:r>
              <w:rPr>
                <w:b w:val="0"/>
                <w:sz w:val="17"/>
              </w:rPr>
              <w:t>3</w:t>
            </w:r>
          </w:p>
        </w:tc>
        <w:tc>
          <w:tcPr>
            <w:tcW w:type="dxa" w:w="3456"/>
          </w:tcPr>
          <w:p>
            <w:r/>
            <w:r>
              <w:rPr>
                <w:b w:val="0"/>
                <w:sz w:val="17"/>
              </w:rPr>
              <w:t>Front office: seconda autorizzazione per persona giuridica, delega e assistito, con un contesto operativo esplicito</w:t>
            </w:r>
          </w:p>
        </w:tc>
        <w:tc>
          <w:tcPr>
            <w:tcW w:type="dxa" w:w="1152"/>
          </w:tcPr>
          <w:p>
            <w:r/>
            <w:r>
              <w:rPr>
                <w:b w:val="0"/>
                <w:sz w:val="17"/>
              </w:rPr>
              <w:t>15-20</w:t>
            </w:r>
          </w:p>
        </w:tc>
        <w:tc>
          <w:tcPr>
            <w:tcW w:type="dxa" w:w="4176"/>
          </w:tcPr>
          <w:p>
            <w:r/>
            <w:r>
              <w:rPr>
                <w:b w:val="0"/>
                <w:sz w:val="17"/>
              </w:rPr>
              <w:t>Rende dichiarato per conto di chi si opera. Non riguarda il back-office.</w:t>
            </w:r>
          </w:p>
        </w:tc>
      </w:tr>
      <w:tr>
        <w:tc>
          <w:tcPr>
            <w:tcW w:type="dxa" w:w="576"/>
          </w:tcPr>
          <w:p>
            <w:r/>
            <w:r>
              <w:rPr>
                <w:b w:val="0"/>
                <w:sz w:val="17"/>
              </w:rPr>
              <w:t>4</w:t>
            </w:r>
          </w:p>
        </w:tc>
        <w:tc>
          <w:tcPr>
            <w:tcW w:type="dxa" w:w="3456"/>
          </w:tcPr>
          <w:p>
            <w:r/>
            <w:r>
              <w:rPr>
                <w:b w:val="0"/>
                <w:sz w:val="17"/>
              </w:rPr>
              <w:t>Dismissione della modalità header e delle utenze tecniche di ruolo</w:t>
            </w:r>
          </w:p>
        </w:tc>
        <w:tc>
          <w:tcPr>
            <w:tcW w:type="dxa" w:w="1152"/>
          </w:tcPr>
          <w:p>
            <w:r/>
            <w:r>
              <w:rPr>
                <w:b w:val="0"/>
                <w:sz w:val="17"/>
              </w:rPr>
              <w:t>3-5</w:t>
            </w:r>
          </w:p>
        </w:tc>
        <w:tc>
          <w:tcPr>
            <w:tcW w:type="dxa" w:w="4176"/>
          </w:tcPr>
          <w:p>
            <w:r/>
            <w:r>
              <w:rPr>
                <w:b w:val="0"/>
                <w:sz w:val="17"/>
              </w:rPr>
              <w:t>Chiude il doppio binario e il rischio di regressione.</w:t>
            </w:r>
          </w:p>
        </w:tc>
      </w:tr>
    </w:tbl>
    <w:p>
      <w:pPr/>
      <w:r>
        <w:rPr>
          <w:b w:val="0"/>
        </w:rPr>
        <w:t xml:space="preserve">Le stime sono indicative e vanno riviste dopo le decisioni e dopo la prova tecnica. Non comprendono i tempi di risposta dei presidi esterni né la bonifica dei dati, che è a carico del business. ⚠️ </w:t>
      </w:r>
      <w:r>
        <w:rPr>
          <w:b/>
        </w:rPr>
        <w:t>Il percorso minimo per avere l’accesso su IAM è fase 0 più fase 1</w:t>
      </w:r>
      <w:r>
        <w:rPr>
          <w:b w:val="0"/>
        </w:rPr>
        <w:t>; sono le fasi 2 e 3 a portare i benefici di sicurezza e di tracciabilità.</w:t>
      </w:r>
    </w:p>
    <w:p>
      <w:pPr/>
      <w:r>
        <w:rPr>
          <w:b w:val="0"/>
        </w:rPr>
        <w:t xml:space="preserve">⚠️ Una raccomandazione sull’ordine: </w:t>
      </w:r>
      <w:r>
        <w:rPr>
          <w:b/>
        </w:rPr>
        <w:t>la clausola di chiusura sui servizi (RI-01) va anticipata alla fase 0.</w:t>
      </w:r>
      <w:r>
        <w:rPr>
          <w:b w:val="0"/>
        </w:rPr>
        <w:t xml:space="preserve"> È un intervento di poche righe, non dipende da nessuna delle sei decisioni e rimuove il rilievo più grave. Rinviarlo alla fase 2 significherebbe tenere aperto per mesi ciò che si può chiudere in giorni.</w:t>
      </w:r>
    </w:p>
    <w:p>
      <w:pPr>
        <w:pStyle w:val="Heading2"/>
      </w:pPr>
      <w:r>
        <w:t>I rischi dell’intervento</w:t>
      </w:r>
    </w:p>
    <w:tbl>
      <w:tblPr>
        <w:tblStyle w:val="TableGrid"/>
        <w:tblW w:type="auto" w:w="0"/>
        <w:tblLook w:firstColumn="1" w:firstRow="1" w:lastColumn="0" w:lastRow="0" w:noHBand="0" w:noVBand="1" w:val="04A0"/>
      </w:tblPr>
      <w:tblGrid>
        <w:gridCol w:w="2340"/>
        <w:gridCol w:w="2340"/>
        <w:gridCol w:w="2340"/>
        <w:gridCol w:w="2340"/>
      </w:tblGrid>
      <w:tr>
        <w:tc>
          <w:tcPr>
            <w:tcW w:type="dxa" w:w="2880"/>
          </w:tcPr>
          <w:p>
            <w:r/>
            <w:r>
              <w:rPr>
                <w:b/>
                <w:sz w:val="17"/>
              </w:rPr>
              <w:t>Rischio</w:t>
            </w:r>
          </w:p>
        </w:tc>
        <w:tc>
          <w:tcPr>
            <w:tcW w:type="dxa" w:w="1152"/>
          </w:tcPr>
          <w:p>
            <w:r/>
            <w:r>
              <w:rPr>
                <w:b/>
                <w:sz w:val="17"/>
              </w:rPr>
              <w:t>Probabilità</w:t>
            </w:r>
          </w:p>
        </w:tc>
        <w:tc>
          <w:tcPr>
            <w:tcW w:type="dxa" w:w="1008"/>
          </w:tcPr>
          <w:p>
            <w:r/>
            <w:r>
              <w:rPr>
                <w:b/>
                <w:sz w:val="17"/>
              </w:rPr>
              <w:t>Impatto</w:t>
            </w:r>
          </w:p>
        </w:tc>
        <w:tc>
          <w:tcPr>
            <w:tcW w:type="dxa" w:w="4320"/>
          </w:tcPr>
          <w:p>
            <w:r/>
            <w:r>
              <w:rPr>
                <w:b/>
                <w:sz w:val="17"/>
              </w:rPr>
              <w:t>Come si contiene</w:t>
            </w:r>
          </w:p>
        </w:tc>
      </w:tr>
      <w:tr>
        <w:tc>
          <w:tcPr>
            <w:tcW w:type="dxa" w:w="2880"/>
          </w:tcPr>
          <w:p>
            <w:r/>
            <w:r>
              <w:rPr>
                <w:b w:val="0"/>
                <w:sz w:val="17"/>
              </w:rPr>
              <w:t>Codici fiscali mancanti o duplicati: dipendenti che non entrano più</w:t>
            </w:r>
          </w:p>
        </w:tc>
        <w:tc>
          <w:tcPr>
            <w:tcW w:type="dxa" w:w="1152"/>
          </w:tcPr>
          <w:p>
            <w:r/>
            <w:r>
              <w:rPr>
                <w:b w:val="0"/>
                <w:sz w:val="17"/>
              </w:rPr>
              <w:t>Alta</w:t>
            </w:r>
          </w:p>
        </w:tc>
        <w:tc>
          <w:tcPr>
            <w:tcW w:type="dxa" w:w="1008"/>
          </w:tcPr>
          <w:p>
            <w:r/>
            <w:r>
              <w:rPr>
                <w:b w:val="0"/>
                <w:sz w:val="17"/>
              </w:rPr>
              <w:t>Alto</w:t>
            </w:r>
          </w:p>
        </w:tc>
        <w:tc>
          <w:tcPr>
            <w:tcW w:type="dxa" w:w="4320"/>
          </w:tcPr>
          <w:p>
            <w:r/>
            <w:r>
              <w:rPr>
                <w:b w:val="0"/>
                <w:sz w:val="17"/>
              </w:rPr>
              <w:t>Bonifica anticipata, ripiego transitorio sul nome utente, verifica giornaliera degli esiti.</w:t>
            </w:r>
          </w:p>
        </w:tc>
      </w:tr>
      <w:tr>
        <w:tc>
          <w:tcPr>
            <w:tcW w:type="dxa" w:w="2880"/>
          </w:tcPr>
          <w:p>
            <w:r/>
            <w:r>
              <w:rPr>
                <w:b w:val="0"/>
                <w:sz w:val="17"/>
              </w:rPr>
              <w:t>La pila attuale non regge la parte OIDC</w:t>
            </w:r>
          </w:p>
        </w:tc>
        <w:tc>
          <w:tcPr>
            <w:tcW w:type="dxa" w:w="1152"/>
          </w:tcPr>
          <w:p>
            <w:r/>
            <w:r>
              <w:rPr>
                <w:b w:val="0"/>
                <w:sz w:val="17"/>
              </w:rPr>
              <w:t>Media</w:t>
            </w:r>
          </w:p>
        </w:tc>
        <w:tc>
          <w:tcPr>
            <w:tcW w:type="dxa" w:w="1008"/>
          </w:tcPr>
          <w:p>
            <w:r/>
            <w:r>
              <w:rPr>
                <w:b w:val="0"/>
                <w:sz w:val="17"/>
              </w:rPr>
              <w:t>Medio</w:t>
            </w:r>
          </w:p>
        </w:tc>
        <w:tc>
          <w:tcPr>
            <w:tcW w:type="dxa" w:w="4320"/>
          </w:tcPr>
          <w:p>
            <w:r/>
            <w:r>
              <w:rPr>
                <w:b w:val="0"/>
                <w:sz w:val="17"/>
              </w:rPr>
              <w:t>Prova tecnica in fase 0; callback esplicita invece di affidarsi al supporto nativo.</w:t>
            </w:r>
          </w:p>
        </w:tc>
      </w:tr>
      <w:tr>
        <w:tc>
          <w:tcPr>
            <w:tcW w:type="dxa" w:w="2880"/>
          </w:tcPr>
          <w:p>
            <w:r/>
            <w:r>
              <w:rPr>
                <w:b w:val="0"/>
                <w:sz w:val="17"/>
              </w:rPr>
              <w:t>Il Broker non è conforme all’IAM dell’ente</w:t>
            </w:r>
          </w:p>
        </w:tc>
        <w:tc>
          <w:tcPr>
            <w:tcW w:type="dxa" w:w="1152"/>
          </w:tcPr>
          <w:p>
            <w:r/>
            <w:r>
              <w:rPr>
                <w:b w:val="0"/>
                <w:sz w:val="17"/>
              </w:rPr>
              <w:t>Media</w:t>
            </w:r>
          </w:p>
        </w:tc>
        <w:tc>
          <w:tcPr>
            <w:tcW w:type="dxa" w:w="1008"/>
          </w:tcPr>
          <w:p>
            <w:r/>
            <w:r>
              <w:rPr>
                <w:b w:val="0"/>
                <w:sz w:val="17"/>
              </w:rPr>
              <w:t>Alto</w:t>
            </w:r>
          </w:p>
        </w:tc>
        <w:tc>
          <w:tcPr>
            <w:tcW w:type="dxa" w:w="4320"/>
          </w:tcPr>
          <w:p>
            <w:r/>
            <w:r>
              <w:rPr>
                <w:b w:val="0"/>
                <w:sz w:val="17"/>
              </w:rPr>
              <w:t>Verifica preliminare dei requisiti; in alternativa la prima opzione di D1.</w:t>
            </w:r>
          </w:p>
        </w:tc>
      </w:tr>
      <w:tr>
        <w:tc>
          <w:tcPr>
            <w:tcW w:type="dxa" w:w="2880"/>
          </w:tcPr>
          <w:p>
            <w:r/>
            <w:r>
              <w:rPr>
                <w:b w:val="0"/>
                <w:sz w:val="17"/>
              </w:rPr>
              <w:t>Trentacinque indirizzi di ritorno e altrettanti segreti da gestire</w:t>
            </w:r>
          </w:p>
        </w:tc>
        <w:tc>
          <w:tcPr>
            <w:tcW w:type="dxa" w:w="1152"/>
          </w:tcPr>
          <w:p>
            <w:r/>
            <w:r>
              <w:rPr>
                <w:b w:val="0"/>
                <w:sz w:val="17"/>
              </w:rPr>
              <w:t>Alta</w:t>
            </w:r>
          </w:p>
        </w:tc>
        <w:tc>
          <w:tcPr>
            <w:tcW w:type="dxa" w:w="1008"/>
          </w:tcPr>
          <w:p>
            <w:r/>
            <w:r>
              <w:rPr>
                <w:b w:val="0"/>
                <w:sz w:val="17"/>
              </w:rPr>
              <w:t>Medio</w:t>
            </w:r>
          </w:p>
        </w:tc>
        <w:tc>
          <w:tcPr>
            <w:tcW w:type="dxa" w:w="4320"/>
          </w:tcPr>
          <w:p>
            <w:r/>
            <w:r>
              <w:rPr>
                <w:b w:val="0"/>
                <w:sz w:val="17"/>
              </w:rPr>
              <w:t>Un client unico con più indirizzi, oppure un componente centrale.</w:t>
            </w:r>
          </w:p>
        </w:tc>
      </w:tr>
      <w:tr>
        <w:tc>
          <w:tcPr>
            <w:tcW w:type="dxa" w:w="2880"/>
          </w:tcPr>
          <w:p>
            <w:r/>
            <w:r>
              <w:rPr>
                <w:b w:val="0"/>
                <w:sz w:val="17"/>
              </w:rPr>
              <w:t>Perdita delle intestazioni di infrastruttura: la postazione ANPR</w:t>
            </w:r>
          </w:p>
        </w:tc>
        <w:tc>
          <w:tcPr>
            <w:tcW w:type="dxa" w:w="1152"/>
          </w:tcPr>
          <w:p>
            <w:r/>
            <w:r>
              <w:rPr>
                <w:b w:val="0"/>
                <w:sz w:val="17"/>
              </w:rPr>
              <w:t>Media</w:t>
            </w:r>
          </w:p>
        </w:tc>
        <w:tc>
          <w:tcPr>
            <w:tcW w:type="dxa" w:w="1008"/>
          </w:tcPr>
          <w:p>
            <w:r/>
            <w:r>
              <w:rPr>
                <w:b w:val="0"/>
                <w:sz w:val="17"/>
              </w:rPr>
              <w:t>Alto</w:t>
            </w:r>
          </w:p>
        </w:tc>
        <w:tc>
          <w:tcPr>
            <w:tcW w:type="dxa" w:w="4320"/>
          </w:tcPr>
          <w:p>
            <w:r/>
            <w:r>
              <w:rPr>
                <w:b w:val="0"/>
                <w:sz w:val="17"/>
              </w:rPr>
              <w:t xml:space="preserve">⚠️ Verifica con il presidio del portale </w:t>
            </w:r>
            <w:r>
              <w:rPr>
                <w:b/>
                <w:sz w:val="17"/>
              </w:rPr>
              <w:t>prima</w:t>
            </w:r>
            <w:r>
              <w:rPr>
                <w:b w:val="0"/>
                <w:sz w:val="17"/>
              </w:rPr>
              <w:t xml:space="preserve"> del passaggio, non dopo (PI-07).</w:t>
            </w:r>
          </w:p>
        </w:tc>
      </w:tr>
      <w:tr>
        <w:tc>
          <w:tcPr>
            <w:tcW w:type="dxa" w:w="2880"/>
          </w:tcPr>
          <w:p>
            <w:r/>
            <w:r>
              <w:rPr>
                <w:b w:val="0"/>
                <w:sz w:val="17"/>
              </w:rPr>
              <w:t>Navigazione fra front-end: accessi ripetuti</w:t>
            </w:r>
          </w:p>
        </w:tc>
        <w:tc>
          <w:tcPr>
            <w:tcW w:type="dxa" w:w="1152"/>
          </w:tcPr>
          <w:p>
            <w:r/>
            <w:r>
              <w:rPr>
                <w:b w:val="0"/>
                <w:sz w:val="17"/>
              </w:rPr>
              <w:t>Media</w:t>
            </w:r>
          </w:p>
        </w:tc>
        <w:tc>
          <w:tcPr>
            <w:tcW w:type="dxa" w:w="1008"/>
          </w:tcPr>
          <w:p>
            <w:r/>
            <w:r>
              <w:rPr>
                <w:b w:val="0"/>
                <w:sz w:val="17"/>
              </w:rPr>
              <w:t>Medio</w:t>
            </w:r>
          </w:p>
        </w:tc>
        <w:tc>
          <w:tcPr>
            <w:tcW w:type="dxa" w:w="4320"/>
          </w:tcPr>
          <w:p>
            <w:r/>
            <w:r>
              <w:rPr>
                <w:b w:val="0"/>
                <w:sz w:val="17"/>
              </w:rPr>
              <w:t>Verifica del comportamento silenzioso in presenza di sessione attiva, in fase 0.</w:t>
            </w:r>
          </w:p>
        </w:tc>
      </w:tr>
      <w:tr>
        <w:tc>
          <w:tcPr>
            <w:tcW w:type="dxa" w:w="2880"/>
          </w:tcPr>
          <w:p>
            <w:r/>
            <w:r>
              <w:rPr>
                <w:b w:val="0"/>
                <w:sz w:val="17"/>
              </w:rPr>
              <w:t>La copia «elezioni» sovrascrive la libreria nel deposito locale</w:t>
            </w:r>
          </w:p>
        </w:tc>
        <w:tc>
          <w:tcPr>
            <w:tcW w:type="dxa" w:w="1152"/>
          </w:tcPr>
          <w:p>
            <w:r/>
            <w:r>
              <w:rPr>
                <w:b w:val="0"/>
                <w:sz w:val="17"/>
              </w:rPr>
              <w:t>Alta</w:t>
            </w:r>
          </w:p>
        </w:tc>
        <w:tc>
          <w:tcPr>
            <w:tcW w:type="dxa" w:w="1008"/>
          </w:tcPr>
          <w:p>
            <w:r/>
            <w:r>
              <w:rPr>
                <w:b w:val="0"/>
                <w:sz w:val="17"/>
              </w:rPr>
              <w:t>Medio</w:t>
            </w:r>
          </w:p>
        </w:tc>
        <w:tc>
          <w:tcPr>
            <w:tcW w:type="dxa" w:w="4320"/>
          </w:tcPr>
          <w:p>
            <w:r/>
            <w:r>
              <w:rPr>
                <w:b w:val="0"/>
                <w:sz w:val="17"/>
              </w:rPr>
              <w:t>Allineare o rinominare l’identificativo di artefatto prima del rilascio (RI-28).</w:t>
            </w:r>
          </w:p>
        </w:tc>
      </w:tr>
      <w:tr>
        <w:tc>
          <w:tcPr>
            <w:tcW w:type="dxa" w:w="2880"/>
          </w:tcPr>
          <w:p>
            <w:r/>
            <w:r>
              <w:rPr>
                <w:b w:val="0"/>
                <w:sz w:val="17"/>
              </w:rPr>
              <w:t>I servizi restano aperti nonostante l’accesso nuovo</w:t>
            </w:r>
          </w:p>
        </w:tc>
        <w:tc>
          <w:tcPr>
            <w:tcW w:type="dxa" w:w="1152"/>
          </w:tcPr>
          <w:p>
            <w:r/>
            <w:r>
              <w:rPr>
                <w:b w:val="0"/>
                <w:sz w:val="17"/>
              </w:rPr>
              <w:t>Alta</w:t>
            </w:r>
          </w:p>
        </w:tc>
        <w:tc>
          <w:tcPr>
            <w:tcW w:type="dxa" w:w="1008"/>
          </w:tcPr>
          <w:p>
            <w:r/>
            <w:r>
              <w:rPr>
                <w:b w:val="0"/>
                <w:sz w:val="17"/>
              </w:rPr>
              <w:t>Critico</w:t>
            </w:r>
          </w:p>
        </w:tc>
        <w:tc>
          <w:tcPr>
            <w:tcW w:type="dxa" w:w="4320"/>
          </w:tcPr>
          <w:p>
            <w:r/>
            <w:r>
              <w:rPr>
                <w:b w:val="0"/>
                <w:sz w:val="17"/>
              </w:rPr>
              <w:t>⚠️ Anticipare la clausola di chiusura: è il rischio che vanifica l’intero intervento.</w:t>
            </w:r>
          </w:p>
        </w:tc>
      </w:tr>
    </w:tbl>
    <w:p>
      <w:pPr>
        <w:pStyle w:val="Heading1"/>
      </w:pPr>
      <w:r>
        <w:t>Punti aperti</w:t>
      </w:r>
    </w:p>
    <w:p>
      <w:pPr/>
      <w:r>
        <w:rPr>
          <w:b w:val="0"/>
        </w:rPr>
        <w:t>Le questioni che le fonti disponibili non consentono di chiudere, con l’indicazione di chi può rispondere. Sono numerate con il prefisso PI per non confondersi con i registri degli altri documenti di progetto.</w:t>
      </w:r>
    </w:p>
    <w:tbl>
      <w:tblPr>
        <w:tblStyle w:val="TableGrid"/>
        <w:tblW w:type="auto" w:w="0"/>
        <w:tblLook w:firstColumn="1" w:firstRow="1" w:lastColumn="0" w:lastRow="0" w:noHBand="0" w:noVBand="1" w:val="04A0"/>
      </w:tblPr>
      <w:tblGrid>
        <w:gridCol w:w="3120"/>
        <w:gridCol w:w="3120"/>
        <w:gridCol w:w="3120"/>
      </w:tblGrid>
      <w:tr>
        <w:tc>
          <w:tcPr>
            <w:tcW w:type="dxa" w:w="720"/>
          </w:tcPr>
          <w:p>
            <w:r/>
            <w:r>
              <w:rPr>
                <w:b/>
                <w:sz w:val="17"/>
              </w:rPr>
              <w:t>#</w:t>
            </w:r>
          </w:p>
        </w:tc>
        <w:tc>
          <w:tcPr>
            <w:tcW w:type="dxa" w:w="6192"/>
          </w:tcPr>
          <w:p>
            <w:r/>
            <w:r>
              <w:rPr>
                <w:b/>
                <w:sz w:val="17"/>
              </w:rPr>
              <w:t>Questione</w:t>
            </w:r>
          </w:p>
        </w:tc>
        <w:tc>
          <w:tcPr>
            <w:tcW w:type="dxa" w:w="2448"/>
          </w:tcPr>
          <w:p>
            <w:r/>
            <w:r>
              <w:rPr>
                <w:b/>
                <w:sz w:val="17"/>
              </w:rPr>
              <w:t>A chi compete</w:t>
            </w:r>
          </w:p>
        </w:tc>
      </w:tr>
      <w:tr>
        <w:tc>
          <w:tcPr>
            <w:tcW w:type="dxa" w:w="720"/>
          </w:tcPr>
          <w:p>
            <w:r/>
            <w:r>
              <w:rPr>
                <w:b w:val="0"/>
                <w:sz w:val="17"/>
              </w:rPr>
              <w:t>PI-01</w:t>
            </w:r>
          </w:p>
        </w:tc>
        <w:tc>
          <w:tcPr>
            <w:tcW w:type="dxa" w:w="6192"/>
          </w:tcPr>
          <w:p>
            <w:r/>
            <w:r>
              <w:rPr>
                <w:b w:val="0"/>
                <w:sz w:val="17"/>
              </w:rPr>
              <w:t>Algoritmo di firma dei gettoni dell’IAM e disponibilità del materiale di verifica. ⚠️ L’esempio della specifica mostra una firma simmetrica, che mal si concilia con un verificatore per chiave pubblica.</w:t>
            </w:r>
          </w:p>
        </w:tc>
        <w:tc>
          <w:tcPr>
            <w:tcW w:type="dxa" w:w="2448"/>
          </w:tcPr>
          <w:p>
            <w:r/>
            <w:r>
              <w:rPr>
                <w:b w:val="0"/>
                <w:sz w:val="17"/>
              </w:rPr>
              <w:t>Presidio IAM</w:t>
            </w:r>
          </w:p>
        </w:tc>
      </w:tr>
      <w:tr>
        <w:tc>
          <w:tcPr>
            <w:tcW w:type="dxa" w:w="720"/>
          </w:tcPr>
          <w:p>
            <w:r/>
            <w:r>
              <w:rPr>
                <w:b w:val="0"/>
                <w:sz w:val="17"/>
              </w:rPr>
              <w:t>PI-02</w:t>
            </w:r>
          </w:p>
        </w:tc>
        <w:tc>
          <w:tcPr>
            <w:tcW w:type="dxa" w:w="6192"/>
          </w:tcPr>
          <w:p>
            <w:r/>
            <w:r>
              <w:rPr>
                <w:b w:val="0"/>
                <w:sz w:val="17"/>
              </w:rPr>
              <w:t>Se la dimostrazione di possesso del codice sia obbligatoria per i client riservati.</w:t>
            </w:r>
          </w:p>
        </w:tc>
        <w:tc>
          <w:tcPr>
            <w:tcW w:type="dxa" w:w="2448"/>
          </w:tcPr>
          <w:p>
            <w:r/>
            <w:r>
              <w:rPr>
                <w:b w:val="0"/>
                <w:sz w:val="17"/>
              </w:rPr>
              <w:t>Presidio IAM</w:t>
            </w:r>
          </w:p>
        </w:tc>
      </w:tr>
      <w:tr>
        <w:tc>
          <w:tcPr>
            <w:tcW w:type="dxa" w:w="720"/>
          </w:tcPr>
          <w:p>
            <w:r/>
            <w:r>
              <w:rPr>
                <w:b w:val="0"/>
                <w:sz w:val="17"/>
              </w:rPr>
              <w:t>PI-03</w:t>
            </w:r>
          </w:p>
        </w:tc>
        <w:tc>
          <w:tcPr>
            <w:tcW w:type="dxa" w:w="6192"/>
          </w:tcPr>
          <w:p>
            <w:r/>
            <w:r>
              <w:rPr>
                <w:b w:val="0"/>
                <w:sz w:val="17"/>
              </w:rPr>
              <w:t>Quali ambiti di consenso sono abilitabili per un client di back-office e per uno di front-office.</w:t>
            </w:r>
          </w:p>
        </w:tc>
        <w:tc>
          <w:tcPr>
            <w:tcW w:type="dxa" w:w="2448"/>
          </w:tcPr>
          <w:p>
            <w:r/>
            <w:r>
              <w:rPr>
                <w:b w:val="0"/>
                <w:sz w:val="17"/>
              </w:rPr>
              <w:t>Presidio IAM</w:t>
            </w:r>
          </w:p>
        </w:tc>
      </w:tr>
      <w:tr>
        <w:tc>
          <w:tcPr>
            <w:tcW w:type="dxa" w:w="720"/>
          </w:tcPr>
          <w:p>
            <w:r/>
            <w:r>
              <w:rPr>
                <w:b w:val="0"/>
                <w:sz w:val="17"/>
              </w:rPr>
              <w:t>PI-04</w:t>
            </w:r>
          </w:p>
        </w:tc>
        <w:tc>
          <w:tcPr>
            <w:tcW w:type="dxa" w:w="6192"/>
          </w:tcPr>
          <w:p>
            <w:r/>
            <w:r>
              <w:rPr>
                <w:b w:val="0"/>
                <w:sz w:val="17"/>
              </w:rPr>
              <w:t>Se si possano registrare trentacinque indirizzi di ritorno su un solo client, e durata dei gettoni.</w:t>
            </w:r>
          </w:p>
        </w:tc>
        <w:tc>
          <w:tcPr>
            <w:tcW w:type="dxa" w:w="2448"/>
          </w:tcPr>
          <w:p>
            <w:r/>
            <w:r>
              <w:rPr>
                <w:b w:val="0"/>
                <w:sz w:val="17"/>
              </w:rPr>
              <w:t>Presidio IAM</w:t>
            </w:r>
          </w:p>
        </w:tc>
      </w:tr>
      <w:tr>
        <w:tc>
          <w:tcPr>
            <w:tcW w:type="dxa" w:w="720"/>
          </w:tcPr>
          <w:p>
            <w:r/>
            <w:r>
              <w:rPr>
                <w:b w:val="0"/>
                <w:sz w:val="17"/>
              </w:rPr>
              <w:t>PI-05</w:t>
            </w:r>
          </w:p>
        </w:tc>
        <w:tc>
          <w:tcPr>
            <w:tcW w:type="dxa" w:w="6192"/>
          </w:tcPr>
          <w:p>
            <w:r/>
            <w:r>
              <w:rPr>
                <w:b w:val="0"/>
                <w:sz w:val="17"/>
              </w:rPr>
              <w:t>Se il servizio che restituisce i profili sia dell’IAM, e con quale contratto.</w:t>
            </w:r>
          </w:p>
        </w:tc>
        <w:tc>
          <w:tcPr>
            <w:tcW w:type="dxa" w:w="2448"/>
          </w:tcPr>
          <w:p>
            <w:r/>
            <w:r>
              <w:rPr>
                <w:b w:val="0"/>
                <w:sz w:val="17"/>
              </w:rPr>
              <w:t>Presidio IAM</w:t>
            </w:r>
          </w:p>
        </w:tc>
      </w:tr>
      <w:tr>
        <w:tc>
          <w:tcPr>
            <w:tcW w:type="dxa" w:w="720"/>
          </w:tcPr>
          <w:p>
            <w:r/>
            <w:r>
              <w:rPr>
                <w:b w:val="0"/>
                <w:sz w:val="17"/>
              </w:rPr>
              <w:t>PI-06</w:t>
            </w:r>
          </w:p>
        </w:tc>
        <w:tc>
          <w:tcPr>
            <w:tcW w:type="dxa" w:w="6192"/>
          </w:tcPr>
          <w:p>
            <w:r/>
            <w:r>
              <w:rPr>
                <w:b w:val="0"/>
                <w:sz w:val="17"/>
              </w:rPr>
              <w:t>Se il codice fiscale sia sempre valorizzato per le utenze dei dipendenti.</w:t>
            </w:r>
          </w:p>
        </w:tc>
        <w:tc>
          <w:tcPr>
            <w:tcW w:type="dxa" w:w="2448"/>
          </w:tcPr>
          <w:p>
            <w:r/>
            <w:r>
              <w:rPr>
                <w:b w:val="0"/>
                <w:sz w:val="17"/>
              </w:rPr>
              <w:t>Presidio IAM</w:t>
            </w:r>
          </w:p>
        </w:tc>
      </w:tr>
      <w:tr>
        <w:tc>
          <w:tcPr>
            <w:tcW w:type="dxa" w:w="720"/>
          </w:tcPr>
          <w:p>
            <w:r/>
            <w:r>
              <w:rPr>
                <w:b w:val="0"/>
                <w:sz w:val="17"/>
              </w:rPr>
              <w:t>PI-07</w:t>
            </w:r>
          </w:p>
        </w:tc>
        <w:tc>
          <w:tcPr>
            <w:tcW w:type="dxa" w:w="6192"/>
          </w:tcPr>
          <w:p>
            <w:r/>
            <w:r>
              <w:rPr>
                <w:b w:val="0"/>
                <w:sz w:val="17"/>
              </w:rPr>
              <w:t>Se con la pubblicazione OIDC le giunzioni restino dietro il proxy e gli header di infrastruttura — indirizzo e numero di serie del certificato di postazione — continuino a essere iniettati. ⚠️ Da questa risposta dipende la tracciabilità verso ANPR.</w:t>
            </w:r>
          </w:p>
        </w:tc>
        <w:tc>
          <w:tcPr>
            <w:tcW w:type="dxa" w:w="2448"/>
          </w:tcPr>
          <w:p>
            <w:r/>
            <w:r>
              <w:rPr>
                <w:b w:val="0"/>
                <w:sz w:val="17"/>
              </w:rPr>
              <w:t>Presidio Portale</w:t>
            </w:r>
          </w:p>
        </w:tc>
      </w:tr>
      <w:tr>
        <w:tc>
          <w:tcPr>
            <w:tcW w:type="dxa" w:w="720"/>
          </w:tcPr>
          <w:p>
            <w:r/>
            <w:r>
              <w:rPr>
                <w:b w:val="0"/>
                <w:sz w:val="17"/>
              </w:rPr>
              <w:t>PI-08</w:t>
            </w:r>
          </w:p>
        </w:tc>
        <w:tc>
          <w:tcPr>
            <w:tcW w:type="dxa" w:w="6192"/>
          </w:tcPr>
          <w:p>
            <w:r/>
            <w:r>
              <w:rPr>
                <w:b w:val="0"/>
                <w:sz w:val="17"/>
              </w:rPr>
              <w:t>Se il proxy rimuova gli header di identità eventualmente inviati dal client prima di iniettare i propri.</w:t>
            </w:r>
          </w:p>
        </w:tc>
        <w:tc>
          <w:tcPr>
            <w:tcW w:type="dxa" w:w="2448"/>
          </w:tcPr>
          <w:p>
            <w:r/>
            <w:r>
              <w:rPr>
                <w:b w:val="0"/>
                <w:sz w:val="17"/>
              </w:rPr>
              <w:t>Presidio Portale</w:t>
            </w:r>
          </w:p>
        </w:tc>
      </w:tr>
      <w:tr>
        <w:tc>
          <w:tcPr>
            <w:tcW w:type="dxa" w:w="720"/>
          </w:tcPr>
          <w:p>
            <w:r/>
            <w:r>
              <w:rPr>
                <w:b w:val="0"/>
                <w:sz w:val="17"/>
              </w:rPr>
              <w:t>PI-09</w:t>
            </w:r>
          </w:p>
        </w:tc>
        <w:tc>
          <w:tcPr>
            <w:tcW w:type="dxa" w:w="6192"/>
          </w:tcPr>
          <w:p>
            <w:r/>
            <w:r>
              <w:rPr>
                <w:b w:val="0"/>
                <w:sz w:val="17"/>
              </w:rPr>
              <w:t>Se l’Identity Broker supporti l’IAM dell’ente, se possa portare claim applicativi e se il ripiego senza verifica della firma sia disattivabile.</w:t>
            </w:r>
          </w:p>
        </w:tc>
        <w:tc>
          <w:tcPr>
            <w:tcW w:type="dxa" w:w="2448"/>
          </w:tcPr>
          <w:p>
            <w:r/>
            <w:r>
              <w:rPr>
                <w:b w:val="0"/>
                <w:sz w:val="17"/>
              </w:rPr>
              <w:t>Fornitore del Broker</w:t>
            </w:r>
          </w:p>
        </w:tc>
      </w:tr>
      <w:tr>
        <w:tc>
          <w:tcPr>
            <w:tcW w:type="dxa" w:w="720"/>
          </w:tcPr>
          <w:p>
            <w:r/>
            <w:r>
              <w:rPr>
                <w:b w:val="0"/>
                <w:sz w:val="17"/>
              </w:rPr>
              <w:t>PI-10</w:t>
            </w:r>
          </w:p>
        </w:tc>
        <w:tc>
          <w:tcPr>
            <w:tcW w:type="dxa" w:w="6192"/>
          </w:tcPr>
          <w:p>
            <w:r/>
            <w:r>
              <w:rPr>
                <w:b w:val="0"/>
                <w:sz w:val="17"/>
              </w:rPr>
              <w:t>Se il professionista resti una profilazione di SIPO o diventi una rappresentanza gestita dall’IAM.</w:t>
            </w:r>
          </w:p>
        </w:tc>
        <w:tc>
          <w:tcPr>
            <w:tcW w:type="dxa" w:w="2448"/>
          </w:tcPr>
          <w:p>
            <w:r/>
            <w:r>
              <w:rPr>
                <w:b w:val="0"/>
                <w:sz w:val="17"/>
              </w:rPr>
              <w:t>Referenti SIPO</w:t>
            </w:r>
          </w:p>
        </w:tc>
      </w:tr>
      <w:tr>
        <w:tc>
          <w:tcPr>
            <w:tcW w:type="dxa" w:w="720"/>
          </w:tcPr>
          <w:p>
            <w:r/>
            <w:r>
              <w:rPr>
                <w:b w:val="0"/>
                <w:sz w:val="17"/>
              </w:rPr>
              <w:t>PI-11</w:t>
            </w:r>
          </w:p>
        </w:tc>
        <w:tc>
          <w:tcPr>
            <w:tcW w:type="dxa" w:w="6192"/>
          </w:tcPr>
          <w:p>
            <w:r/>
            <w:r>
              <w:rPr>
                <w:b w:val="0"/>
                <w:sz w:val="17"/>
              </w:rPr>
              <w:t>Chi esegue e approva la bonifica dei codici fiscali in ANAG_USR.</w:t>
            </w:r>
          </w:p>
        </w:tc>
        <w:tc>
          <w:tcPr>
            <w:tcW w:type="dxa" w:w="2448"/>
          </w:tcPr>
          <w:p>
            <w:r/>
            <w:r>
              <w:rPr>
                <w:b w:val="0"/>
                <w:sz w:val="17"/>
              </w:rPr>
              <w:t>Referenti SIPO</w:t>
            </w:r>
          </w:p>
        </w:tc>
      </w:tr>
      <w:tr>
        <w:tc>
          <w:tcPr>
            <w:tcW w:type="dxa" w:w="720"/>
          </w:tcPr>
          <w:p>
            <w:r/>
            <w:r>
              <w:rPr>
                <w:b w:val="0"/>
                <w:sz w:val="17"/>
              </w:rPr>
              <w:t>PI-12</w:t>
            </w:r>
          </w:p>
        </w:tc>
        <w:tc>
          <w:tcPr>
            <w:tcW w:type="dxa" w:w="6192"/>
          </w:tcPr>
          <w:p>
            <w:r/>
            <w:r>
              <w:rPr>
                <w:b w:val="0"/>
                <w:sz w:val="17"/>
              </w:rPr>
              <w:t>Raggiungibilità diretta degli host dei front-end e dei back-end senza passare dal proxy: decide la gravità reale di RI-01 e RI-04.</w:t>
            </w:r>
          </w:p>
        </w:tc>
        <w:tc>
          <w:tcPr>
            <w:tcW w:type="dxa" w:w="2448"/>
          </w:tcPr>
          <w:p>
            <w:r/>
            <w:r>
              <w:rPr>
                <w:b w:val="0"/>
                <w:sz w:val="17"/>
              </w:rPr>
              <w:t>Sistemi / Rete</w:t>
            </w:r>
          </w:p>
        </w:tc>
      </w:tr>
      <w:tr>
        <w:tc>
          <w:tcPr>
            <w:tcW w:type="dxa" w:w="720"/>
          </w:tcPr>
          <w:p>
            <w:r/>
            <w:r>
              <w:rPr>
                <w:b w:val="0"/>
                <w:sz w:val="17"/>
              </w:rPr>
              <w:t>PI-13</w:t>
            </w:r>
          </w:p>
        </w:tc>
        <w:tc>
          <w:tcPr>
            <w:tcW w:type="dxa" w:w="6192"/>
          </w:tcPr>
          <w:p>
            <w:r/>
            <w:r>
              <w:rPr>
                <w:b w:val="0"/>
                <w:sz w:val="17"/>
              </w:rPr>
              <w:t>Esistenza dei sinonimi o delle concessioni che rendono leggibili le utenze tecniche dallo schema dei moduli di stato civile.</w:t>
            </w:r>
          </w:p>
        </w:tc>
        <w:tc>
          <w:tcPr>
            <w:tcW w:type="dxa" w:w="2448"/>
          </w:tcPr>
          <w:p>
            <w:r/>
            <w:r>
              <w:rPr>
                <w:b w:val="0"/>
                <w:sz w:val="17"/>
              </w:rPr>
              <w:t>Base dati</w:t>
            </w:r>
          </w:p>
        </w:tc>
      </w:tr>
      <w:tr>
        <w:tc>
          <w:tcPr>
            <w:tcW w:type="dxa" w:w="720"/>
          </w:tcPr>
          <w:p>
            <w:r/>
            <w:r>
              <w:rPr>
                <w:b w:val="0"/>
                <w:sz w:val="17"/>
              </w:rPr>
              <w:t>PI-14</w:t>
            </w:r>
          </w:p>
        </w:tc>
        <w:tc>
          <w:tcPr>
            <w:tcW w:type="dxa" w:w="6192"/>
          </w:tcPr>
          <w:p>
            <w:r/>
            <w:r>
              <w:rPr>
                <w:b w:val="0"/>
                <w:sz w:val="17"/>
              </w:rPr>
              <w:t>Contenuto reale in produzione della configurazione di profilazione per l’ambito Stato Civile, assente dagli script.</w:t>
            </w:r>
          </w:p>
        </w:tc>
        <w:tc>
          <w:tcPr>
            <w:tcW w:type="dxa" w:w="2448"/>
          </w:tcPr>
          <w:p>
            <w:r/>
            <w:r>
              <w:rPr>
                <w:b w:val="0"/>
                <w:sz w:val="17"/>
              </w:rPr>
              <w:t>Base dati / Referenti</w:t>
            </w:r>
          </w:p>
        </w:tc>
      </w:tr>
      <w:tr>
        <w:tc>
          <w:tcPr>
            <w:tcW w:type="dxa" w:w="720"/>
          </w:tcPr>
          <w:p>
            <w:r/>
            <w:r>
              <w:rPr>
                <w:b w:val="0"/>
                <w:sz w:val="17"/>
              </w:rPr>
              <w:t>PI-15</w:t>
            </w:r>
          </w:p>
        </w:tc>
        <w:tc>
          <w:tcPr>
            <w:tcW w:type="dxa" w:w="6192"/>
          </w:tcPr>
          <w:p>
            <w:r/>
            <w:r>
              <w:rPr>
                <w:b w:val="0"/>
                <w:sz w:val="17"/>
              </w:rPr>
              <w:t>Sorgente del package che legge il registro delle postazioni e DDL delle tabelle che lo compongono, assenti dal repository.</w:t>
            </w:r>
          </w:p>
        </w:tc>
        <w:tc>
          <w:tcPr>
            <w:tcW w:type="dxa" w:w="2448"/>
          </w:tcPr>
          <w:p>
            <w:r/>
            <w:r>
              <w:rPr>
                <w:b w:val="0"/>
                <w:sz w:val="17"/>
              </w:rPr>
              <w:t>Base dati / Sistemi</w:t>
            </w:r>
          </w:p>
        </w:tc>
      </w:tr>
      <w:tr>
        <w:tc>
          <w:tcPr>
            <w:tcW w:type="dxa" w:w="720"/>
          </w:tcPr>
          <w:p>
            <w:r/>
            <w:r>
              <w:rPr>
                <w:b w:val="0"/>
                <w:sz w:val="17"/>
              </w:rPr>
              <w:t>PI-16</w:t>
            </w:r>
          </w:p>
        </w:tc>
        <w:tc>
          <w:tcPr>
            <w:tcW w:type="dxa" w:w="6192"/>
          </w:tcPr>
          <w:p>
            <w:r/>
            <w:r>
              <w:rPr>
                <w:b w:val="0"/>
                <w:sz w:val="17"/>
              </w:rPr>
              <w:t>Se l’indicazione dell’ambiente e la versione di build possano entrare nella cornice istituzionale dei nuovi front-end.</w:t>
            </w:r>
          </w:p>
        </w:tc>
        <w:tc>
          <w:tcPr>
            <w:tcW w:type="dxa" w:w="2448"/>
          </w:tcPr>
          <w:p>
            <w:r/>
            <w:r>
              <w:rPr>
                <w:b w:val="0"/>
                <w:sz w:val="17"/>
              </w:rPr>
              <w:t>Design system / Cliente</w:t>
            </w:r>
          </w:p>
        </w:tc>
      </w:tr>
    </w:tbl>
    <w:p>
      <w:pPr/>
      <w:r>
        <w:rPr>
          <w:b w:val="0"/>
        </w:rPr>
        <w:t xml:space="preserve">⚠️ Tre di questi non sono domande ma </w:t>
      </w:r>
      <w:r>
        <w:rPr>
          <w:b/>
        </w:rPr>
        <w:t>prerequisiti</w:t>
      </w:r>
      <w:r>
        <w:rPr>
          <w:b w:val="0"/>
        </w:rPr>
        <w:t>: senza la risposta a PI-01 non si può scrivere il verificatore del gettone; senza PI-07 non si può garantire la tracciabilità verso ANPR dopo il passaggio; senza PI-12 non si può dire quanto siano gravi i due rilievi critici della prima parte.</w:t>
      </w:r>
    </w:p>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