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Progetto</w:t>
      </w:r>
    </w:p>
    <w:p w14:paraId="71440EED" w14:textId="3A30D41E" w:rsidR="006116EA" w:rsidRDefault="006116EA" w:rsidP="006116EA">
      <w:pPr>
        <w:pStyle w:val="Title"/>
        <w:jc w:val="center"/>
        <w:rPr>
          <w:lang w:val="it-IT"/>
        </w:rPr>
      </w:pPr>
      <w:r>
        <w:rPr>
          <w:lang w:val="it-IT"/>
        </w:rPr>
        <w:t>“SIPO — Sistema Informativo dei Servizi alla Persona”</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Autenticazione e profilazione: lo stato di fatto</w:t>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r>
              <w:t>Integrazione SIPO – ANSC</w:t>
            </w: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r>
              <w:t>25/09/2026</w:t>
            </w: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r>
              <w:t>0.1</w:t>
            </w: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r>
              <w:t>ASIS_Autenticazione-Profilazione_SIPO_v0.1</w:t>
            </w: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25/09/2026</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0.1</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Tutti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Prima stesura. Ricognizione dello stato di fatto di autenticazione e profilazione in SIPO, condotta sui soli sorgenti applicativi: la catena dell’accesso, il modello dati della profilazione, i luoghi in cui il permesso è verificato, l’ambito organizzativo e il tracciamento. Quindici rilievi e otto punti aperti. Il capitolo conclusivo valuta il riuso dell’impianto per le nuove applicazioni Angular.</w:t>
            </w: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14:paraId="4B3AA062" w14:textId="240046AA" w:rsidR="00BD3F39" w:rsidRDefault="03A4E128">
          <w:pPr>
            <w:pStyle w:val="TOC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25282841" w:history="1">
            <w:r w:rsidR="00BD3F39" w:rsidRPr="00B5309A">
              <w:rPr>
                <w:rStyle w:val="Hyperlink"/>
                <w:noProof/>
                <w:lang w:val="it-IT"/>
              </w:rPr>
              <w:t>1.</w:t>
            </w:r>
            <w:r w:rsidR="00BD3F39">
              <w:rPr>
                <w:rFonts w:eastAsiaTheme="minorEastAsia"/>
                <w:noProof/>
                <w:lang w:val="it-IT" w:eastAsia="it-IT"/>
              </w:rPr>
              <w:tab/>
            </w:r>
            <w:r w:rsidR="00BD3F39" w:rsidRPr="00B5309A">
              <w:rPr>
                <w:rStyle w:val="Hyperlink"/>
                <w:noProof/>
                <w:lang w:val="it-IT"/>
              </w:rPr>
              <w:t>Scopo del documento</w:t>
            </w:r>
            <w:r w:rsidR="00BD3F39">
              <w:rPr>
                <w:noProof/>
                <w:webHidden/>
              </w:rPr>
              <w:tab/>
            </w:r>
            <w:r w:rsidR="00BD3F39">
              <w:rPr>
                <w:noProof/>
                <w:webHidden/>
              </w:rPr>
              <w:fldChar w:fldCharType="begin"/>
            </w:r>
            <w:r w:rsidR="00BD3F39">
              <w:rPr>
                <w:noProof/>
                <w:webHidden/>
              </w:rPr>
              <w:instrText xml:space="preserve"> PAGEREF _Toc225282841 \h </w:instrText>
            </w:r>
            <w:r w:rsidR="00BD3F39">
              <w:rPr>
                <w:noProof/>
                <w:webHidden/>
              </w:rPr>
            </w:r>
            <w:r w:rsidR="00BD3F39">
              <w:rPr>
                <w:noProof/>
                <w:webHidden/>
              </w:rPr>
              <w:fldChar w:fldCharType="separate"/>
            </w:r>
            <w:r w:rsidR="00BD3F39">
              <w:rPr>
                <w:noProof/>
                <w:webHidden/>
              </w:rPr>
              <w:t>6</w:t>
            </w:r>
            <w:r w:rsidR="00BD3F39">
              <w:rPr>
                <w:noProof/>
                <w:webHidden/>
              </w:rPr>
              <w:fldChar w:fldCharType="end"/>
            </w:r>
          </w:hyperlink>
        </w:p>
        <w:p w14:paraId="2327AD0A" w14:textId="58BFEDD7" w:rsidR="00BD3F39" w:rsidRDefault="00BD3F39">
          <w:pPr>
            <w:pStyle w:val="TOC2"/>
            <w:tabs>
              <w:tab w:val="left" w:pos="960"/>
              <w:tab w:val="right" w:leader="dot" w:pos="9350"/>
            </w:tabs>
            <w:rPr>
              <w:rFonts w:eastAsiaTheme="minorEastAsia"/>
              <w:noProof/>
              <w:lang w:val="it-IT" w:eastAsia="it-IT"/>
            </w:rPr>
          </w:pPr>
          <w:hyperlink w:anchor="_Toc225282842" w:history="1">
            <w:r w:rsidRPr="00B5309A">
              <w:rPr>
                <w:rStyle w:val="Hyperlink"/>
                <w:noProof/>
                <w:lang w:val="it-IT"/>
              </w:rPr>
              <w:t>1.1.</w:t>
            </w:r>
            <w:r>
              <w:rPr>
                <w:rFonts w:eastAsiaTheme="minorEastAsia"/>
                <w:noProof/>
                <w:lang w:val="it-IT" w:eastAsia="it-IT"/>
              </w:rPr>
              <w:tab/>
            </w:r>
            <w:r w:rsidRPr="00B5309A">
              <w:rPr>
                <w:rStyle w:val="Hyperlink"/>
                <w:noProof/>
                <w:lang w:val="it-IT"/>
              </w:rPr>
              <w:t>Glossario</w:t>
            </w:r>
            <w:r>
              <w:rPr>
                <w:noProof/>
                <w:webHidden/>
              </w:rPr>
              <w:tab/>
            </w:r>
            <w:r>
              <w:rPr>
                <w:noProof/>
                <w:webHidden/>
              </w:rPr>
              <w:fldChar w:fldCharType="begin"/>
            </w:r>
            <w:r>
              <w:rPr>
                <w:noProof/>
                <w:webHidden/>
              </w:rPr>
              <w:instrText xml:space="preserve"> PAGEREF _Toc225282842 \h </w:instrText>
            </w:r>
            <w:r>
              <w:rPr>
                <w:noProof/>
                <w:webHidden/>
              </w:rPr>
            </w:r>
            <w:r>
              <w:rPr>
                <w:noProof/>
                <w:webHidden/>
              </w:rPr>
              <w:fldChar w:fldCharType="separate"/>
            </w:r>
            <w:r>
              <w:rPr>
                <w:noProof/>
                <w:webHidden/>
              </w:rPr>
              <w:t>6</w:t>
            </w:r>
            <w:r>
              <w:rPr>
                <w:noProof/>
                <w:webHidden/>
              </w:rPr>
              <w:fldChar w:fldCharType="end"/>
            </w:r>
          </w:hyperlink>
        </w:p>
        <w:p w14:paraId="44261F84" w14:textId="622FF003" w:rsidR="00BD3F39" w:rsidRDefault="00BD3F39">
          <w:pPr>
            <w:pStyle w:val="TOC2"/>
            <w:tabs>
              <w:tab w:val="left" w:pos="960"/>
              <w:tab w:val="right" w:leader="dot" w:pos="9350"/>
            </w:tabs>
            <w:rPr>
              <w:rFonts w:eastAsiaTheme="minorEastAsia"/>
              <w:noProof/>
              <w:lang w:val="it-IT" w:eastAsia="it-IT"/>
            </w:rPr>
          </w:pPr>
          <w:hyperlink w:anchor="_Toc225282843" w:history="1">
            <w:r w:rsidRPr="00B5309A">
              <w:rPr>
                <w:rStyle w:val="Hyperlink"/>
                <w:noProof/>
                <w:lang w:val="it-IT"/>
              </w:rPr>
              <w:t>1.2.</w:t>
            </w:r>
            <w:r>
              <w:rPr>
                <w:rFonts w:eastAsiaTheme="minorEastAsia"/>
                <w:noProof/>
                <w:lang w:val="it-IT" w:eastAsia="it-IT"/>
              </w:rPr>
              <w:tab/>
            </w:r>
            <w:r w:rsidRPr="00B5309A">
              <w:rPr>
                <w:rStyle w:val="Hyperlink"/>
                <w:noProof/>
                <w:lang w:val="it-IT"/>
              </w:rPr>
              <w:t>Riferimenti</w:t>
            </w:r>
            <w:r>
              <w:rPr>
                <w:noProof/>
                <w:webHidden/>
              </w:rPr>
              <w:tab/>
            </w:r>
            <w:r>
              <w:rPr>
                <w:noProof/>
                <w:webHidden/>
              </w:rPr>
              <w:fldChar w:fldCharType="begin"/>
            </w:r>
            <w:r>
              <w:rPr>
                <w:noProof/>
                <w:webHidden/>
              </w:rPr>
              <w:instrText xml:space="preserve"> PAGEREF _Toc225282843 \h </w:instrText>
            </w:r>
            <w:r>
              <w:rPr>
                <w:noProof/>
                <w:webHidden/>
              </w:rPr>
            </w:r>
            <w:r>
              <w:rPr>
                <w:noProof/>
                <w:webHidden/>
              </w:rPr>
              <w:fldChar w:fldCharType="separate"/>
            </w:r>
            <w:r>
              <w:rPr>
                <w:noProof/>
                <w:webHidden/>
              </w:rPr>
              <w:t>6</w:t>
            </w:r>
            <w:r>
              <w:rPr>
                <w:noProof/>
                <w:webHidden/>
              </w:rPr>
              <w:fldChar w:fldCharType="end"/>
            </w:r>
          </w:hyperlink>
        </w:p>
        <w:p w14:paraId="0593DE5A" w14:textId="74CD005F" w:rsidR="00BD3F39" w:rsidRDefault="00BD3F39">
          <w:pPr>
            <w:pStyle w:val="TOC1"/>
            <w:tabs>
              <w:tab w:val="left" w:pos="480"/>
              <w:tab w:val="right" w:leader="dot" w:pos="9350"/>
            </w:tabs>
            <w:rPr>
              <w:rFonts w:eastAsiaTheme="minorEastAsia"/>
              <w:noProof/>
              <w:lang w:val="it-IT" w:eastAsia="it-IT"/>
            </w:rPr>
          </w:pPr>
          <w:hyperlink w:anchor="_Toc225282844" w:history="1">
            <w:r w:rsidRPr="00B5309A">
              <w:rPr>
                <w:rStyle w:val="Hyperlink"/>
                <w:noProof/>
                <w:lang w:val="it-IT"/>
              </w:rPr>
              <w:t>2.</w:t>
            </w:r>
            <w:r>
              <w:rPr>
                <w:rFonts w:eastAsiaTheme="minorEastAsia"/>
                <w:noProof/>
                <w:lang w:val="it-IT" w:eastAsia="it-IT"/>
              </w:rPr>
              <w:tab/>
            </w:r>
            <w:r w:rsidRPr="00B5309A">
              <w:rPr>
                <w:rStyle w:val="Hyperlink"/>
                <w:noProof/>
                <w:lang w:val="it-IT"/>
              </w:rPr>
              <w:t>Contesto di riferimento della Soluzione</w:t>
            </w:r>
            <w:r>
              <w:rPr>
                <w:noProof/>
                <w:webHidden/>
              </w:rPr>
              <w:tab/>
            </w:r>
            <w:r>
              <w:rPr>
                <w:noProof/>
                <w:webHidden/>
              </w:rPr>
              <w:fldChar w:fldCharType="begin"/>
            </w:r>
            <w:r>
              <w:rPr>
                <w:noProof/>
                <w:webHidden/>
              </w:rPr>
              <w:instrText xml:space="preserve"> PAGEREF _Toc225282844 \h </w:instrText>
            </w:r>
            <w:r>
              <w:rPr>
                <w:noProof/>
                <w:webHidden/>
              </w:rPr>
            </w:r>
            <w:r>
              <w:rPr>
                <w:noProof/>
                <w:webHidden/>
              </w:rPr>
              <w:fldChar w:fldCharType="separate"/>
            </w:r>
            <w:r>
              <w:rPr>
                <w:noProof/>
                <w:webHidden/>
              </w:rPr>
              <w:t>7</w:t>
            </w:r>
            <w:r>
              <w:rPr>
                <w:noProof/>
                <w:webHidden/>
              </w:rPr>
              <w:fldChar w:fldCharType="end"/>
            </w:r>
          </w:hyperlink>
        </w:p>
        <w:p w14:paraId="14C5DC8B" w14:textId="0A49687E" w:rsidR="00BD3F39" w:rsidRDefault="00BD3F39">
          <w:pPr>
            <w:pStyle w:val="TOC1"/>
            <w:tabs>
              <w:tab w:val="left" w:pos="480"/>
              <w:tab w:val="right" w:leader="dot" w:pos="9350"/>
            </w:tabs>
            <w:rPr>
              <w:rFonts w:eastAsiaTheme="minorEastAsia"/>
              <w:noProof/>
              <w:lang w:val="it-IT" w:eastAsia="it-IT"/>
            </w:rPr>
          </w:pPr>
          <w:hyperlink w:anchor="_Toc225282845" w:history="1">
            <w:r w:rsidRPr="00B5309A">
              <w:rPr>
                <w:rStyle w:val="Hyperlink"/>
                <w:noProof/>
                <w:lang w:val="it-IT"/>
              </w:rPr>
              <w:t>3.</w:t>
            </w:r>
            <w:r>
              <w:rPr>
                <w:rFonts w:eastAsiaTheme="minorEastAsia"/>
                <w:noProof/>
                <w:lang w:val="it-IT" w:eastAsia="it-IT"/>
              </w:rPr>
              <w:tab/>
            </w:r>
            <w:r w:rsidRPr="00B5309A">
              <w:rPr>
                <w:rStyle w:val="Hyperlink"/>
                <w:noProof/>
                <w:lang w:val="it-IT"/>
              </w:rPr>
              <w:t>Stakeholder</w:t>
            </w:r>
            <w:r>
              <w:rPr>
                <w:noProof/>
                <w:webHidden/>
              </w:rPr>
              <w:tab/>
            </w:r>
            <w:r>
              <w:rPr>
                <w:noProof/>
                <w:webHidden/>
              </w:rPr>
              <w:fldChar w:fldCharType="begin"/>
            </w:r>
            <w:r>
              <w:rPr>
                <w:noProof/>
                <w:webHidden/>
              </w:rPr>
              <w:instrText xml:space="preserve"> PAGEREF _Toc225282845 \h </w:instrText>
            </w:r>
            <w:r>
              <w:rPr>
                <w:noProof/>
                <w:webHidden/>
              </w:rPr>
            </w:r>
            <w:r>
              <w:rPr>
                <w:noProof/>
                <w:webHidden/>
              </w:rPr>
              <w:fldChar w:fldCharType="separate"/>
            </w:r>
            <w:r>
              <w:rPr>
                <w:noProof/>
                <w:webHidden/>
              </w:rPr>
              <w:t>8</w:t>
            </w:r>
            <w:r>
              <w:rPr>
                <w:noProof/>
                <w:webHidden/>
              </w:rPr>
              <w:fldChar w:fldCharType="end"/>
            </w:r>
          </w:hyperlink>
        </w:p>
        <w:p w14:paraId="05AA7CAB" w14:textId="04DE5D7E" w:rsidR="00BD3F39" w:rsidRDefault="00BD3F39">
          <w:pPr>
            <w:pStyle w:val="TOC2"/>
            <w:tabs>
              <w:tab w:val="left" w:pos="960"/>
              <w:tab w:val="right" w:leader="dot" w:pos="9350"/>
            </w:tabs>
            <w:rPr>
              <w:rFonts w:eastAsiaTheme="minorEastAsia"/>
              <w:noProof/>
              <w:lang w:val="it-IT" w:eastAsia="it-IT"/>
            </w:rPr>
          </w:pPr>
          <w:hyperlink w:anchor="_Toc225282846" w:history="1">
            <w:r w:rsidRPr="00B5309A">
              <w:rPr>
                <w:rStyle w:val="Hyperlink"/>
                <w:noProof/>
                <w:lang w:val="it-IT"/>
              </w:rPr>
              <w:t>3.1.</w:t>
            </w:r>
            <w:r>
              <w:rPr>
                <w:rFonts w:eastAsiaTheme="minorEastAsia"/>
                <w:noProof/>
                <w:lang w:val="it-IT" w:eastAsia="it-IT"/>
              </w:rPr>
              <w:tab/>
            </w:r>
            <w:r w:rsidRPr="00B5309A">
              <w:rPr>
                <w:rStyle w:val="Hyperlink"/>
                <w:noProof/>
                <w:lang w:val="it-IT"/>
              </w:rPr>
              <w:t>Caratteristiche di accesso per utenti interni</w:t>
            </w:r>
            <w:r>
              <w:rPr>
                <w:noProof/>
                <w:webHidden/>
              </w:rPr>
              <w:tab/>
            </w:r>
            <w:r>
              <w:rPr>
                <w:noProof/>
                <w:webHidden/>
              </w:rPr>
              <w:fldChar w:fldCharType="begin"/>
            </w:r>
            <w:r>
              <w:rPr>
                <w:noProof/>
                <w:webHidden/>
              </w:rPr>
              <w:instrText xml:space="preserve"> PAGEREF _Toc225282846 \h </w:instrText>
            </w:r>
            <w:r>
              <w:rPr>
                <w:noProof/>
                <w:webHidden/>
              </w:rPr>
            </w:r>
            <w:r>
              <w:rPr>
                <w:noProof/>
                <w:webHidden/>
              </w:rPr>
              <w:fldChar w:fldCharType="separate"/>
            </w:r>
            <w:r>
              <w:rPr>
                <w:noProof/>
                <w:webHidden/>
              </w:rPr>
              <w:t>8</w:t>
            </w:r>
            <w:r>
              <w:rPr>
                <w:noProof/>
                <w:webHidden/>
              </w:rPr>
              <w:fldChar w:fldCharType="end"/>
            </w:r>
          </w:hyperlink>
        </w:p>
        <w:p w14:paraId="787D5A20" w14:textId="06048DE4" w:rsidR="00BD3F39" w:rsidRDefault="00BD3F39">
          <w:pPr>
            <w:pStyle w:val="TOC2"/>
            <w:tabs>
              <w:tab w:val="left" w:pos="960"/>
              <w:tab w:val="right" w:leader="dot" w:pos="9350"/>
            </w:tabs>
            <w:rPr>
              <w:rFonts w:eastAsiaTheme="minorEastAsia"/>
              <w:noProof/>
              <w:lang w:val="it-IT" w:eastAsia="it-IT"/>
            </w:rPr>
          </w:pPr>
          <w:hyperlink w:anchor="_Toc225282847" w:history="1">
            <w:r w:rsidRPr="00B5309A">
              <w:rPr>
                <w:rStyle w:val="Hyperlink"/>
                <w:noProof/>
                <w:lang w:val="it-IT"/>
              </w:rPr>
              <w:t>3.2.</w:t>
            </w:r>
            <w:r>
              <w:rPr>
                <w:rFonts w:eastAsiaTheme="minorEastAsia"/>
                <w:noProof/>
                <w:lang w:val="it-IT" w:eastAsia="it-IT"/>
              </w:rPr>
              <w:tab/>
            </w:r>
            <w:r w:rsidRPr="00B5309A">
              <w:rPr>
                <w:rStyle w:val="Hyperlink"/>
                <w:noProof/>
                <w:lang w:val="it-IT"/>
              </w:rPr>
              <w:t>Caratteristiche di accesso per utenti esterni</w:t>
            </w:r>
            <w:r>
              <w:rPr>
                <w:noProof/>
                <w:webHidden/>
              </w:rPr>
              <w:tab/>
            </w:r>
            <w:r>
              <w:rPr>
                <w:noProof/>
                <w:webHidden/>
              </w:rPr>
              <w:fldChar w:fldCharType="begin"/>
            </w:r>
            <w:r>
              <w:rPr>
                <w:noProof/>
                <w:webHidden/>
              </w:rPr>
              <w:instrText xml:space="preserve"> PAGEREF _Toc225282847 \h </w:instrText>
            </w:r>
            <w:r>
              <w:rPr>
                <w:noProof/>
                <w:webHidden/>
              </w:rPr>
            </w:r>
            <w:r>
              <w:rPr>
                <w:noProof/>
                <w:webHidden/>
              </w:rPr>
              <w:fldChar w:fldCharType="separate"/>
            </w:r>
            <w:r>
              <w:rPr>
                <w:noProof/>
                <w:webHidden/>
              </w:rPr>
              <w:t>8</w:t>
            </w:r>
            <w:r>
              <w:rPr>
                <w:noProof/>
                <w:webHidden/>
              </w:rPr>
              <w:fldChar w:fldCharType="end"/>
            </w:r>
          </w:hyperlink>
        </w:p>
        <w:p w14:paraId="7BF76BB1" w14:textId="397C9479" w:rsidR="00BD3F39" w:rsidRDefault="00BD3F39">
          <w:pPr>
            <w:pStyle w:val="TOC2"/>
            <w:tabs>
              <w:tab w:val="left" w:pos="960"/>
              <w:tab w:val="right" w:leader="dot" w:pos="9350"/>
            </w:tabs>
            <w:rPr>
              <w:rFonts w:eastAsiaTheme="minorEastAsia"/>
              <w:noProof/>
              <w:lang w:val="it-IT" w:eastAsia="it-IT"/>
            </w:rPr>
          </w:pPr>
          <w:hyperlink w:anchor="_Toc225282848" w:history="1">
            <w:r w:rsidRPr="00B5309A">
              <w:rPr>
                <w:rStyle w:val="Hyperlink"/>
                <w:noProof/>
                <w:lang w:val="it-IT"/>
              </w:rPr>
              <w:t>3.3.</w:t>
            </w:r>
            <w:r>
              <w:rPr>
                <w:rFonts w:eastAsiaTheme="minorEastAsia"/>
                <w:noProof/>
                <w:lang w:val="it-IT" w:eastAsia="it-IT"/>
              </w:rPr>
              <w:tab/>
            </w:r>
            <w:r w:rsidRPr="00B5309A">
              <w:rPr>
                <w:rStyle w:val="Hyperlink"/>
                <w:noProof/>
                <w:lang w:val="it-IT"/>
              </w:rPr>
              <w:t>Criteri di riservatezza delle informazioni</w:t>
            </w:r>
            <w:r>
              <w:rPr>
                <w:noProof/>
                <w:webHidden/>
              </w:rPr>
              <w:tab/>
            </w:r>
            <w:r>
              <w:rPr>
                <w:noProof/>
                <w:webHidden/>
              </w:rPr>
              <w:fldChar w:fldCharType="begin"/>
            </w:r>
            <w:r>
              <w:rPr>
                <w:noProof/>
                <w:webHidden/>
              </w:rPr>
              <w:instrText xml:space="preserve"> PAGEREF _Toc225282848 \h </w:instrText>
            </w:r>
            <w:r>
              <w:rPr>
                <w:noProof/>
                <w:webHidden/>
              </w:rPr>
            </w:r>
            <w:r>
              <w:rPr>
                <w:noProof/>
                <w:webHidden/>
              </w:rPr>
              <w:fldChar w:fldCharType="separate"/>
            </w:r>
            <w:r>
              <w:rPr>
                <w:noProof/>
                <w:webHidden/>
              </w:rPr>
              <w:t>8</w:t>
            </w:r>
            <w:r>
              <w:rPr>
                <w:noProof/>
                <w:webHidden/>
              </w:rPr>
              <w:fldChar w:fldCharType="end"/>
            </w:r>
          </w:hyperlink>
        </w:p>
        <w:p w14:paraId="5DEB5F0F" w14:textId="162D4D82" w:rsidR="00BD3F39" w:rsidRDefault="00BD3F39">
          <w:pPr>
            <w:pStyle w:val="TOC1"/>
            <w:tabs>
              <w:tab w:val="left" w:pos="480"/>
              <w:tab w:val="right" w:leader="dot" w:pos="9350"/>
            </w:tabs>
            <w:rPr>
              <w:rFonts w:eastAsiaTheme="minorEastAsia"/>
              <w:noProof/>
              <w:lang w:val="it-IT" w:eastAsia="it-IT"/>
            </w:rPr>
          </w:pPr>
          <w:hyperlink w:anchor="_Toc225282849" w:history="1">
            <w:r w:rsidRPr="00B5309A">
              <w:rPr>
                <w:rStyle w:val="Hyperlink"/>
                <w:noProof/>
                <w:lang w:val="it-IT"/>
              </w:rPr>
              <w:t>4.</w:t>
            </w:r>
            <w:r>
              <w:rPr>
                <w:rFonts w:eastAsiaTheme="minorEastAsia"/>
                <w:noProof/>
                <w:lang w:val="it-IT" w:eastAsia="it-IT"/>
              </w:rPr>
              <w:tab/>
            </w:r>
            <w:r w:rsidRPr="00B5309A">
              <w:rPr>
                <w:rStyle w:val="Hyperlink"/>
                <w:noProof/>
              </w:rPr>
              <w:t>Ambienti e Strumenti</w:t>
            </w:r>
            <w:r>
              <w:rPr>
                <w:noProof/>
                <w:webHidden/>
              </w:rPr>
              <w:tab/>
            </w:r>
            <w:r>
              <w:rPr>
                <w:noProof/>
                <w:webHidden/>
              </w:rPr>
              <w:fldChar w:fldCharType="begin"/>
            </w:r>
            <w:r>
              <w:rPr>
                <w:noProof/>
                <w:webHidden/>
              </w:rPr>
              <w:instrText xml:space="preserve"> PAGEREF _Toc225282849 \h </w:instrText>
            </w:r>
            <w:r>
              <w:rPr>
                <w:noProof/>
                <w:webHidden/>
              </w:rPr>
            </w:r>
            <w:r>
              <w:rPr>
                <w:noProof/>
                <w:webHidden/>
              </w:rPr>
              <w:fldChar w:fldCharType="separate"/>
            </w:r>
            <w:r>
              <w:rPr>
                <w:noProof/>
                <w:webHidden/>
              </w:rPr>
              <w:t>9</w:t>
            </w:r>
            <w:r>
              <w:rPr>
                <w:noProof/>
                <w:webHidden/>
              </w:rPr>
              <w:fldChar w:fldCharType="end"/>
            </w:r>
          </w:hyperlink>
        </w:p>
        <w:p w14:paraId="29AAA2BC" w14:textId="0E69CFC9" w:rsidR="00BD3F39" w:rsidRDefault="00BD3F39">
          <w:pPr>
            <w:pStyle w:val="TOC2"/>
            <w:tabs>
              <w:tab w:val="left" w:pos="960"/>
              <w:tab w:val="right" w:leader="dot" w:pos="9350"/>
            </w:tabs>
            <w:rPr>
              <w:rFonts w:eastAsiaTheme="minorEastAsia"/>
              <w:noProof/>
              <w:lang w:val="it-IT" w:eastAsia="it-IT"/>
            </w:rPr>
          </w:pPr>
          <w:hyperlink w:anchor="_Toc225282850" w:history="1">
            <w:r w:rsidRPr="00B5309A">
              <w:rPr>
                <w:rStyle w:val="Hyperlink"/>
                <w:noProof/>
                <w:lang w:val="it-IT"/>
              </w:rPr>
              <w:t>4.1.</w:t>
            </w:r>
            <w:r>
              <w:rPr>
                <w:rFonts w:eastAsiaTheme="minorEastAsia"/>
                <w:noProof/>
                <w:lang w:val="it-IT" w:eastAsia="it-IT"/>
              </w:rPr>
              <w:tab/>
            </w:r>
            <w:r w:rsidRPr="00B5309A">
              <w:rPr>
                <w:rStyle w:val="Hyperlink"/>
                <w:noProof/>
                <w:lang w:val="it-IT"/>
              </w:rPr>
              <w:t>Database</w:t>
            </w:r>
            <w:r>
              <w:rPr>
                <w:noProof/>
                <w:webHidden/>
              </w:rPr>
              <w:tab/>
            </w:r>
            <w:r>
              <w:rPr>
                <w:noProof/>
                <w:webHidden/>
              </w:rPr>
              <w:fldChar w:fldCharType="begin"/>
            </w:r>
            <w:r>
              <w:rPr>
                <w:noProof/>
                <w:webHidden/>
              </w:rPr>
              <w:instrText xml:space="preserve"> PAGEREF _Toc225282850 \h </w:instrText>
            </w:r>
            <w:r>
              <w:rPr>
                <w:noProof/>
                <w:webHidden/>
              </w:rPr>
            </w:r>
            <w:r>
              <w:rPr>
                <w:noProof/>
                <w:webHidden/>
              </w:rPr>
              <w:fldChar w:fldCharType="separate"/>
            </w:r>
            <w:r>
              <w:rPr>
                <w:noProof/>
                <w:webHidden/>
              </w:rPr>
              <w:t>9</w:t>
            </w:r>
            <w:r>
              <w:rPr>
                <w:noProof/>
                <w:webHidden/>
              </w:rPr>
              <w:fldChar w:fldCharType="end"/>
            </w:r>
          </w:hyperlink>
        </w:p>
        <w:p w14:paraId="1231C970" w14:textId="35DA5E23" w:rsidR="00BD3F39" w:rsidRDefault="00BD3F39">
          <w:pPr>
            <w:pStyle w:val="TOC2"/>
            <w:tabs>
              <w:tab w:val="left" w:pos="960"/>
              <w:tab w:val="right" w:leader="dot" w:pos="9350"/>
            </w:tabs>
            <w:rPr>
              <w:rFonts w:eastAsiaTheme="minorEastAsia"/>
              <w:noProof/>
              <w:lang w:val="it-IT" w:eastAsia="it-IT"/>
            </w:rPr>
          </w:pPr>
          <w:hyperlink w:anchor="_Toc225282851" w:history="1">
            <w:r w:rsidRPr="00B5309A">
              <w:rPr>
                <w:rStyle w:val="Hyperlink"/>
                <w:noProof/>
                <w:lang w:val="it-IT"/>
              </w:rPr>
              <w:t>4.2.</w:t>
            </w:r>
            <w:r>
              <w:rPr>
                <w:rFonts w:eastAsiaTheme="minorEastAsia"/>
                <w:noProof/>
                <w:lang w:val="it-IT" w:eastAsia="it-IT"/>
              </w:rPr>
              <w:tab/>
            </w:r>
            <w:r w:rsidRPr="00B5309A">
              <w:rPr>
                <w:rStyle w:val="Hyperlink"/>
                <w:noProof/>
                <w:lang w:val="it-IT"/>
              </w:rPr>
              <w:t>Progetto GitLab</w:t>
            </w:r>
            <w:r>
              <w:rPr>
                <w:noProof/>
                <w:webHidden/>
              </w:rPr>
              <w:tab/>
            </w:r>
            <w:r>
              <w:rPr>
                <w:noProof/>
                <w:webHidden/>
              </w:rPr>
              <w:fldChar w:fldCharType="begin"/>
            </w:r>
            <w:r>
              <w:rPr>
                <w:noProof/>
                <w:webHidden/>
              </w:rPr>
              <w:instrText xml:space="preserve"> PAGEREF _Toc225282851 \h </w:instrText>
            </w:r>
            <w:r>
              <w:rPr>
                <w:noProof/>
                <w:webHidden/>
              </w:rPr>
            </w:r>
            <w:r>
              <w:rPr>
                <w:noProof/>
                <w:webHidden/>
              </w:rPr>
              <w:fldChar w:fldCharType="separate"/>
            </w:r>
            <w:r>
              <w:rPr>
                <w:noProof/>
                <w:webHidden/>
              </w:rPr>
              <w:t>9</w:t>
            </w:r>
            <w:r>
              <w:rPr>
                <w:noProof/>
                <w:webHidden/>
              </w:rPr>
              <w:fldChar w:fldCharType="end"/>
            </w:r>
          </w:hyperlink>
        </w:p>
        <w:p w14:paraId="1B097793" w14:textId="3F0542F4" w:rsidR="00BD3F39" w:rsidRDefault="00BD3F39">
          <w:pPr>
            <w:pStyle w:val="TOC2"/>
            <w:tabs>
              <w:tab w:val="left" w:pos="960"/>
              <w:tab w:val="right" w:leader="dot" w:pos="9350"/>
            </w:tabs>
            <w:rPr>
              <w:rFonts w:eastAsiaTheme="minorEastAsia"/>
              <w:noProof/>
              <w:lang w:val="it-IT" w:eastAsia="it-IT"/>
            </w:rPr>
          </w:pPr>
          <w:hyperlink w:anchor="_Toc225282852" w:history="1">
            <w:r w:rsidRPr="00B5309A">
              <w:rPr>
                <w:rStyle w:val="Hyperlink"/>
                <w:noProof/>
                <w:lang w:val="it-IT"/>
              </w:rPr>
              <w:t>4.3.</w:t>
            </w:r>
            <w:r>
              <w:rPr>
                <w:rFonts w:eastAsiaTheme="minorEastAsia"/>
                <w:noProof/>
                <w:lang w:val="it-IT" w:eastAsia="it-IT"/>
              </w:rPr>
              <w:tab/>
            </w:r>
            <w:r w:rsidRPr="00B5309A">
              <w:rPr>
                <w:rStyle w:val="Hyperlink"/>
                <w:noProof/>
                <w:lang w:val="it-IT"/>
              </w:rPr>
              <w:t>Tecnologie Utilizzate</w:t>
            </w:r>
            <w:r>
              <w:rPr>
                <w:noProof/>
                <w:webHidden/>
              </w:rPr>
              <w:tab/>
            </w:r>
            <w:r>
              <w:rPr>
                <w:noProof/>
                <w:webHidden/>
              </w:rPr>
              <w:fldChar w:fldCharType="begin"/>
            </w:r>
            <w:r>
              <w:rPr>
                <w:noProof/>
                <w:webHidden/>
              </w:rPr>
              <w:instrText xml:space="preserve"> PAGEREF _Toc225282852 \h </w:instrText>
            </w:r>
            <w:r>
              <w:rPr>
                <w:noProof/>
                <w:webHidden/>
              </w:rPr>
            </w:r>
            <w:r>
              <w:rPr>
                <w:noProof/>
                <w:webHidden/>
              </w:rPr>
              <w:fldChar w:fldCharType="separate"/>
            </w:r>
            <w:r>
              <w:rPr>
                <w:noProof/>
                <w:webHidden/>
              </w:rPr>
              <w:t>9</w:t>
            </w:r>
            <w:r>
              <w:rPr>
                <w:noProof/>
                <w:webHidden/>
              </w:rPr>
              <w:fldChar w:fldCharType="end"/>
            </w:r>
          </w:hyperlink>
        </w:p>
        <w:p w14:paraId="553D0A7B" w14:textId="6A92EC68" w:rsidR="00BD3F39" w:rsidRDefault="00BD3F39">
          <w:pPr>
            <w:pStyle w:val="TOC2"/>
            <w:tabs>
              <w:tab w:val="left" w:pos="960"/>
              <w:tab w:val="right" w:leader="dot" w:pos="9350"/>
            </w:tabs>
            <w:rPr>
              <w:rFonts w:eastAsiaTheme="minorEastAsia"/>
              <w:noProof/>
              <w:lang w:val="it-IT" w:eastAsia="it-IT"/>
            </w:rPr>
          </w:pPr>
          <w:hyperlink w:anchor="_Toc225282853" w:history="1">
            <w:r w:rsidRPr="00B5309A">
              <w:rPr>
                <w:rStyle w:val="Hyperlink"/>
                <w:noProof/>
              </w:rPr>
              <w:t>4.4.</w:t>
            </w:r>
            <w:r>
              <w:rPr>
                <w:rFonts w:eastAsiaTheme="minorEastAsia"/>
                <w:noProof/>
                <w:lang w:val="it-IT" w:eastAsia="it-IT"/>
              </w:rPr>
              <w:tab/>
            </w:r>
            <w:r w:rsidRPr="00B5309A">
              <w:rPr>
                <w:rStyle w:val="Hyperlink"/>
                <w:noProof/>
              </w:rPr>
              <w:t>Ambiente Power BI</w:t>
            </w:r>
            <w:r>
              <w:rPr>
                <w:noProof/>
                <w:webHidden/>
              </w:rPr>
              <w:tab/>
            </w:r>
            <w:r>
              <w:rPr>
                <w:noProof/>
                <w:webHidden/>
              </w:rPr>
              <w:fldChar w:fldCharType="begin"/>
            </w:r>
            <w:r>
              <w:rPr>
                <w:noProof/>
                <w:webHidden/>
              </w:rPr>
              <w:instrText xml:space="preserve"> PAGEREF _Toc225282853 \h </w:instrText>
            </w:r>
            <w:r>
              <w:rPr>
                <w:noProof/>
                <w:webHidden/>
              </w:rPr>
            </w:r>
            <w:r>
              <w:rPr>
                <w:noProof/>
                <w:webHidden/>
              </w:rPr>
              <w:fldChar w:fldCharType="separate"/>
            </w:r>
            <w:r>
              <w:rPr>
                <w:noProof/>
                <w:webHidden/>
              </w:rPr>
              <w:t>9</w:t>
            </w:r>
            <w:r>
              <w:rPr>
                <w:noProof/>
                <w:webHidden/>
              </w:rPr>
              <w:fldChar w:fldCharType="end"/>
            </w:r>
          </w:hyperlink>
        </w:p>
        <w:p w14:paraId="21C806D9" w14:textId="6C1C0449" w:rsidR="00BD3F39" w:rsidRDefault="00BD3F39">
          <w:pPr>
            <w:pStyle w:val="TOC1"/>
            <w:tabs>
              <w:tab w:val="left" w:pos="480"/>
              <w:tab w:val="right" w:leader="dot" w:pos="9350"/>
            </w:tabs>
            <w:rPr>
              <w:rFonts w:eastAsiaTheme="minorEastAsia"/>
              <w:noProof/>
              <w:lang w:val="it-IT" w:eastAsia="it-IT"/>
            </w:rPr>
          </w:pPr>
          <w:hyperlink w:anchor="_Toc225282854" w:history="1">
            <w:r w:rsidRPr="00B5309A">
              <w:rPr>
                <w:rStyle w:val="Hyperlink"/>
                <w:noProof/>
                <w:lang w:val="it-IT"/>
              </w:rPr>
              <w:t>5.</w:t>
            </w:r>
            <w:r>
              <w:rPr>
                <w:rFonts w:eastAsiaTheme="minorEastAsia"/>
                <w:noProof/>
                <w:lang w:val="it-IT" w:eastAsia="it-IT"/>
              </w:rPr>
              <w:tab/>
            </w:r>
            <w:r w:rsidRPr="00B5309A">
              <w:rPr>
                <w:rStyle w:val="Hyperlink"/>
                <w:noProof/>
                <w:lang w:val="it-IT"/>
              </w:rPr>
              <w:t>Architettura di Riferimento della Soluzione</w:t>
            </w:r>
            <w:r>
              <w:rPr>
                <w:noProof/>
                <w:webHidden/>
              </w:rPr>
              <w:tab/>
            </w:r>
            <w:r>
              <w:rPr>
                <w:noProof/>
                <w:webHidden/>
              </w:rPr>
              <w:fldChar w:fldCharType="begin"/>
            </w:r>
            <w:r>
              <w:rPr>
                <w:noProof/>
                <w:webHidden/>
              </w:rPr>
              <w:instrText xml:space="preserve"> PAGEREF _Toc225282854 \h </w:instrText>
            </w:r>
            <w:r>
              <w:rPr>
                <w:noProof/>
                <w:webHidden/>
              </w:rPr>
            </w:r>
            <w:r>
              <w:rPr>
                <w:noProof/>
                <w:webHidden/>
              </w:rPr>
              <w:fldChar w:fldCharType="separate"/>
            </w:r>
            <w:r>
              <w:rPr>
                <w:noProof/>
                <w:webHidden/>
              </w:rPr>
              <w:t>10</w:t>
            </w:r>
            <w:r>
              <w:rPr>
                <w:noProof/>
                <w:webHidden/>
              </w:rPr>
              <w:fldChar w:fldCharType="end"/>
            </w:r>
          </w:hyperlink>
        </w:p>
        <w:p w14:paraId="11BB7778" w14:textId="0BBEB25B" w:rsidR="00BD3F39" w:rsidRDefault="00BD3F39">
          <w:pPr>
            <w:pStyle w:val="TOC1"/>
            <w:tabs>
              <w:tab w:val="left" w:pos="480"/>
              <w:tab w:val="right" w:leader="dot" w:pos="9350"/>
            </w:tabs>
            <w:rPr>
              <w:rFonts w:eastAsiaTheme="minorEastAsia"/>
              <w:noProof/>
              <w:lang w:val="it-IT" w:eastAsia="it-IT"/>
            </w:rPr>
          </w:pPr>
          <w:hyperlink w:anchor="_Toc225282855" w:history="1">
            <w:r w:rsidRPr="00B5309A">
              <w:rPr>
                <w:rStyle w:val="Hyperlink"/>
                <w:noProof/>
                <w:lang w:val="it-IT"/>
              </w:rPr>
              <w:t>6.</w:t>
            </w:r>
            <w:r>
              <w:rPr>
                <w:rFonts w:eastAsiaTheme="minorEastAsia"/>
                <w:noProof/>
                <w:lang w:val="it-IT" w:eastAsia="it-IT"/>
              </w:rPr>
              <w:tab/>
            </w:r>
            <w:r w:rsidRPr="00B5309A">
              <w:rPr>
                <w:rStyle w:val="Hyperlink"/>
                <w:noProof/>
              </w:rPr>
              <w:t>Flussi informativi in uscita</w:t>
            </w:r>
            <w:r>
              <w:rPr>
                <w:noProof/>
                <w:webHidden/>
              </w:rPr>
              <w:tab/>
            </w:r>
            <w:r>
              <w:rPr>
                <w:noProof/>
                <w:webHidden/>
              </w:rPr>
              <w:fldChar w:fldCharType="begin"/>
            </w:r>
            <w:r>
              <w:rPr>
                <w:noProof/>
                <w:webHidden/>
              </w:rPr>
              <w:instrText xml:space="preserve"> PAGEREF _Toc225282855 \h </w:instrText>
            </w:r>
            <w:r>
              <w:rPr>
                <w:noProof/>
                <w:webHidden/>
              </w:rPr>
            </w:r>
            <w:r>
              <w:rPr>
                <w:noProof/>
                <w:webHidden/>
              </w:rPr>
              <w:fldChar w:fldCharType="separate"/>
            </w:r>
            <w:r>
              <w:rPr>
                <w:noProof/>
                <w:webHidden/>
              </w:rPr>
              <w:t>10</w:t>
            </w:r>
            <w:r>
              <w:rPr>
                <w:noProof/>
                <w:webHidden/>
              </w:rPr>
              <w:fldChar w:fldCharType="end"/>
            </w:r>
          </w:hyperlink>
        </w:p>
        <w:p w14:paraId="5FE2F8C1" w14:textId="2E3B26B1" w:rsidR="00BD3F39" w:rsidRDefault="00BD3F39">
          <w:pPr>
            <w:pStyle w:val="TOC1"/>
            <w:tabs>
              <w:tab w:val="left" w:pos="480"/>
              <w:tab w:val="right" w:leader="dot" w:pos="9350"/>
            </w:tabs>
            <w:rPr>
              <w:rFonts w:eastAsiaTheme="minorEastAsia"/>
              <w:noProof/>
              <w:lang w:val="it-IT" w:eastAsia="it-IT"/>
            </w:rPr>
          </w:pPr>
          <w:hyperlink w:anchor="_Toc225282856" w:history="1">
            <w:r w:rsidRPr="00B5309A">
              <w:rPr>
                <w:rStyle w:val="Hyperlink"/>
                <w:noProof/>
                <w:lang w:val="it-IT"/>
              </w:rPr>
              <w:t>7.</w:t>
            </w:r>
            <w:r>
              <w:rPr>
                <w:rFonts w:eastAsiaTheme="minorEastAsia"/>
                <w:noProof/>
                <w:lang w:val="it-IT" w:eastAsia="it-IT"/>
              </w:rPr>
              <w:tab/>
            </w:r>
            <w:r w:rsidRPr="00B5309A">
              <w:rPr>
                <w:rStyle w:val="Hyperlink"/>
                <w:noProof/>
              </w:rPr>
              <w:t>Modello di dati</w:t>
            </w:r>
            <w:r>
              <w:rPr>
                <w:noProof/>
                <w:webHidden/>
              </w:rPr>
              <w:tab/>
            </w:r>
            <w:r>
              <w:rPr>
                <w:noProof/>
                <w:webHidden/>
              </w:rPr>
              <w:fldChar w:fldCharType="begin"/>
            </w:r>
            <w:r>
              <w:rPr>
                <w:noProof/>
                <w:webHidden/>
              </w:rPr>
              <w:instrText xml:space="preserve"> PAGEREF _Toc225282856 \h </w:instrText>
            </w:r>
            <w:r>
              <w:rPr>
                <w:noProof/>
                <w:webHidden/>
              </w:rPr>
            </w:r>
            <w:r>
              <w:rPr>
                <w:noProof/>
                <w:webHidden/>
              </w:rPr>
              <w:fldChar w:fldCharType="separate"/>
            </w:r>
            <w:r>
              <w:rPr>
                <w:noProof/>
                <w:webHidden/>
              </w:rPr>
              <w:t>10</w:t>
            </w:r>
            <w:r>
              <w:rPr>
                <w:noProof/>
                <w:webHidden/>
              </w:rPr>
              <w:fldChar w:fldCharType="end"/>
            </w:r>
          </w:hyperlink>
        </w:p>
        <w:p w14:paraId="216DECDD" w14:textId="1EBDB3AE" w:rsidR="00BD3F39" w:rsidRDefault="00BD3F39">
          <w:pPr>
            <w:pStyle w:val="TOC2"/>
            <w:tabs>
              <w:tab w:val="left" w:pos="960"/>
              <w:tab w:val="right" w:leader="dot" w:pos="9350"/>
            </w:tabs>
            <w:rPr>
              <w:rFonts w:eastAsiaTheme="minorEastAsia"/>
              <w:noProof/>
              <w:lang w:val="it-IT" w:eastAsia="it-IT"/>
            </w:rPr>
          </w:pPr>
          <w:hyperlink w:anchor="_Toc225282857" w:history="1">
            <w:r w:rsidRPr="00B5309A">
              <w:rPr>
                <w:rStyle w:val="Hyperlink"/>
                <w:noProof/>
                <w:lang w:val="it-IT"/>
              </w:rPr>
              <w:t>7.1.</w:t>
            </w:r>
            <w:r>
              <w:rPr>
                <w:rFonts w:eastAsiaTheme="minorEastAsia"/>
                <w:noProof/>
                <w:lang w:val="it-IT" w:eastAsia="it-IT"/>
              </w:rPr>
              <w:tab/>
            </w:r>
            <w:r w:rsidRPr="00B5309A">
              <w:rPr>
                <w:rStyle w:val="Hyperlink"/>
                <w:noProof/>
                <w:lang w:val="it-IT"/>
              </w:rPr>
              <w:t>Schemi del modello dati</w:t>
            </w:r>
            <w:r>
              <w:rPr>
                <w:noProof/>
                <w:webHidden/>
              </w:rPr>
              <w:tab/>
            </w:r>
            <w:r>
              <w:rPr>
                <w:noProof/>
                <w:webHidden/>
              </w:rPr>
              <w:fldChar w:fldCharType="begin"/>
            </w:r>
            <w:r>
              <w:rPr>
                <w:noProof/>
                <w:webHidden/>
              </w:rPr>
              <w:instrText xml:space="preserve"> PAGEREF _Toc225282857 \h </w:instrText>
            </w:r>
            <w:r>
              <w:rPr>
                <w:noProof/>
                <w:webHidden/>
              </w:rPr>
            </w:r>
            <w:r>
              <w:rPr>
                <w:noProof/>
                <w:webHidden/>
              </w:rPr>
              <w:fldChar w:fldCharType="separate"/>
            </w:r>
            <w:r>
              <w:rPr>
                <w:noProof/>
                <w:webHidden/>
              </w:rPr>
              <w:t>10</w:t>
            </w:r>
            <w:r>
              <w:rPr>
                <w:noProof/>
                <w:webHidden/>
              </w:rPr>
              <w:fldChar w:fldCharType="end"/>
            </w:r>
          </w:hyperlink>
        </w:p>
        <w:p w14:paraId="1124B194" w14:textId="7893F544" w:rsidR="00BD3F39" w:rsidRDefault="00BD3F39">
          <w:pPr>
            <w:pStyle w:val="TOC2"/>
            <w:tabs>
              <w:tab w:val="left" w:pos="960"/>
              <w:tab w:val="right" w:leader="dot" w:pos="9350"/>
            </w:tabs>
            <w:rPr>
              <w:rFonts w:eastAsiaTheme="minorEastAsia"/>
              <w:noProof/>
              <w:lang w:val="it-IT" w:eastAsia="it-IT"/>
            </w:rPr>
          </w:pPr>
          <w:hyperlink w:anchor="_Toc225282858" w:history="1">
            <w:r w:rsidRPr="00B5309A">
              <w:rPr>
                <w:rStyle w:val="Hyperlink"/>
                <w:noProof/>
                <w:lang w:val="it-IT"/>
              </w:rPr>
              <w:t>7.2.</w:t>
            </w:r>
            <w:r>
              <w:rPr>
                <w:rFonts w:eastAsiaTheme="minorEastAsia"/>
                <w:noProof/>
                <w:lang w:val="it-IT" w:eastAsia="it-IT"/>
              </w:rPr>
              <w:tab/>
            </w:r>
            <w:r w:rsidRPr="00B5309A">
              <w:rPr>
                <w:rStyle w:val="Hyperlink"/>
                <w:noProof/>
                <w:lang w:val="it-IT"/>
              </w:rPr>
              <w:t>Dizionario Dati</w:t>
            </w:r>
            <w:r>
              <w:rPr>
                <w:noProof/>
                <w:webHidden/>
              </w:rPr>
              <w:tab/>
            </w:r>
            <w:r>
              <w:rPr>
                <w:noProof/>
                <w:webHidden/>
              </w:rPr>
              <w:fldChar w:fldCharType="begin"/>
            </w:r>
            <w:r>
              <w:rPr>
                <w:noProof/>
                <w:webHidden/>
              </w:rPr>
              <w:instrText xml:space="preserve"> PAGEREF _Toc225282858 \h </w:instrText>
            </w:r>
            <w:r>
              <w:rPr>
                <w:noProof/>
                <w:webHidden/>
              </w:rPr>
            </w:r>
            <w:r>
              <w:rPr>
                <w:noProof/>
                <w:webHidden/>
              </w:rPr>
              <w:fldChar w:fldCharType="separate"/>
            </w:r>
            <w:r>
              <w:rPr>
                <w:noProof/>
                <w:webHidden/>
              </w:rPr>
              <w:t>11</w:t>
            </w:r>
            <w:r>
              <w:rPr>
                <w:noProof/>
                <w:webHidden/>
              </w:rPr>
              <w:fldChar w:fldCharType="end"/>
            </w:r>
          </w:hyperlink>
        </w:p>
        <w:p w14:paraId="47BD45B2" w14:textId="184F5171" w:rsidR="00BD3F39" w:rsidRDefault="00BD3F39">
          <w:pPr>
            <w:pStyle w:val="TOC2"/>
            <w:tabs>
              <w:tab w:val="left" w:pos="960"/>
              <w:tab w:val="right" w:leader="dot" w:pos="9350"/>
            </w:tabs>
            <w:rPr>
              <w:rFonts w:eastAsiaTheme="minorEastAsia"/>
              <w:noProof/>
              <w:lang w:val="it-IT" w:eastAsia="it-IT"/>
            </w:rPr>
          </w:pPr>
          <w:hyperlink w:anchor="_Toc225282859" w:history="1">
            <w:r w:rsidRPr="00B5309A">
              <w:rPr>
                <w:rStyle w:val="Hyperlink"/>
                <w:noProof/>
                <w:lang w:val="it-IT"/>
              </w:rPr>
              <w:t>7.3.</w:t>
            </w:r>
            <w:r>
              <w:rPr>
                <w:rFonts w:eastAsiaTheme="minorEastAsia"/>
                <w:noProof/>
                <w:lang w:val="it-IT" w:eastAsia="it-IT"/>
              </w:rPr>
              <w:tab/>
            </w:r>
            <w:r w:rsidRPr="00B5309A">
              <w:rPr>
                <w:rStyle w:val="Hyperlink"/>
                <w:noProof/>
                <w:lang w:val="it-IT"/>
              </w:rPr>
              <w:t>Entità primarie</w:t>
            </w:r>
            <w:r>
              <w:rPr>
                <w:noProof/>
                <w:webHidden/>
              </w:rPr>
              <w:tab/>
            </w:r>
            <w:r>
              <w:rPr>
                <w:noProof/>
                <w:webHidden/>
              </w:rPr>
              <w:fldChar w:fldCharType="begin"/>
            </w:r>
            <w:r>
              <w:rPr>
                <w:noProof/>
                <w:webHidden/>
              </w:rPr>
              <w:instrText xml:space="preserve"> PAGEREF _Toc225282859 \h </w:instrText>
            </w:r>
            <w:r>
              <w:rPr>
                <w:noProof/>
                <w:webHidden/>
              </w:rPr>
            </w:r>
            <w:r>
              <w:rPr>
                <w:noProof/>
                <w:webHidden/>
              </w:rPr>
              <w:fldChar w:fldCharType="separate"/>
            </w:r>
            <w:r>
              <w:rPr>
                <w:noProof/>
                <w:webHidden/>
              </w:rPr>
              <w:t>11</w:t>
            </w:r>
            <w:r>
              <w:rPr>
                <w:noProof/>
                <w:webHidden/>
              </w:rPr>
              <w:fldChar w:fldCharType="end"/>
            </w:r>
          </w:hyperlink>
        </w:p>
        <w:p w14:paraId="432789B7" w14:textId="723D7A98" w:rsidR="00BD3F39" w:rsidRDefault="00BD3F39">
          <w:pPr>
            <w:pStyle w:val="TOC1"/>
            <w:tabs>
              <w:tab w:val="left" w:pos="480"/>
              <w:tab w:val="right" w:leader="dot" w:pos="9350"/>
            </w:tabs>
            <w:rPr>
              <w:rFonts w:eastAsiaTheme="minorEastAsia"/>
              <w:noProof/>
              <w:lang w:val="it-IT" w:eastAsia="it-IT"/>
            </w:rPr>
          </w:pPr>
          <w:hyperlink w:anchor="_Toc225282860" w:history="1">
            <w:r w:rsidRPr="00B5309A">
              <w:rPr>
                <w:rStyle w:val="Hyperlink"/>
                <w:noProof/>
                <w:lang w:val="it-IT"/>
              </w:rPr>
              <w:t>8.</w:t>
            </w:r>
            <w:r>
              <w:rPr>
                <w:rFonts w:eastAsiaTheme="minorEastAsia"/>
                <w:noProof/>
                <w:lang w:val="it-IT" w:eastAsia="it-IT"/>
              </w:rPr>
              <w:tab/>
            </w:r>
            <w:r w:rsidRPr="00B5309A">
              <w:rPr>
                <w:rStyle w:val="Hyperlink"/>
                <w:noProof/>
              </w:rPr>
              <w:t>Ambiente e Processi</w:t>
            </w:r>
            <w:r>
              <w:rPr>
                <w:noProof/>
                <w:webHidden/>
              </w:rPr>
              <w:tab/>
            </w:r>
            <w:r>
              <w:rPr>
                <w:noProof/>
                <w:webHidden/>
              </w:rPr>
              <w:fldChar w:fldCharType="begin"/>
            </w:r>
            <w:r>
              <w:rPr>
                <w:noProof/>
                <w:webHidden/>
              </w:rPr>
              <w:instrText xml:space="preserve"> PAGEREF _Toc225282860 \h </w:instrText>
            </w:r>
            <w:r>
              <w:rPr>
                <w:noProof/>
                <w:webHidden/>
              </w:rPr>
            </w:r>
            <w:r>
              <w:rPr>
                <w:noProof/>
                <w:webHidden/>
              </w:rPr>
              <w:fldChar w:fldCharType="separate"/>
            </w:r>
            <w:r>
              <w:rPr>
                <w:noProof/>
                <w:webHidden/>
              </w:rPr>
              <w:t>11</w:t>
            </w:r>
            <w:r>
              <w:rPr>
                <w:noProof/>
                <w:webHidden/>
              </w:rPr>
              <w:fldChar w:fldCharType="end"/>
            </w:r>
          </w:hyperlink>
        </w:p>
        <w:p w14:paraId="5EDB1954" w14:textId="62E5EB6E" w:rsidR="00BD3F39" w:rsidRDefault="00BD3F39">
          <w:pPr>
            <w:pStyle w:val="TOC2"/>
            <w:tabs>
              <w:tab w:val="left" w:pos="960"/>
              <w:tab w:val="right" w:leader="dot" w:pos="9350"/>
            </w:tabs>
            <w:rPr>
              <w:rFonts w:eastAsiaTheme="minorEastAsia"/>
              <w:noProof/>
              <w:lang w:val="it-IT" w:eastAsia="it-IT"/>
            </w:rPr>
          </w:pPr>
          <w:hyperlink w:anchor="_Toc225282861" w:history="1">
            <w:r w:rsidRPr="00B5309A">
              <w:rPr>
                <w:rStyle w:val="Hyperlink"/>
                <w:noProof/>
              </w:rPr>
              <w:t>8.1.</w:t>
            </w:r>
            <w:r>
              <w:rPr>
                <w:rFonts w:eastAsiaTheme="minorEastAsia"/>
                <w:noProof/>
                <w:lang w:val="it-IT" w:eastAsia="it-IT"/>
              </w:rPr>
              <w:tab/>
            </w:r>
            <w:r w:rsidRPr="00B5309A">
              <w:rPr>
                <w:rStyle w:val="Hyperlink"/>
                <w:noProof/>
              </w:rPr>
              <w:t>Analisi delle fonti</w:t>
            </w:r>
            <w:r>
              <w:rPr>
                <w:noProof/>
                <w:webHidden/>
              </w:rPr>
              <w:tab/>
            </w:r>
            <w:r>
              <w:rPr>
                <w:noProof/>
                <w:webHidden/>
              </w:rPr>
              <w:fldChar w:fldCharType="begin"/>
            </w:r>
            <w:r>
              <w:rPr>
                <w:noProof/>
                <w:webHidden/>
              </w:rPr>
              <w:instrText xml:space="preserve"> PAGEREF _Toc225282861 \h </w:instrText>
            </w:r>
            <w:r>
              <w:rPr>
                <w:noProof/>
                <w:webHidden/>
              </w:rPr>
            </w:r>
            <w:r>
              <w:rPr>
                <w:noProof/>
                <w:webHidden/>
              </w:rPr>
              <w:fldChar w:fldCharType="separate"/>
            </w:r>
            <w:r>
              <w:rPr>
                <w:noProof/>
                <w:webHidden/>
              </w:rPr>
              <w:t>11</w:t>
            </w:r>
            <w:r>
              <w:rPr>
                <w:noProof/>
                <w:webHidden/>
              </w:rPr>
              <w:fldChar w:fldCharType="end"/>
            </w:r>
          </w:hyperlink>
        </w:p>
        <w:p w14:paraId="1667A248" w14:textId="0B1C7B23" w:rsidR="00BD3F39" w:rsidRDefault="00BD3F39">
          <w:pPr>
            <w:pStyle w:val="TOC2"/>
            <w:tabs>
              <w:tab w:val="left" w:pos="960"/>
              <w:tab w:val="right" w:leader="dot" w:pos="9350"/>
            </w:tabs>
            <w:rPr>
              <w:rFonts w:eastAsiaTheme="minorEastAsia"/>
              <w:noProof/>
              <w:lang w:val="it-IT" w:eastAsia="it-IT"/>
            </w:rPr>
          </w:pPr>
          <w:hyperlink w:anchor="_Toc225282862" w:history="1">
            <w:r w:rsidRPr="00B5309A">
              <w:rPr>
                <w:rStyle w:val="Hyperlink"/>
                <w:noProof/>
              </w:rPr>
              <w:t>8.2.</w:t>
            </w:r>
            <w:r>
              <w:rPr>
                <w:rFonts w:eastAsiaTheme="minorEastAsia"/>
                <w:noProof/>
                <w:lang w:val="it-IT" w:eastAsia="it-IT"/>
              </w:rPr>
              <w:tab/>
            </w:r>
            <w:r w:rsidRPr="00B5309A">
              <w:rPr>
                <w:rStyle w:val="Hyperlink"/>
                <w:noProof/>
              </w:rPr>
              <w:t>Processi Batch</w:t>
            </w:r>
            <w:r>
              <w:rPr>
                <w:noProof/>
                <w:webHidden/>
              </w:rPr>
              <w:tab/>
            </w:r>
            <w:r>
              <w:rPr>
                <w:noProof/>
                <w:webHidden/>
              </w:rPr>
              <w:fldChar w:fldCharType="begin"/>
            </w:r>
            <w:r>
              <w:rPr>
                <w:noProof/>
                <w:webHidden/>
              </w:rPr>
              <w:instrText xml:space="preserve"> PAGEREF _Toc225282862 \h </w:instrText>
            </w:r>
            <w:r>
              <w:rPr>
                <w:noProof/>
                <w:webHidden/>
              </w:rPr>
            </w:r>
            <w:r>
              <w:rPr>
                <w:noProof/>
                <w:webHidden/>
              </w:rPr>
              <w:fldChar w:fldCharType="separate"/>
            </w:r>
            <w:r>
              <w:rPr>
                <w:noProof/>
                <w:webHidden/>
              </w:rPr>
              <w:t>12</w:t>
            </w:r>
            <w:r>
              <w:rPr>
                <w:noProof/>
                <w:webHidden/>
              </w:rPr>
              <w:fldChar w:fldCharType="end"/>
            </w:r>
          </w:hyperlink>
        </w:p>
        <w:p w14:paraId="20C953D0" w14:textId="20D2F96A" w:rsidR="00BD3F39" w:rsidRDefault="00BD3F39">
          <w:pPr>
            <w:pStyle w:val="TOC3"/>
            <w:tabs>
              <w:tab w:val="left" w:pos="1440"/>
              <w:tab w:val="right" w:leader="dot" w:pos="9350"/>
            </w:tabs>
            <w:rPr>
              <w:rFonts w:eastAsiaTheme="minorEastAsia"/>
              <w:noProof/>
              <w:lang w:val="it-IT" w:eastAsia="it-IT"/>
            </w:rPr>
          </w:pPr>
          <w:hyperlink w:anchor="_Toc225282863" w:history="1">
            <w:r w:rsidRPr="00B5309A">
              <w:rPr>
                <w:rStyle w:val="Hyperlink"/>
                <w:bCs/>
                <w:iCs/>
                <w:noProof/>
              </w:rPr>
              <w:t>8.2.1.</w:t>
            </w:r>
            <w:r>
              <w:rPr>
                <w:rFonts w:eastAsiaTheme="minorEastAsia"/>
                <w:noProof/>
                <w:lang w:val="it-IT" w:eastAsia="it-IT"/>
              </w:rPr>
              <w:tab/>
            </w:r>
            <w:r w:rsidRPr="00B5309A">
              <w:rPr>
                <w:rStyle w:val="Hyperlink"/>
                <w:noProof/>
              </w:rPr>
              <w:t>Batch “lorem ipsum”</w:t>
            </w:r>
            <w:r>
              <w:rPr>
                <w:noProof/>
                <w:webHidden/>
              </w:rPr>
              <w:tab/>
            </w:r>
            <w:r>
              <w:rPr>
                <w:noProof/>
                <w:webHidden/>
              </w:rPr>
              <w:fldChar w:fldCharType="begin"/>
            </w:r>
            <w:r>
              <w:rPr>
                <w:noProof/>
                <w:webHidden/>
              </w:rPr>
              <w:instrText xml:space="preserve"> PAGEREF _Toc225282863 \h </w:instrText>
            </w:r>
            <w:r>
              <w:rPr>
                <w:noProof/>
                <w:webHidden/>
              </w:rPr>
            </w:r>
            <w:r>
              <w:rPr>
                <w:noProof/>
                <w:webHidden/>
              </w:rPr>
              <w:fldChar w:fldCharType="separate"/>
            </w:r>
            <w:r>
              <w:rPr>
                <w:noProof/>
                <w:webHidden/>
              </w:rPr>
              <w:t>12</w:t>
            </w:r>
            <w:r>
              <w:rPr>
                <w:noProof/>
                <w:webHidden/>
              </w:rPr>
              <w:fldChar w:fldCharType="end"/>
            </w:r>
          </w:hyperlink>
        </w:p>
        <w:p w14:paraId="66A11A1E" w14:textId="01F94E0A" w:rsidR="00BD3F39" w:rsidRDefault="00BD3F39">
          <w:pPr>
            <w:pStyle w:val="TOC2"/>
            <w:tabs>
              <w:tab w:val="left" w:pos="960"/>
              <w:tab w:val="right" w:leader="dot" w:pos="9350"/>
            </w:tabs>
            <w:rPr>
              <w:rFonts w:eastAsiaTheme="minorEastAsia"/>
              <w:noProof/>
              <w:lang w:val="it-IT" w:eastAsia="it-IT"/>
            </w:rPr>
          </w:pPr>
          <w:hyperlink w:anchor="_Toc225282864" w:history="1">
            <w:r w:rsidRPr="00B5309A">
              <w:rPr>
                <w:rStyle w:val="Hyperlink"/>
                <w:noProof/>
              </w:rPr>
              <w:t>8.3.</w:t>
            </w:r>
            <w:r>
              <w:rPr>
                <w:rFonts w:eastAsiaTheme="minorEastAsia"/>
                <w:noProof/>
                <w:lang w:val="it-IT" w:eastAsia="it-IT"/>
              </w:rPr>
              <w:tab/>
            </w:r>
            <w:r w:rsidRPr="00B5309A">
              <w:rPr>
                <w:rStyle w:val="Hyperlink"/>
                <w:noProof/>
              </w:rPr>
              <w:t>Processi Back-End</w:t>
            </w:r>
            <w:r>
              <w:rPr>
                <w:noProof/>
                <w:webHidden/>
              </w:rPr>
              <w:tab/>
            </w:r>
            <w:r>
              <w:rPr>
                <w:noProof/>
                <w:webHidden/>
              </w:rPr>
              <w:fldChar w:fldCharType="begin"/>
            </w:r>
            <w:r>
              <w:rPr>
                <w:noProof/>
                <w:webHidden/>
              </w:rPr>
              <w:instrText xml:space="preserve"> PAGEREF _Toc225282864 \h </w:instrText>
            </w:r>
            <w:r>
              <w:rPr>
                <w:noProof/>
                <w:webHidden/>
              </w:rPr>
            </w:r>
            <w:r>
              <w:rPr>
                <w:noProof/>
                <w:webHidden/>
              </w:rPr>
              <w:fldChar w:fldCharType="separate"/>
            </w:r>
            <w:r>
              <w:rPr>
                <w:noProof/>
                <w:webHidden/>
              </w:rPr>
              <w:t>13</w:t>
            </w:r>
            <w:r>
              <w:rPr>
                <w:noProof/>
                <w:webHidden/>
              </w:rPr>
              <w:fldChar w:fldCharType="end"/>
            </w:r>
          </w:hyperlink>
        </w:p>
        <w:p w14:paraId="4D73DCA5" w14:textId="5A3390EB" w:rsidR="00BD3F39" w:rsidRDefault="00BD3F39">
          <w:pPr>
            <w:pStyle w:val="TOC3"/>
            <w:tabs>
              <w:tab w:val="left" w:pos="1440"/>
              <w:tab w:val="right" w:leader="dot" w:pos="9350"/>
            </w:tabs>
            <w:rPr>
              <w:rFonts w:eastAsiaTheme="minorEastAsia"/>
              <w:noProof/>
              <w:lang w:val="it-IT" w:eastAsia="it-IT"/>
            </w:rPr>
          </w:pPr>
          <w:hyperlink w:anchor="_Toc225282865" w:history="1">
            <w:r w:rsidRPr="00B5309A">
              <w:rPr>
                <w:rStyle w:val="Hyperlink"/>
                <w:bCs/>
                <w:iCs/>
                <w:noProof/>
              </w:rPr>
              <w:t>8.3.1.</w:t>
            </w:r>
            <w:r>
              <w:rPr>
                <w:rFonts w:eastAsiaTheme="minorEastAsia"/>
                <w:noProof/>
                <w:lang w:val="it-IT" w:eastAsia="it-IT"/>
              </w:rPr>
              <w:tab/>
            </w:r>
            <w:r w:rsidRPr="00B5309A">
              <w:rPr>
                <w:rStyle w:val="Hyperlink"/>
                <w:noProof/>
              </w:rPr>
              <w:t>Servizio “lorem ipsum”</w:t>
            </w:r>
            <w:r>
              <w:rPr>
                <w:noProof/>
                <w:webHidden/>
              </w:rPr>
              <w:tab/>
            </w:r>
            <w:r>
              <w:rPr>
                <w:noProof/>
                <w:webHidden/>
              </w:rPr>
              <w:fldChar w:fldCharType="begin"/>
            </w:r>
            <w:r>
              <w:rPr>
                <w:noProof/>
                <w:webHidden/>
              </w:rPr>
              <w:instrText xml:space="preserve"> PAGEREF _Toc225282865 \h </w:instrText>
            </w:r>
            <w:r>
              <w:rPr>
                <w:noProof/>
                <w:webHidden/>
              </w:rPr>
            </w:r>
            <w:r>
              <w:rPr>
                <w:noProof/>
                <w:webHidden/>
              </w:rPr>
              <w:fldChar w:fldCharType="separate"/>
            </w:r>
            <w:r>
              <w:rPr>
                <w:noProof/>
                <w:webHidden/>
              </w:rPr>
              <w:t>13</w:t>
            </w:r>
            <w:r>
              <w:rPr>
                <w:noProof/>
                <w:webHidden/>
              </w:rPr>
              <w:fldChar w:fldCharType="end"/>
            </w:r>
          </w:hyperlink>
        </w:p>
        <w:p w14:paraId="70E4876C" w14:textId="75F936F4" w:rsidR="00BD3F39" w:rsidRDefault="00BD3F39">
          <w:pPr>
            <w:pStyle w:val="TOC2"/>
            <w:tabs>
              <w:tab w:val="left" w:pos="960"/>
              <w:tab w:val="right" w:leader="dot" w:pos="9350"/>
            </w:tabs>
            <w:rPr>
              <w:rFonts w:eastAsiaTheme="minorEastAsia"/>
              <w:noProof/>
              <w:lang w:val="it-IT" w:eastAsia="it-IT"/>
            </w:rPr>
          </w:pPr>
          <w:hyperlink w:anchor="_Toc225282866" w:history="1">
            <w:r w:rsidRPr="00B5309A">
              <w:rPr>
                <w:rStyle w:val="Hyperlink"/>
                <w:noProof/>
              </w:rPr>
              <w:t>8.4.</w:t>
            </w:r>
            <w:r>
              <w:rPr>
                <w:rFonts w:eastAsiaTheme="minorEastAsia"/>
                <w:noProof/>
                <w:lang w:val="it-IT" w:eastAsia="it-IT"/>
              </w:rPr>
              <w:tab/>
            </w:r>
            <w:r w:rsidRPr="00B5309A">
              <w:rPr>
                <w:rStyle w:val="Hyperlink"/>
                <w:noProof/>
              </w:rPr>
              <w:t>Processi Front-End</w:t>
            </w:r>
            <w:r>
              <w:rPr>
                <w:noProof/>
                <w:webHidden/>
              </w:rPr>
              <w:tab/>
            </w:r>
            <w:r>
              <w:rPr>
                <w:noProof/>
                <w:webHidden/>
              </w:rPr>
              <w:fldChar w:fldCharType="begin"/>
            </w:r>
            <w:r>
              <w:rPr>
                <w:noProof/>
                <w:webHidden/>
              </w:rPr>
              <w:instrText xml:space="preserve"> PAGEREF _Toc225282866 \h </w:instrText>
            </w:r>
            <w:r>
              <w:rPr>
                <w:noProof/>
                <w:webHidden/>
              </w:rPr>
            </w:r>
            <w:r>
              <w:rPr>
                <w:noProof/>
                <w:webHidden/>
              </w:rPr>
              <w:fldChar w:fldCharType="separate"/>
            </w:r>
            <w:r>
              <w:rPr>
                <w:noProof/>
                <w:webHidden/>
              </w:rPr>
              <w:t>14</w:t>
            </w:r>
            <w:r>
              <w:rPr>
                <w:noProof/>
                <w:webHidden/>
              </w:rPr>
              <w:fldChar w:fldCharType="end"/>
            </w:r>
          </w:hyperlink>
        </w:p>
        <w:p w14:paraId="0A2C2024" w14:textId="3D34FBF1" w:rsidR="00BD3F39" w:rsidRDefault="00BD3F39">
          <w:pPr>
            <w:pStyle w:val="TOC3"/>
            <w:tabs>
              <w:tab w:val="left" w:pos="1440"/>
              <w:tab w:val="right" w:leader="dot" w:pos="9350"/>
            </w:tabs>
            <w:rPr>
              <w:rFonts w:eastAsiaTheme="minorEastAsia"/>
              <w:noProof/>
              <w:lang w:val="it-IT" w:eastAsia="it-IT"/>
            </w:rPr>
          </w:pPr>
          <w:hyperlink w:anchor="_Toc225282867" w:history="1">
            <w:r w:rsidRPr="00B5309A">
              <w:rPr>
                <w:rStyle w:val="Hyperlink"/>
                <w:bCs/>
                <w:iCs/>
                <w:noProof/>
              </w:rPr>
              <w:t>8.4.1.</w:t>
            </w:r>
            <w:r>
              <w:rPr>
                <w:rFonts w:eastAsiaTheme="minorEastAsia"/>
                <w:noProof/>
                <w:lang w:val="it-IT" w:eastAsia="it-IT"/>
              </w:rPr>
              <w:tab/>
            </w:r>
            <w:r w:rsidRPr="00B5309A">
              <w:rPr>
                <w:rStyle w:val="Hyperlink"/>
                <w:noProof/>
              </w:rPr>
              <w:t>Pagina “lorem ipsum”</w:t>
            </w:r>
            <w:r>
              <w:rPr>
                <w:noProof/>
                <w:webHidden/>
              </w:rPr>
              <w:tab/>
            </w:r>
            <w:r>
              <w:rPr>
                <w:noProof/>
                <w:webHidden/>
              </w:rPr>
              <w:fldChar w:fldCharType="begin"/>
            </w:r>
            <w:r>
              <w:rPr>
                <w:noProof/>
                <w:webHidden/>
              </w:rPr>
              <w:instrText xml:space="preserve"> PAGEREF _Toc225282867 \h </w:instrText>
            </w:r>
            <w:r>
              <w:rPr>
                <w:noProof/>
                <w:webHidden/>
              </w:rPr>
            </w:r>
            <w:r>
              <w:rPr>
                <w:noProof/>
                <w:webHidden/>
              </w:rPr>
              <w:fldChar w:fldCharType="separate"/>
            </w:r>
            <w:r>
              <w:rPr>
                <w:noProof/>
                <w:webHidden/>
              </w:rPr>
              <w:t>14</w:t>
            </w:r>
            <w:r>
              <w:rPr>
                <w:noProof/>
                <w:webHidden/>
              </w:rPr>
              <w:fldChar w:fldCharType="end"/>
            </w:r>
          </w:hyperlink>
        </w:p>
        <w:p w14:paraId="59D9B9C0" w14:textId="32B98D84" w:rsidR="00BD3F39" w:rsidRDefault="00BD3F39">
          <w:pPr>
            <w:pStyle w:val="TOC1"/>
            <w:tabs>
              <w:tab w:val="left" w:pos="480"/>
              <w:tab w:val="right" w:leader="dot" w:pos="9350"/>
            </w:tabs>
            <w:rPr>
              <w:rFonts w:eastAsiaTheme="minorEastAsia"/>
              <w:noProof/>
              <w:lang w:val="it-IT" w:eastAsia="it-IT"/>
            </w:rPr>
          </w:pPr>
          <w:hyperlink w:anchor="_Toc225282868" w:history="1">
            <w:r w:rsidRPr="00B5309A">
              <w:rPr>
                <w:rStyle w:val="Hyperlink"/>
                <w:noProof/>
                <w:lang w:val="it-IT"/>
              </w:rPr>
              <w:t>9.</w:t>
            </w:r>
            <w:r>
              <w:rPr>
                <w:rFonts w:eastAsiaTheme="minorEastAsia"/>
                <w:noProof/>
                <w:lang w:val="it-IT" w:eastAsia="it-IT"/>
              </w:rPr>
              <w:tab/>
            </w:r>
            <w:r w:rsidRPr="00B5309A">
              <w:rPr>
                <w:rStyle w:val="Hyperlink"/>
                <w:noProof/>
                <w:lang w:val="it-IT"/>
              </w:rPr>
              <w:t>Requisiti Utente</w:t>
            </w:r>
            <w:r>
              <w:rPr>
                <w:noProof/>
                <w:webHidden/>
              </w:rPr>
              <w:tab/>
            </w:r>
            <w:r>
              <w:rPr>
                <w:noProof/>
                <w:webHidden/>
              </w:rPr>
              <w:fldChar w:fldCharType="begin"/>
            </w:r>
            <w:r>
              <w:rPr>
                <w:noProof/>
                <w:webHidden/>
              </w:rPr>
              <w:instrText xml:space="preserve"> PAGEREF _Toc225282868 \h </w:instrText>
            </w:r>
            <w:r>
              <w:rPr>
                <w:noProof/>
                <w:webHidden/>
              </w:rPr>
            </w:r>
            <w:r>
              <w:rPr>
                <w:noProof/>
                <w:webHidden/>
              </w:rPr>
              <w:fldChar w:fldCharType="separate"/>
            </w:r>
            <w:r>
              <w:rPr>
                <w:noProof/>
                <w:webHidden/>
              </w:rPr>
              <w:t>14</w:t>
            </w:r>
            <w:r>
              <w:rPr>
                <w:noProof/>
                <w:webHidden/>
              </w:rPr>
              <w:fldChar w:fldCharType="end"/>
            </w:r>
          </w:hyperlink>
        </w:p>
        <w:p w14:paraId="10B7EF31" w14:textId="51753243" w:rsidR="00BD3F39" w:rsidRDefault="00BD3F39">
          <w:pPr>
            <w:pStyle w:val="TOC1"/>
            <w:tabs>
              <w:tab w:val="left" w:pos="720"/>
              <w:tab w:val="right" w:leader="dot" w:pos="9350"/>
            </w:tabs>
            <w:rPr>
              <w:rFonts w:eastAsiaTheme="minorEastAsia"/>
              <w:noProof/>
              <w:lang w:val="it-IT" w:eastAsia="it-IT"/>
            </w:rPr>
          </w:pPr>
          <w:hyperlink w:anchor="_Toc225282869" w:history="1">
            <w:r w:rsidRPr="00B5309A">
              <w:rPr>
                <w:rStyle w:val="Hyperlink"/>
                <w:noProof/>
                <w:lang w:val="it-IT"/>
              </w:rPr>
              <w:t>10.</w:t>
            </w:r>
            <w:r>
              <w:rPr>
                <w:rFonts w:eastAsiaTheme="minorEastAsia"/>
                <w:noProof/>
                <w:lang w:val="it-IT" w:eastAsia="it-IT"/>
              </w:rPr>
              <w:tab/>
            </w:r>
            <w:r w:rsidRPr="00B5309A">
              <w:rPr>
                <w:rStyle w:val="Hyperlink"/>
                <w:noProof/>
              </w:rPr>
              <w:t>Requisiti non funzionali</w:t>
            </w:r>
            <w:r>
              <w:rPr>
                <w:noProof/>
                <w:webHidden/>
              </w:rPr>
              <w:tab/>
            </w:r>
            <w:r>
              <w:rPr>
                <w:noProof/>
                <w:webHidden/>
              </w:rPr>
              <w:fldChar w:fldCharType="begin"/>
            </w:r>
            <w:r>
              <w:rPr>
                <w:noProof/>
                <w:webHidden/>
              </w:rPr>
              <w:instrText xml:space="preserve"> PAGEREF _Toc225282869 \h </w:instrText>
            </w:r>
            <w:r>
              <w:rPr>
                <w:noProof/>
                <w:webHidden/>
              </w:rPr>
            </w:r>
            <w:r>
              <w:rPr>
                <w:noProof/>
                <w:webHidden/>
              </w:rPr>
              <w:fldChar w:fldCharType="separate"/>
            </w:r>
            <w:r>
              <w:rPr>
                <w:noProof/>
                <w:webHidden/>
              </w:rPr>
              <w:t>14</w:t>
            </w:r>
            <w:r>
              <w:rPr>
                <w:noProof/>
                <w:webHidden/>
              </w:rPr>
              <w:fldChar w:fldCharType="end"/>
            </w:r>
          </w:hyperlink>
        </w:p>
        <w:p w14:paraId="7B5FE89D" w14:textId="2330351B" w:rsidR="00BD3F39" w:rsidRDefault="00BD3F39">
          <w:pPr>
            <w:pStyle w:val="TOC1"/>
            <w:tabs>
              <w:tab w:val="left" w:pos="720"/>
              <w:tab w:val="right" w:leader="dot" w:pos="9350"/>
            </w:tabs>
            <w:rPr>
              <w:rFonts w:eastAsiaTheme="minorEastAsia"/>
              <w:noProof/>
              <w:lang w:val="it-IT" w:eastAsia="it-IT"/>
            </w:rPr>
          </w:pPr>
          <w:hyperlink w:anchor="_Toc225282870" w:history="1">
            <w:r w:rsidRPr="00B5309A">
              <w:rPr>
                <w:rStyle w:val="Hyperlink"/>
                <w:noProof/>
                <w:lang w:val="it-IT"/>
              </w:rPr>
              <w:t>11.</w:t>
            </w:r>
            <w:r>
              <w:rPr>
                <w:rFonts w:eastAsiaTheme="minorEastAsia"/>
                <w:noProof/>
                <w:lang w:val="it-IT" w:eastAsia="it-IT"/>
              </w:rPr>
              <w:tab/>
            </w:r>
            <w:r w:rsidRPr="00B5309A">
              <w:rPr>
                <w:rStyle w:val="Hyperlink"/>
                <w:noProof/>
              </w:rPr>
              <w:t>Classi di rischio</w:t>
            </w:r>
            <w:r>
              <w:rPr>
                <w:noProof/>
                <w:webHidden/>
              </w:rPr>
              <w:tab/>
            </w:r>
            <w:r>
              <w:rPr>
                <w:noProof/>
                <w:webHidden/>
              </w:rPr>
              <w:fldChar w:fldCharType="begin"/>
            </w:r>
            <w:r>
              <w:rPr>
                <w:noProof/>
                <w:webHidden/>
              </w:rPr>
              <w:instrText xml:space="preserve"> PAGEREF _Toc225282870 \h </w:instrText>
            </w:r>
            <w:r>
              <w:rPr>
                <w:noProof/>
                <w:webHidden/>
              </w:rPr>
            </w:r>
            <w:r>
              <w:rPr>
                <w:noProof/>
                <w:webHidden/>
              </w:rPr>
              <w:fldChar w:fldCharType="separate"/>
            </w:r>
            <w:r>
              <w:rPr>
                <w:noProof/>
                <w:webHidden/>
              </w:rPr>
              <w:t>15</w:t>
            </w:r>
            <w:r>
              <w:rPr>
                <w:noProof/>
                <w:webHidden/>
              </w:rPr>
              <w:fldChar w:fldCharType="end"/>
            </w:r>
          </w:hyperlink>
        </w:p>
        <w:p w14:paraId="296BC99F" w14:textId="3341D6FF" w:rsidR="00BD3F39" w:rsidRDefault="00BD3F39">
          <w:pPr>
            <w:pStyle w:val="TOC2"/>
            <w:tabs>
              <w:tab w:val="left" w:pos="1200"/>
              <w:tab w:val="right" w:leader="dot" w:pos="9350"/>
            </w:tabs>
            <w:rPr>
              <w:rFonts w:eastAsiaTheme="minorEastAsia"/>
              <w:noProof/>
              <w:lang w:val="it-IT" w:eastAsia="it-IT"/>
            </w:rPr>
          </w:pPr>
          <w:hyperlink w:anchor="_Toc225282871" w:history="1">
            <w:r w:rsidRPr="00B5309A">
              <w:rPr>
                <w:rStyle w:val="Hyperlink"/>
                <w:noProof/>
              </w:rPr>
              <w:t>11.1.</w:t>
            </w:r>
            <w:r>
              <w:rPr>
                <w:rFonts w:eastAsiaTheme="minorEastAsia"/>
                <w:noProof/>
                <w:lang w:val="it-IT" w:eastAsia="it-IT"/>
              </w:rPr>
              <w:tab/>
            </w:r>
            <w:r w:rsidRPr="00B5309A">
              <w:rPr>
                <w:rStyle w:val="Hyperlink"/>
                <w:noProof/>
              </w:rPr>
              <w:t>Calsse A – Alta</w:t>
            </w:r>
            <w:r>
              <w:rPr>
                <w:noProof/>
                <w:webHidden/>
              </w:rPr>
              <w:tab/>
            </w:r>
            <w:r>
              <w:rPr>
                <w:noProof/>
                <w:webHidden/>
              </w:rPr>
              <w:fldChar w:fldCharType="begin"/>
            </w:r>
            <w:r>
              <w:rPr>
                <w:noProof/>
                <w:webHidden/>
              </w:rPr>
              <w:instrText xml:space="preserve"> PAGEREF _Toc225282871 \h </w:instrText>
            </w:r>
            <w:r>
              <w:rPr>
                <w:noProof/>
                <w:webHidden/>
              </w:rPr>
            </w:r>
            <w:r>
              <w:rPr>
                <w:noProof/>
                <w:webHidden/>
              </w:rPr>
              <w:fldChar w:fldCharType="separate"/>
            </w:r>
            <w:r>
              <w:rPr>
                <w:noProof/>
                <w:webHidden/>
              </w:rPr>
              <w:t>15</w:t>
            </w:r>
            <w:r>
              <w:rPr>
                <w:noProof/>
                <w:webHidden/>
              </w:rPr>
              <w:fldChar w:fldCharType="end"/>
            </w:r>
          </w:hyperlink>
        </w:p>
        <w:p w14:paraId="27229289" w14:textId="155BE8C1" w:rsidR="00BD3F39" w:rsidRDefault="00BD3F39">
          <w:pPr>
            <w:pStyle w:val="TOC2"/>
            <w:tabs>
              <w:tab w:val="left" w:pos="1200"/>
              <w:tab w:val="right" w:leader="dot" w:pos="9350"/>
            </w:tabs>
            <w:rPr>
              <w:rFonts w:eastAsiaTheme="minorEastAsia"/>
              <w:noProof/>
              <w:lang w:val="it-IT" w:eastAsia="it-IT"/>
            </w:rPr>
          </w:pPr>
          <w:hyperlink w:anchor="_Toc225282872" w:history="1">
            <w:r w:rsidRPr="00B5309A">
              <w:rPr>
                <w:rStyle w:val="Hyperlink"/>
                <w:noProof/>
              </w:rPr>
              <w:t>11.2.</w:t>
            </w:r>
            <w:r>
              <w:rPr>
                <w:rFonts w:eastAsiaTheme="minorEastAsia"/>
                <w:noProof/>
                <w:lang w:val="it-IT" w:eastAsia="it-IT"/>
              </w:rPr>
              <w:tab/>
            </w:r>
            <w:r w:rsidRPr="00B5309A">
              <w:rPr>
                <w:rStyle w:val="Hyperlink"/>
                <w:noProof/>
              </w:rPr>
              <w:t>Classe B – Media</w:t>
            </w:r>
            <w:r>
              <w:rPr>
                <w:noProof/>
                <w:webHidden/>
              </w:rPr>
              <w:tab/>
            </w:r>
            <w:r>
              <w:rPr>
                <w:noProof/>
                <w:webHidden/>
              </w:rPr>
              <w:fldChar w:fldCharType="begin"/>
            </w:r>
            <w:r>
              <w:rPr>
                <w:noProof/>
                <w:webHidden/>
              </w:rPr>
              <w:instrText xml:space="preserve"> PAGEREF _Toc225282872 \h </w:instrText>
            </w:r>
            <w:r>
              <w:rPr>
                <w:noProof/>
                <w:webHidden/>
              </w:rPr>
            </w:r>
            <w:r>
              <w:rPr>
                <w:noProof/>
                <w:webHidden/>
              </w:rPr>
              <w:fldChar w:fldCharType="separate"/>
            </w:r>
            <w:r>
              <w:rPr>
                <w:noProof/>
                <w:webHidden/>
              </w:rPr>
              <w:t>15</w:t>
            </w:r>
            <w:r>
              <w:rPr>
                <w:noProof/>
                <w:webHidden/>
              </w:rPr>
              <w:fldChar w:fldCharType="end"/>
            </w:r>
          </w:hyperlink>
        </w:p>
        <w:p w14:paraId="745C46F7" w14:textId="5E2ADF14" w:rsidR="00BD3F39" w:rsidRDefault="00BD3F39">
          <w:pPr>
            <w:pStyle w:val="TOC2"/>
            <w:tabs>
              <w:tab w:val="left" w:pos="1200"/>
              <w:tab w:val="right" w:leader="dot" w:pos="9350"/>
            </w:tabs>
            <w:rPr>
              <w:rFonts w:eastAsiaTheme="minorEastAsia"/>
              <w:noProof/>
              <w:lang w:val="it-IT" w:eastAsia="it-IT"/>
            </w:rPr>
          </w:pPr>
          <w:hyperlink w:anchor="_Toc225282873" w:history="1">
            <w:r w:rsidRPr="00B5309A">
              <w:rPr>
                <w:rStyle w:val="Hyperlink"/>
                <w:noProof/>
              </w:rPr>
              <w:t>11.3.</w:t>
            </w:r>
            <w:r>
              <w:rPr>
                <w:rFonts w:eastAsiaTheme="minorEastAsia"/>
                <w:noProof/>
                <w:lang w:val="it-IT" w:eastAsia="it-IT"/>
              </w:rPr>
              <w:tab/>
            </w:r>
            <w:r w:rsidRPr="00B5309A">
              <w:rPr>
                <w:rStyle w:val="Hyperlink"/>
                <w:noProof/>
              </w:rPr>
              <w:t>Classe C – Bassa</w:t>
            </w:r>
            <w:r>
              <w:rPr>
                <w:noProof/>
                <w:webHidden/>
              </w:rPr>
              <w:tab/>
            </w:r>
            <w:r>
              <w:rPr>
                <w:noProof/>
                <w:webHidden/>
              </w:rPr>
              <w:fldChar w:fldCharType="begin"/>
            </w:r>
            <w:r>
              <w:rPr>
                <w:noProof/>
                <w:webHidden/>
              </w:rPr>
              <w:instrText xml:space="preserve"> PAGEREF _Toc225282873 \h </w:instrText>
            </w:r>
            <w:r>
              <w:rPr>
                <w:noProof/>
                <w:webHidden/>
              </w:rPr>
            </w:r>
            <w:r>
              <w:rPr>
                <w:noProof/>
                <w:webHidden/>
              </w:rPr>
              <w:fldChar w:fldCharType="separate"/>
            </w:r>
            <w:r>
              <w:rPr>
                <w:noProof/>
                <w:webHidden/>
              </w:rPr>
              <w:t>15</w:t>
            </w:r>
            <w:r>
              <w:rPr>
                <w:noProof/>
                <w:webHidden/>
              </w:rPr>
              <w:fldChar w:fldCharType="end"/>
            </w:r>
          </w:hyperlink>
        </w:p>
        <w:p w14:paraId="131B7096" w14:textId="42ED0E1F" w:rsidR="00BD3F39" w:rsidRDefault="00BD3F39">
          <w:pPr>
            <w:pStyle w:val="TOC1"/>
            <w:tabs>
              <w:tab w:val="left" w:pos="720"/>
              <w:tab w:val="right" w:leader="dot" w:pos="9350"/>
            </w:tabs>
            <w:rPr>
              <w:rFonts w:eastAsiaTheme="minorEastAsia"/>
              <w:noProof/>
              <w:lang w:val="it-IT" w:eastAsia="it-IT"/>
            </w:rPr>
          </w:pPr>
          <w:hyperlink w:anchor="_Toc225282874" w:history="1">
            <w:r w:rsidRPr="00B5309A">
              <w:rPr>
                <w:rStyle w:val="Hyperlink"/>
                <w:noProof/>
                <w:lang w:val="it-IT"/>
              </w:rPr>
              <w:t>12.</w:t>
            </w:r>
            <w:r>
              <w:rPr>
                <w:rFonts w:eastAsiaTheme="minorEastAsia"/>
                <w:noProof/>
                <w:lang w:val="it-IT" w:eastAsia="it-IT"/>
              </w:rPr>
              <w:tab/>
            </w:r>
            <w:r w:rsidRPr="00B5309A">
              <w:rPr>
                <w:rStyle w:val="Hyperlink"/>
                <w:noProof/>
              </w:rPr>
              <w:t>Strategie di test</w:t>
            </w:r>
            <w:r>
              <w:rPr>
                <w:noProof/>
                <w:webHidden/>
              </w:rPr>
              <w:tab/>
            </w:r>
            <w:r>
              <w:rPr>
                <w:noProof/>
                <w:webHidden/>
              </w:rPr>
              <w:fldChar w:fldCharType="begin"/>
            </w:r>
            <w:r>
              <w:rPr>
                <w:noProof/>
                <w:webHidden/>
              </w:rPr>
              <w:instrText xml:space="preserve"> PAGEREF _Toc225282874 \h </w:instrText>
            </w:r>
            <w:r>
              <w:rPr>
                <w:noProof/>
                <w:webHidden/>
              </w:rPr>
            </w:r>
            <w:r>
              <w:rPr>
                <w:noProof/>
                <w:webHidden/>
              </w:rPr>
              <w:fldChar w:fldCharType="separate"/>
            </w:r>
            <w:r>
              <w:rPr>
                <w:noProof/>
                <w:webHidden/>
              </w:rPr>
              <w:t>16</w:t>
            </w:r>
            <w:r>
              <w:rPr>
                <w:noProof/>
                <w:webHidden/>
              </w:rPr>
              <w:fldChar w:fldCharType="end"/>
            </w:r>
          </w:hyperlink>
        </w:p>
        <w:p w14:paraId="1EBAF1E7" w14:textId="07D9195C" w:rsidR="00BD3F39" w:rsidRDefault="00BD3F39">
          <w:pPr>
            <w:pStyle w:val="TOC2"/>
            <w:tabs>
              <w:tab w:val="left" w:pos="1200"/>
              <w:tab w:val="right" w:leader="dot" w:pos="9350"/>
            </w:tabs>
            <w:rPr>
              <w:rFonts w:eastAsiaTheme="minorEastAsia"/>
              <w:noProof/>
              <w:lang w:val="it-IT" w:eastAsia="it-IT"/>
            </w:rPr>
          </w:pPr>
          <w:hyperlink w:anchor="_Toc225282875" w:history="1">
            <w:r w:rsidRPr="00B5309A">
              <w:rPr>
                <w:rStyle w:val="Hyperlink"/>
                <w:noProof/>
                <w:lang w:val="it-IT"/>
              </w:rPr>
              <w:t>12.1.</w:t>
            </w:r>
            <w:r>
              <w:rPr>
                <w:rFonts w:eastAsiaTheme="minorEastAsia"/>
                <w:noProof/>
                <w:lang w:val="it-IT" w:eastAsia="it-IT"/>
              </w:rPr>
              <w:tab/>
            </w:r>
            <w:r w:rsidRPr="00B5309A">
              <w:rPr>
                <w:rStyle w:val="Hyperlink"/>
                <w:noProof/>
                <w:lang w:val="it-IT"/>
              </w:rPr>
              <w:t>Metodologie e tecniche di test</w:t>
            </w:r>
            <w:r>
              <w:rPr>
                <w:noProof/>
                <w:webHidden/>
              </w:rPr>
              <w:tab/>
            </w:r>
            <w:r>
              <w:rPr>
                <w:noProof/>
                <w:webHidden/>
              </w:rPr>
              <w:fldChar w:fldCharType="begin"/>
            </w:r>
            <w:r>
              <w:rPr>
                <w:noProof/>
                <w:webHidden/>
              </w:rPr>
              <w:instrText xml:space="preserve"> PAGEREF _Toc225282875 \h </w:instrText>
            </w:r>
            <w:r>
              <w:rPr>
                <w:noProof/>
                <w:webHidden/>
              </w:rPr>
            </w:r>
            <w:r>
              <w:rPr>
                <w:noProof/>
                <w:webHidden/>
              </w:rPr>
              <w:fldChar w:fldCharType="separate"/>
            </w:r>
            <w:r>
              <w:rPr>
                <w:noProof/>
                <w:webHidden/>
              </w:rPr>
              <w:t>16</w:t>
            </w:r>
            <w:r>
              <w:rPr>
                <w:noProof/>
                <w:webHidden/>
              </w:rPr>
              <w:fldChar w:fldCharType="end"/>
            </w:r>
          </w:hyperlink>
        </w:p>
        <w:p w14:paraId="04DEE25E" w14:textId="77CCF0FE" w:rsidR="00BD3F39" w:rsidRDefault="00BD3F39">
          <w:pPr>
            <w:pStyle w:val="TOC2"/>
            <w:tabs>
              <w:tab w:val="left" w:pos="1200"/>
              <w:tab w:val="right" w:leader="dot" w:pos="9350"/>
            </w:tabs>
            <w:rPr>
              <w:rFonts w:eastAsiaTheme="minorEastAsia"/>
              <w:noProof/>
              <w:lang w:val="it-IT" w:eastAsia="it-IT"/>
            </w:rPr>
          </w:pPr>
          <w:hyperlink w:anchor="_Toc225282876" w:history="1">
            <w:r w:rsidRPr="00B5309A">
              <w:rPr>
                <w:rStyle w:val="Hyperlink"/>
                <w:rFonts w:eastAsia="Calibri"/>
                <w:noProof/>
                <w:lang w:val="it-IT"/>
              </w:rPr>
              <w:t>12.2.</w:t>
            </w:r>
            <w:r>
              <w:rPr>
                <w:rFonts w:eastAsiaTheme="minorEastAsia"/>
                <w:noProof/>
                <w:lang w:val="it-IT" w:eastAsia="it-IT"/>
              </w:rPr>
              <w:tab/>
            </w:r>
            <w:r w:rsidRPr="00B5309A">
              <w:rPr>
                <w:rStyle w:val="Hyperlink"/>
                <w:rFonts w:eastAsia="Calibri"/>
                <w:noProof/>
                <w:lang w:val="it-IT"/>
              </w:rPr>
              <w:t>Criteri di assegnazione del livello di rischio per i test</w:t>
            </w:r>
            <w:r>
              <w:rPr>
                <w:noProof/>
                <w:webHidden/>
              </w:rPr>
              <w:tab/>
            </w:r>
            <w:r>
              <w:rPr>
                <w:noProof/>
                <w:webHidden/>
              </w:rPr>
              <w:fldChar w:fldCharType="begin"/>
            </w:r>
            <w:r>
              <w:rPr>
                <w:noProof/>
                <w:webHidden/>
              </w:rPr>
              <w:instrText xml:space="preserve"> PAGEREF _Toc225282876 \h </w:instrText>
            </w:r>
            <w:r>
              <w:rPr>
                <w:noProof/>
                <w:webHidden/>
              </w:rPr>
            </w:r>
            <w:r>
              <w:rPr>
                <w:noProof/>
                <w:webHidden/>
              </w:rPr>
              <w:fldChar w:fldCharType="separate"/>
            </w:r>
            <w:r>
              <w:rPr>
                <w:noProof/>
                <w:webHidden/>
              </w:rPr>
              <w:t>16</w:t>
            </w:r>
            <w:r>
              <w:rPr>
                <w:noProof/>
                <w:webHidden/>
              </w:rPr>
              <w:fldChar w:fldCharType="end"/>
            </w:r>
          </w:hyperlink>
        </w:p>
        <w:p w14:paraId="759EF382" w14:textId="7F6EEB44" w:rsidR="00BD3F39" w:rsidRDefault="00BD3F39">
          <w:pPr>
            <w:pStyle w:val="TOC2"/>
            <w:tabs>
              <w:tab w:val="left" w:pos="1200"/>
              <w:tab w:val="right" w:leader="dot" w:pos="9350"/>
            </w:tabs>
            <w:rPr>
              <w:rFonts w:eastAsiaTheme="minorEastAsia"/>
              <w:noProof/>
              <w:lang w:val="it-IT" w:eastAsia="it-IT"/>
            </w:rPr>
          </w:pPr>
          <w:hyperlink w:anchor="_Toc225282877" w:history="1">
            <w:r w:rsidRPr="00B5309A">
              <w:rPr>
                <w:rStyle w:val="Hyperlink"/>
                <w:noProof/>
              </w:rPr>
              <w:t>12.3.</w:t>
            </w:r>
            <w:r>
              <w:rPr>
                <w:rFonts w:eastAsiaTheme="minorEastAsia"/>
                <w:noProof/>
                <w:lang w:val="it-IT" w:eastAsia="it-IT"/>
              </w:rPr>
              <w:tab/>
            </w:r>
            <w:r w:rsidRPr="00B5309A">
              <w:rPr>
                <w:rStyle w:val="Hyperlink"/>
                <w:noProof/>
              </w:rPr>
              <w:t>Tipologie di test</w:t>
            </w:r>
            <w:r>
              <w:rPr>
                <w:noProof/>
                <w:webHidden/>
              </w:rPr>
              <w:tab/>
            </w:r>
            <w:r>
              <w:rPr>
                <w:noProof/>
                <w:webHidden/>
              </w:rPr>
              <w:fldChar w:fldCharType="begin"/>
            </w:r>
            <w:r>
              <w:rPr>
                <w:noProof/>
                <w:webHidden/>
              </w:rPr>
              <w:instrText xml:space="preserve"> PAGEREF _Toc225282877 \h </w:instrText>
            </w:r>
            <w:r>
              <w:rPr>
                <w:noProof/>
                <w:webHidden/>
              </w:rPr>
            </w:r>
            <w:r>
              <w:rPr>
                <w:noProof/>
                <w:webHidden/>
              </w:rPr>
              <w:fldChar w:fldCharType="separate"/>
            </w:r>
            <w:r>
              <w:rPr>
                <w:noProof/>
                <w:webHidden/>
              </w:rPr>
              <w:t>17</w:t>
            </w:r>
            <w:r>
              <w:rPr>
                <w:noProof/>
                <w:webHidden/>
              </w:rPr>
              <w:fldChar w:fldCharType="end"/>
            </w:r>
          </w:hyperlink>
        </w:p>
        <w:p w14:paraId="6DF0A761" w14:textId="2A4EA93C" w:rsidR="00BD3F39" w:rsidRDefault="00BD3F39">
          <w:pPr>
            <w:pStyle w:val="TOC2"/>
            <w:tabs>
              <w:tab w:val="left" w:pos="1200"/>
              <w:tab w:val="right" w:leader="dot" w:pos="9350"/>
            </w:tabs>
            <w:rPr>
              <w:rFonts w:eastAsiaTheme="minorEastAsia"/>
              <w:noProof/>
              <w:lang w:val="it-IT" w:eastAsia="it-IT"/>
            </w:rPr>
          </w:pPr>
          <w:hyperlink w:anchor="_Toc225282878" w:history="1">
            <w:r w:rsidRPr="00B5309A">
              <w:rPr>
                <w:rStyle w:val="Hyperlink"/>
                <w:noProof/>
              </w:rPr>
              <w:t>12.4.</w:t>
            </w:r>
            <w:r>
              <w:rPr>
                <w:rFonts w:eastAsiaTheme="minorEastAsia"/>
                <w:noProof/>
                <w:lang w:val="it-IT" w:eastAsia="it-IT"/>
              </w:rPr>
              <w:tab/>
            </w:r>
            <w:r w:rsidRPr="00B5309A">
              <w:rPr>
                <w:rStyle w:val="Hyperlink"/>
                <w:noProof/>
              </w:rPr>
              <w:t>Cicli di test</w:t>
            </w:r>
            <w:r>
              <w:rPr>
                <w:noProof/>
                <w:webHidden/>
              </w:rPr>
              <w:tab/>
            </w:r>
            <w:r>
              <w:rPr>
                <w:noProof/>
                <w:webHidden/>
              </w:rPr>
              <w:fldChar w:fldCharType="begin"/>
            </w:r>
            <w:r>
              <w:rPr>
                <w:noProof/>
                <w:webHidden/>
              </w:rPr>
              <w:instrText xml:space="preserve"> PAGEREF _Toc225282878 \h </w:instrText>
            </w:r>
            <w:r>
              <w:rPr>
                <w:noProof/>
                <w:webHidden/>
              </w:rPr>
            </w:r>
            <w:r>
              <w:rPr>
                <w:noProof/>
                <w:webHidden/>
              </w:rPr>
              <w:fldChar w:fldCharType="separate"/>
            </w:r>
            <w:r>
              <w:rPr>
                <w:noProof/>
                <w:webHidden/>
              </w:rPr>
              <w:t>17</w:t>
            </w:r>
            <w:r>
              <w:rPr>
                <w:noProof/>
                <w:webHidden/>
              </w:rPr>
              <w:fldChar w:fldCharType="end"/>
            </w:r>
          </w:hyperlink>
        </w:p>
        <w:p w14:paraId="44521678" w14:textId="0E69CEB7" w:rsidR="00BD3F39" w:rsidRDefault="00BD3F39">
          <w:pPr>
            <w:pStyle w:val="TOC2"/>
            <w:tabs>
              <w:tab w:val="left" w:pos="1200"/>
              <w:tab w:val="right" w:leader="dot" w:pos="9350"/>
            </w:tabs>
            <w:rPr>
              <w:rFonts w:eastAsiaTheme="minorEastAsia"/>
              <w:noProof/>
              <w:lang w:val="it-IT" w:eastAsia="it-IT"/>
            </w:rPr>
          </w:pPr>
          <w:hyperlink w:anchor="_Toc225282879" w:history="1">
            <w:r w:rsidRPr="00B5309A">
              <w:rPr>
                <w:rStyle w:val="Hyperlink"/>
                <w:noProof/>
                <w:lang w:val="it-IT"/>
              </w:rPr>
              <w:t>12.5.</w:t>
            </w:r>
            <w:r>
              <w:rPr>
                <w:rFonts w:eastAsiaTheme="minorEastAsia"/>
                <w:noProof/>
                <w:lang w:val="it-IT" w:eastAsia="it-IT"/>
              </w:rPr>
              <w:tab/>
            </w:r>
            <w:r w:rsidRPr="00B5309A">
              <w:rPr>
                <w:rStyle w:val="Hyperlink"/>
                <w:noProof/>
                <w:lang w:val="it-IT"/>
              </w:rPr>
              <w:t>Strumenti e ambienti di test</w:t>
            </w:r>
            <w:r>
              <w:rPr>
                <w:noProof/>
                <w:webHidden/>
              </w:rPr>
              <w:tab/>
            </w:r>
            <w:r>
              <w:rPr>
                <w:noProof/>
                <w:webHidden/>
              </w:rPr>
              <w:fldChar w:fldCharType="begin"/>
            </w:r>
            <w:r>
              <w:rPr>
                <w:noProof/>
                <w:webHidden/>
              </w:rPr>
              <w:instrText xml:space="preserve"> PAGEREF _Toc225282879 \h </w:instrText>
            </w:r>
            <w:r>
              <w:rPr>
                <w:noProof/>
                <w:webHidden/>
              </w:rPr>
            </w:r>
            <w:r>
              <w:rPr>
                <w:noProof/>
                <w:webHidden/>
              </w:rPr>
              <w:fldChar w:fldCharType="separate"/>
            </w:r>
            <w:r>
              <w:rPr>
                <w:noProof/>
                <w:webHidden/>
              </w:rPr>
              <w:t>18</w:t>
            </w:r>
            <w:r>
              <w:rPr>
                <w:noProof/>
                <w:webHidden/>
              </w:rPr>
              <w:fldChar w:fldCharType="end"/>
            </w:r>
          </w:hyperlink>
        </w:p>
        <w:p w14:paraId="1C34D888" w14:textId="0C0EFA9F" w:rsidR="00BD3F39" w:rsidRDefault="00BD3F39">
          <w:pPr>
            <w:pStyle w:val="TOC2"/>
            <w:tabs>
              <w:tab w:val="left" w:pos="1200"/>
              <w:tab w:val="right" w:leader="dot" w:pos="9350"/>
            </w:tabs>
            <w:rPr>
              <w:rFonts w:eastAsiaTheme="minorEastAsia"/>
              <w:noProof/>
              <w:lang w:val="it-IT" w:eastAsia="it-IT"/>
            </w:rPr>
          </w:pPr>
          <w:hyperlink w:anchor="_Toc225282880" w:history="1">
            <w:r w:rsidRPr="00B5309A">
              <w:rPr>
                <w:rStyle w:val="Hyperlink"/>
                <w:noProof/>
              </w:rPr>
              <w:t>12.6.</w:t>
            </w:r>
            <w:r>
              <w:rPr>
                <w:rFonts w:eastAsiaTheme="minorEastAsia"/>
                <w:noProof/>
                <w:lang w:val="it-IT" w:eastAsia="it-IT"/>
              </w:rPr>
              <w:tab/>
            </w:r>
            <w:r w:rsidRPr="00B5309A">
              <w:rPr>
                <w:rStyle w:val="Hyperlink"/>
                <w:noProof/>
              </w:rPr>
              <w:t>Assunzioni, vincoli e rischi</w:t>
            </w:r>
            <w:r>
              <w:rPr>
                <w:noProof/>
                <w:webHidden/>
              </w:rPr>
              <w:tab/>
            </w:r>
            <w:r>
              <w:rPr>
                <w:noProof/>
                <w:webHidden/>
              </w:rPr>
              <w:fldChar w:fldCharType="begin"/>
            </w:r>
            <w:r>
              <w:rPr>
                <w:noProof/>
                <w:webHidden/>
              </w:rPr>
              <w:instrText xml:space="preserve"> PAGEREF _Toc225282880 \h </w:instrText>
            </w:r>
            <w:r>
              <w:rPr>
                <w:noProof/>
                <w:webHidden/>
              </w:rPr>
            </w:r>
            <w:r>
              <w:rPr>
                <w:noProof/>
                <w:webHidden/>
              </w:rPr>
              <w:fldChar w:fldCharType="separate"/>
            </w:r>
            <w:r>
              <w:rPr>
                <w:noProof/>
                <w:webHidden/>
              </w:rPr>
              <w:t>19</w:t>
            </w:r>
            <w:r>
              <w:rPr>
                <w:noProof/>
                <w:webHidden/>
              </w:rPr>
              <w:fldChar w:fldCharType="end"/>
            </w:r>
          </w:hyperlink>
        </w:p>
        <w:p w14:paraId="32639234" w14:textId="701266D2" w:rsidR="00BD3F39" w:rsidRDefault="00BD3F39">
          <w:pPr>
            <w:pStyle w:val="TOC1"/>
            <w:tabs>
              <w:tab w:val="left" w:pos="720"/>
              <w:tab w:val="right" w:leader="dot" w:pos="9350"/>
            </w:tabs>
            <w:rPr>
              <w:rFonts w:eastAsiaTheme="minorEastAsia"/>
              <w:noProof/>
              <w:lang w:val="it-IT" w:eastAsia="it-IT"/>
            </w:rPr>
          </w:pPr>
          <w:hyperlink w:anchor="_Toc225282881" w:history="1">
            <w:r w:rsidRPr="00B5309A">
              <w:rPr>
                <w:rStyle w:val="Hyperlink"/>
                <w:noProof/>
                <w:lang w:val="it-IT"/>
              </w:rPr>
              <w:t>13.</w:t>
            </w:r>
            <w:r>
              <w:rPr>
                <w:rFonts w:eastAsiaTheme="minorEastAsia"/>
                <w:noProof/>
                <w:lang w:val="it-IT" w:eastAsia="it-IT"/>
              </w:rPr>
              <w:tab/>
            </w:r>
            <w:r w:rsidRPr="00B5309A">
              <w:rPr>
                <w:rStyle w:val="Hyperlink"/>
                <w:noProof/>
              </w:rPr>
              <w:t>Modifiche in Corso d’opera</w:t>
            </w:r>
            <w:r>
              <w:rPr>
                <w:noProof/>
                <w:webHidden/>
              </w:rPr>
              <w:tab/>
            </w:r>
            <w:r>
              <w:rPr>
                <w:noProof/>
                <w:webHidden/>
              </w:rPr>
              <w:fldChar w:fldCharType="begin"/>
            </w:r>
            <w:r>
              <w:rPr>
                <w:noProof/>
                <w:webHidden/>
              </w:rPr>
              <w:instrText xml:space="preserve"> PAGEREF _Toc225282881 \h </w:instrText>
            </w:r>
            <w:r>
              <w:rPr>
                <w:noProof/>
                <w:webHidden/>
              </w:rPr>
            </w:r>
            <w:r>
              <w:rPr>
                <w:noProof/>
                <w:webHidden/>
              </w:rPr>
              <w:fldChar w:fldCharType="separate"/>
            </w:r>
            <w:r>
              <w:rPr>
                <w:noProof/>
                <w:webHidden/>
              </w:rPr>
              <w:t>19</w:t>
            </w:r>
            <w:r>
              <w:rPr>
                <w:noProof/>
                <w:webHidden/>
              </w:rPr>
              <w:fldChar w:fldCharType="end"/>
            </w:r>
          </w:hyperlink>
        </w:p>
        <w:p w14:paraId="30ECA298" w14:textId="3FE05814" w:rsidR="00BD3F39" w:rsidRDefault="00BD3F39">
          <w:pPr>
            <w:pStyle w:val="TOC1"/>
            <w:tabs>
              <w:tab w:val="left" w:pos="720"/>
              <w:tab w:val="right" w:leader="dot" w:pos="9350"/>
            </w:tabs>
            <w:rPr>
              <w:rFonts w:eastAsiaTheme="minorEastAsia"/>
              <w:noProof/>
              <w:lang w:val="it-IT" w:eastAsia="it-IT"/>
            </w:rPr>
          </w:pPr>
          <w:hyperlink w:anchor="_Toc225282882" w:history="1">
            <w:r w:rsidRPr="00B5309A">
              <w:rPr>
                <w:rStyle w:val="Hyperlink"/>
                <w:noProof/>
                <w:lang w:val="it-IT"/>
              </w:rPr>
              <w:t>14.</w:t>
            </w:r>
            <w:r>
              <w:rPr>
                <w:rFonts w:eastAsiaTheme="minorEastAsia"/>
                <w:noProof/>
                <w:lang w:val="it-IT" w:eastAsia="it-IT"/>
              </w:rPr>
              <w:tab/>
            </w:r>
            <w:r w:rsidRPr="00B5309A">
              <w:rPr>
                <w:rStyle w:val="Hyperlink"/>
                <w:noProof/>
              </w:rPr>
              <w:t>Gestione della Configurazione</w:t>
            </w:r>
            <w:r>
              <w:rPr>
                <w:noProof/>
                <w:webHidden/>
              </w:rPr>
              <w:tab/>
            </w:r>
            <w:r>
              <w:rPr>
                <w:noProof/>
                <w:webHidden/>
              </w:rPr>
              <w:fldChar w:fldCharType="begin"/>
            </w:r>
            <w:r>
              <w:rPr>
                <w:noProof/>
                <w:webHidden/>
              </w:rPr>
              <w:instrText xml:space="preserve"> PAGEREF _Toc225282882 \h </w:instrText>
            </w:r>
            <w:r>
              <w:rPr>
                <w:noProof/>
                <w:webHidden/>
              </w:rPr>
            </w:r>
            <w:r>
              <w:rPr>
                <w:noProof/>
                <w:webHidden/>
              </w:rPr>
              <w:fldChar w:fldCharType="separate"/>
            </w:r>
            <w:r>
              <w:rPr>
                <w:noProof/>
                <w:webHidden/>
              </w:rPr>
              <w:t>20</w:t>
            </w:r>
            <w:r>
              <w:rPr>
                <w:noProof/>
                <w:webHidden/>
              </w:rPr>
              <w:fldChar w:fldCharType="end"/>
            </w:r>
          </w:hyperlink>
        </w:p>
        <w:p w14:paraId="1B998A57" w14:textId="0126628F" w:rsidR="004012B1" w:rsidRDefault="03A4E128" w:rsidP="03A4E128">
          <w:pPr>
            <w:pStyle w:val="TOC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pPr/>
      <w:r>
        <w:rPr>
          <w:b w:val="0"/>
        </w:rPr>
        <w:t xml:space="preserve">Questo documento descrive </w:t>
      </w:r>
      <w:r>
        <w:rPr>
          <w:b/>
        </w:rPr>
        <w:t>come SIPO riconosce chi ha davanti e come decide che cosa quella persona può fare</w:t>
      </w:r>
      <w:r>
        <w:rPr>
          <w:b w:val="0"/>
        </w:rPr>
        <w:t>. È una ricognizione dello stato di fatto: non propone un disegno, non valuta alternative e non tratta le conseguenze sui progetti in corso. Dove il sistema si comporta in modo inatteso il documento lo registra come rilievo, senza indicare la correzione.</w:t>
      </w:r>
    </w:p>
    <w:p>
      <w:pPr/>
      <w:r>
        <w:rPr>
          <w:b w:val="0"/>
        </w:rPr>
        <w:t>La ragione per cui serviva metterlo per iscritto è che l’argomento non è trattato in alcun documento esistente, mentre ricorre in ogni discussione di progetto: l’accesso, i ruoli, la competenza territoriale e la tracciabilità sono dati per noti e non lo sono. Ciò che segue è stato ricavato leggendo i sorgenti, non chiedendo a chi li ha scritti.</w:t>
      </w:r>
    </w:p>
    <w:p>
      <w:pPr/>
      <w:r>
        <w:rPr>
          <w:b w:val="0"/>
        </w:rPr>
        <w:t xml:space="preserve">⚠️ </w:t>
      </w:r>
      <w:r>
        <w:rPr>
          <w:b/>
        </w:rPr>
        <w:t>Una precisazione necessaria fin d’ora</w:t>
      </w:r>
      <w:r>
        <w:rPr>
          <w:b w:val="0"/>
        </w:rPr>
        <w:t>: SIPO non autentica nessuno. Non ha una pagina di accesso, non confronta credenziali e non emette una prova di identità. Riceve un’identità già formata e la usa. Tutto il capitolo sull’autenticazione descrive, in sostanza, come questa identità entra e che cosa ne viene fatto.</w:t>
      </w:r>
    </w:p>
    <w:p>
      <w:pPr>
        <w:pStyle w:val="Heading2"/>
      </w:pPr>
      <w:r>
        <w:t>Perimetro e metodo</w:t>
      </w:r>
    </w:p>
    <w:p>
      <w:pPr/>
      <w:r>
        <w:rPr>
          <w:b w:val="0"/>
        </w:rPr>
        <w:t>Sono stati esaminati i sorgenti applicativi di SIPO presenti nel workspace: le cartelle di front-end, back-end, componenti comuni, moduli trasversali e la radice di progetto. Sono esclusi il repository di ANSC, la documentazione di ANPR e i prodotti di terzi inclusi nella radice. È incluso, per il solo capitolo finale, il codice della libreria Angular condivisa.</w:t>
      </w:r>
    </w:p>
    <w:p>
      <w:pPr/>
      <w:r>
        <w:rPr>
          <w:b w:val="0"/>
        </w:rPr>
        <w:t xml:space="preserve">Ogni affermazione tecnica porta il riferimento al file e, quando utile, alla riga. </w:t>
      </w:r>
      <w:r>
        <w:rPr>
          <w:b/>
        </w:rPr>
        <w:t>I conteggi sono stati verificati direttamente e non stimati</w:t>
      </w:r>
      <w:r>
        <w:rPr>
          <w:b w:val="0"/>
        </w:rPr>
        <w:t>; quando una ricerca non ha prodotto risultati, l’assenza è riportata come tale, perché un’assenza accertata è a sua volta un’informazione. Dove le fonti tacciono il documento si ferma e segnala un punto aperto: non completa per congettura.</w:t>
      </w:r>
    </w:p>
    <w:p>
      <w:pPr/>
      <w:r>
        <w:rPr>
          <w:b w:val="0"/>
        </w:rPr>
        <w:t>Vale la pena dichiarare un limite del metodo. Leggendo il codice si accerta che cosa il sistema fa, non che cosa il livello di rete davanti a esso impedisce. Alcuni dei rilievi che seguono sono neutralizzati, in esercizio, da una configurazione di rete che non è fra le sorgenti disponibili: il documento lo dice dove accade, e lo registra come punto aperto anziché tacerlo o darlo per risolto.</w:t>
      </w:r>
    </w:p>
    <w:p>
      <w:pPr>
        <w:pStyle w:val="Heading2"/>
      </w:pPr>
      <w:r>
        <w:t>Glossario</w:t>
      </w:r>
    </w:p>
    <w:tbl>
      <w:tblPr>
        <w:tblStyle w:val="TableGrid"/>
        <w:tblW w:type="auto" w:w="0"/>
        <w:tblLook w:firstColumn="1" w:firstRow="1" w:lastColumn="0" w:lastRow="0" w:noHBand="0" w:noVBand="1" w:val="04A0"/>
      </w:tblPr>
      <w:tblGrid>
        <w:gridCol w:w="4680"/>
        <w:gridCol w:w="4680"/>
      </w:tblGrid>
      <w:tr>
        <w:tc>
          <w:tcPr>
            <w:tcW w:type="dxa" w:w="2160"/>
          </w:tcPr>
          <w:p>
            <w:r/>
            <w:r>
              <w:rPr>
                <w:b/>
                <w:sz w:val="17"/>
              </w:rPr>
              <w:t>Termine</w:t>
            </w:r>
          </w:p>
        </w:tc>
        <w:tc>
          <w:tcPr>
            <w:tcW w:type="dxa" w:w="7200"/>
          </w:tcPr>
          <w:p>
            <w:r/>
            <w:r>
              <w:rPr>
                <w:b/>
                <w:sz w:val="17"/>
              </w:rPr>
              <w:t>Significato in questo documento</w:t>
            </w:r>
          </w:p>
        </w:tc>
      </w:tr>
      <w:tr>
        <w:tc>
          <w:tcPr>
            <w:tcW w:type="dxa" w:w="2160"/>
          </w:tcPr>
          <w:p>
            <w:r/>
            <w:r>
              <w:rPr>
                <w:b w:val="0"/>
                <w:sz w:val="17"/>
              </w:rPr>
              <w:t>Autenticazione</w:t>
            </w:r>
          </w:p>
        </w:tc>
        <w:tc>
          <w:tcPr>
            <w:tcW w:type="dxa" w:w="7200"/>
          </w:tcPr>
          <w:p>
            <w:r/>
            <w:r>
              <w:rPr>
                <w:b w:val="0"/>
                <w:sz w:val="17"/>
              </w:rPr>
              <w:t>Il procedimento con cui si stabilisce chi è l’utente.</w:t>
            </w:r>
          </w:p>
        </w:tc>
      </w:tr>
      <w:tr>
        <w:tc>
          <w:tcPr>
            <w:tcW w:type="dxa" w:w="2160"/>
          </w:tcPr>
          <w:p>
            <w:r/>
            <w:r>
              <w:rPr>
                <w:b w:val="0"/>
                <w:sz w:val="17"/>
              </w:rPr>
              <w:t>Autorizzazione</w:t>
            </w:r>
          </w:p>
        </w:tc>
        <w:tc>
          <w:tcPr>
            <w:tcW w:type="dxa" w:w="7200"/>
          </w:tcPr>
          <w:p>
            <w:r/>
            <w:r>
              <w:rPr>
                <w:b w:val="0"/>
                <w:sz w:val="17"/>
              </w:rPr>
              <w:t>La decisione se un utente già riconosciuto possa compiere una certa azione.</w:t>
            </w:r>
          </w:p>
        </w:tc>
      </w:tr>
      <w:tr>
        <w:tc>
          <w:tcPr>
            <w:tcW w:type="dxa" w:w="2160"/>
          </w:tcPr>
          <w:p>
            <w:r/>
            <w:r>
              <w:rPr>
                <w:b w:val="0"/>
                <w:sz w:val="17"/>
              </w:rPr>
              <w:t>Profilazione</w:t>
            </w:r>
          </w:p>
        </w:tc>
        <w:tc>
          <w:tcPr>
            <w:tcW w:type="dxa" w:w="7200"/>
          </w:tcPr>
          <w:p>
            <w:r/>
            <w:r>
              <w:rPr>
                <w:b w:val="0"/>
                <w:sz w:val="17"/>
              </w:rPr>
              <w:t>L’insieme dei dati che descrivono l’utente ai fini della decisione: ruoli, funzionalità abilitate, ambito organizzativo.</w:t>
            </w:r>
          </w:p>
        </w:tc>
      </w:tr>
      <w:tr>
        <w:tc>
          <w:tcPr>
            <w:tcW w:type="dxa" w:w="2160"/>
          </w:tcPr>
          <w:p>
            <w:r/>
            <w:r>
              <w:rPr>
                <w:b w:val="0"/>
                <w:sz w:val="17"/>
              </w:rPr>
              <w:t>Pre-autenticazione</w:t>
            </w:r>
          </w:p>
        </w:tc>
        <w:tc>
          <w:tcPr>
            <w:tcW w:type="dxa" w:w="7200"/>
          </w:tcPr>
          <w:p>
            <w:r/>
            <w:r>
              <w:rPr>
                <w:b w:val="0"/>
                <w:sz w:val="17"/>
              </w:rPr>
              <w:t>Il modo di lavorare in cui l’applicativo non verifica credenziali ma si fida di un’identità stabilita a monte e trasmessa insieme alla richiesta.</w:t>
            </w:r>
          </w:p>
        </w:tc>
      </w:tr>
      <w:tr>
        <w:tc>
          <w:tcPr>
            <w:tcW w:type="dxa" w:w="2160"/>
          </w:tcPr>
          <w:p>
            <w:r/>
            <w:r>
              <w:rPr>
                <w:b w:val="0"/>
                <w:sz w:val="17"/>
              </w:rPr>
              <w:t>Giunzione</w:t>
            </w:r>
          </w:p>
        </w:tc>
        <w:tc>
          <w:tcPr>
            <w:tcW w:type="dxa" w:w="7200"/>
          </w:tcPr>
          <w:p>
            <w:r/>
            <w:r>
              <w:rPr>
                <w:b w:val="0"/>
                <w:sz w:val="17"/>
              </w:rPr>
              <w:t>Il punto della rete che intercetta la richiesta del browser, la associa alla sessione del portale e la inoltra all’applicativo aggiungendovi l’identità.</w:t>
            </w:r>
          </w:p>
        </w:tc>
      </w:tr>
      <w:tr>
        <w:tc>
          <w:tcPr>
            <w:tcW w:type="dxa" w:w="2160"/>
          </w:tcPr>
          <w:p>
            <w:r/>
            <w:r>
              <w:rPr>
                <w:b w:val="0"/>
                <w:sz w:val="17"/>
              </w:rPr>
              <w:t>Ruolo</w:t>
            </w:r>
          </w:p>
        </w:tc>
        <w:tc>
          <w:tcPr>
            <w:tcW w:type="dxa" w:w="7200"/>
          </w:tcPr>
          <w:p>
            <w:r/>
            <w:r>
              <w:rPr>
                <w:b w:val="0"/>
                <w:sz w:val="17"/>
              </w:rPr>
              <w:t>Nel sistema attuale, una riga di CONF_RUOLI. Genera l’autorità ROLE_&lt;nome&gt; valutata dalle regole di sicurezza.</w:t>
            </w:r>
          </w:p>
        </w:tc>
      </w:tr>
      <w:tr>
        <w:tc>
          <w:tcPr>
            <w:tcW w:type="dxa" w:w="2160"/>
          </w:tcPr>
          <w:p>
            <w:r/>
            <w:r>
              <w:rPr>
                <w:b w:val="0"/>
                <w:sz w:val="17"/>
              </w:rPr>
              <w:t>Funzionalità</w:t>
            </w:r>
          </w:p>
        </w:tc>
        <w:tc>
          <w:tcPr>
            <w:tcW w:type="dxa" w:w="7200"/>
          </w:tcPr>
          <w:p>
            <w:r/>
            <w:r>
              <w:rPr>
                <w:b w:val="0"/>
                <w:sz w:val="17"/>
              </w:rPr>
              <w:t>Una riga di CONF_FUNZIONALITA: una voce di menu con il proprio indirizzo di pagina.</w:t>
            </w:r>
          </w:p>
        </w:tc>
      </w:tr>
      <w:tr>
        <w:tc>
          <w:tcPr>
            <w:tcW w:type="dxa" w:w="2160"/>
          </w:tcPr>
          <w:p>
            <w:r/>
            <w:r>
              <w:rPr>
                <w:b w:val="0"/>
                <w:sz w:val="17"/>
              </w:rPr>
              <w:t>Abilitazione</w:t>
            </w:r>
          </w:p>
        </w:tc>
        <w:tc>
          <w:tcPr>
            <w:tcW w:type="dxa" w:w="7200"/>
          </w:tcPr>
          <w:p>
            <w:r/>
            <w:r>
              <w:rPr>
                <w:b w:val="0"/>
                <w:sz w:val="17"/>
              </w:rPr>
              <w:t>Nel modello della libreria Angular, una stringa nell’elenco user.abilitazioni del profilo. È il corrispondente più prossimo della funzionalità.</w:t>
            </w:r>
          </w:p>
        </w:tc>
      </w:tr>
      <w:tr>
        <w:tc>
          <w:tcPr>
            <w:tcW w:type="dxa" w:w="2160"/>
          </w:tcPr>
          <w:p>
            <w:r/>
            <w:r>
              <w:rPr>
                <w:b w:val="0"/>
                <w:sz w:val="17"/>
              </w:rPr>
              <w:t>Utenza tecnica</w:t>
            </w:r>
          </w:p>
        </w:tc>
        <w:tc>
          <w:tcPr>
            <w:tcW w:type="dxa" w:w="7200"/>
          </w:tcPr>
          <w:p>
            <w:r/>
            <w:r>
              <w:rPr>
                <w:b w:val="0"/>
                <w:sz w:val="17"/>
              </w:rPr>
              <w:t>Una riga di CONF_APP_USER: un’identità applicativa usata per chiamare i servizi di back-end, distinta dalle persone.</w:t>
            </w:r>
          </w:p>
        </w:tc>
      </w:tr>
    </w:tbl>
    <w:p>
      <w:pPr>
        <w:pStyle w:val="Heading2"/>
      </w:pPr>
      <w:r>
        <w:t>Riferimenti</w:t>
      </w:r>
    </w:p>
    <w:tbl>
      <w:tblPr>
        <w:tblStyle w:val="TableGrid"/>
        <w:tblW w:type="auto" w:w="0"/>
        <w:tblLook w:firstColumn="1" w:firstRow="1" w:lastColumn="0" w:lastRow="0" w:noHBand="0" w:noVBand="1" w:val="04A0"/>
      </w:tblPr>
      <w:tblGrid>
        <w:gridCol w:w="3120"/>
        <w:gridCol w:w="3120"/>
        <w:gridCol w:w="3120"/>
      </w:tblGrid>
      <w:tr>
        <w:tc>
          <w:tcPr>
            <w:tcW w:type="dxa" w:w="792"/>
          </w:tcPr>
          <w:p>
            <w:r/>
            <w:r>
              <w:rPr>
                <w:b/>
                <w:sz w:val="17"/>
              </w:rPr>
              <w:t>#</w:t>
            </w:r>
          </w:p>
        </w:tc>
        <w:tc>
          <w:tcPr>
            <w:tcW w:type="dxa" w:w="6408"/>
          </w:tcPr>
          <w:p>
            <w:r/>
            <w:r>
              <w:rPr>
                <w:b/>
                <w:sz w:val="17"/>
              </w:rPr>
              <w:t>Riferimento</w:t>
            </w:r>
          </w:p>
        </w:tc>
        <w:tc>
          <w:tcPr>
            <w:tcW w:type="dxa" w:w="2160"/>
          </w:tcPr>
          <w:p>
            <w:r/>
            <w:r>
              <w:rPr>
                <w:b/>
                <w:sz w:val="17"/>
              </w:rPr>
              <w:t>Natura</w:t>
            </w:r>
          </w:p>
        </w:tc>
      </w:tr>
      <w:tr>
        <w:tc>
          <w:tcPr>
            <w:tcW w:type="dxa" w:w="792"/>
          </w:tcPr>
          <w:p>
            <w:r/>
            <w:r>
              <w:rPr>
                <w:b w:val="0"/>
                <w:sz w:val="17"/>
              </w:rPr>
              <w:t>[S1]</w:t>
            </w:r>
          </w:p>
        </w:tc>
        <w:tc>
          <w:tcPr>
            <w:tcW w:type="dxa" w:w="6408"/>
          </w:tcPr>
          <w:p>
            <w:r/>
            <w:r>
              <w:rPr>
                <w:b w:val="0"/>
                <w:sz w:val="17"/>
              </w:rPr>
              <w:t>common/profilazione-utente/ProfilazioneUtente — filtro di ingresso, configurazione di sicurezza del front-end, modello dell’utente di sessione, accesso ai dati di profilazione</w:t>
            </w:r>
          </w:p>
        </w:tc>
        <w:tc>
          <w:tcPr>
            <w:tcW w:type="dxa" w:w="2160"/>
          </w:tcPr>
          <w:p>
            <w:r/>
            <w:r>
              <w:rPr>
                <w:b w:val="0"/>
                <w:sz w:val="17"/>
              </w:rPr>
              <w:t>Sorgente applicativo</w:t>
            </w:r>
          </w:p>
        </w:tc>
      </w:tr>
      <w:tr>
        <w:tc>
          <w:tcPr>
            <w:tcW w:type="dxa" w:w="792"/>
          </w:tcPr>
          <w:p>
            <w:r/>
            <w:r>
              <w:rPr>
                <w:b w:val="0"/>
                <w:sz w:val="17"/>
              </w:rPr>
              <w:t>[S2]</w:t>
            </w:r>
          </w:p>
        </w:tc>
        <w:tc>
          <w:tcPr>
            <w:tcW w:type="dxa" w:w="6408"/>
          </w:tcPr>
          <w:p>
            <w:r/>
            <w:r>
              <w:rPr>
                <w:b w:val="0"/>
                <w:sz w:val="17"/>
              </w:rPr>
              <w:t>common/rest-security/RestSecurity — server di autorizzazione OAuth2, resource server, caricamento delle utenze tecniche</w:t>
            </w:r>
          </w:p>
        </w:tc>
        <w:tc>
          <w:tcPr>
            <w:tcW w:type="dxa" w:w="2160"/>
          </w:tcPr>
          <w:p>
            <w:r/>
            <w:r>
              <w:rPr>
                <w:b w:val="0"/>
                <w:sz w:val="17"/>
              </w:rPr>
              <w:t>Sorgente applicativo</w:t>
            </w:r>
          </w:p>
        </w:tc>
      </w:tr>
      <w:tr>
        <w:tc>
          <w:tcPr>
            <w:tcW w:type="dxa" w:w="792"/>
          </w:tcPr>
          <w:p>
            <w:r/>
            <w:r>
              <w:rPr>
                <w:b w:val="0"/>
                <w:sz w:val="17"/>
              </w:rPr>
              <w:t>[S3]</w:t>
            </w:r>
          </w:p>
        </w:tc>
        <w:tc>
          <w:tcPr>
            <w:tcW w:type="dxa" w:w="6408"/>
          </w:tcPr>
          <w:p>
            <w:r/>
            <w:r>
              <w:rPr>
                <w:b w:val="0"/>
                <w:sz w:val="17"/>
              </w:rPr>
              <w:t>common/rest-client/RestClient — client delle chiamate fra front-end e back-end, con le proprietà clientConfig.properties</w:t>
            </w:r>
          </w:p>
        </w:tc>
        <w:tc>
          <w:tcPr>
            <w:tcW w:type="dxa" w:w="2160"/>
          </w:tcPr>
          <w:p>
            <w:r/>
            <w:r>
              <w:rPr>
                <w:b w:val="0"/>
                <w:sz w:val="17"/>
              </w:rPr>
              <w:t>Sorgente applicativo</w:t>
            </w:r>
          </w:p>
        </w:tc>
      </w:tr>
      <w:tr>
        <w:tc>
          <w:tcPr>
            <w:tcW w:type="dxa" w:w="792"/>
          </w:tcPr>
          <w:p>
            <w:r/>
            <w:r>
              <w:rPr>
                <w:b w:val="0"/>
                <w:sz w:val="17"/>
              </w:rPr>
              <w:t>[S4]</w:t>
            </w:r>
          </w:p>
        </w:tc>
        <w:tc>
          <w:tcPr>
            <w:tcW w:type="dxa" w:w="6408"/>
          </w:tcPr>
          <w:p>
            <w:r/>
            <w:r>
              <w:rPr>
                <w:b w:val="0"/>
                <w:sz w:val="17"/>
              </w:rPr>
              <w:t>common/anagrafe-entities/AnagrafeEntities — entità JPA delle tabelle di profilazione dello schema ANAG_USR</w:t>
            </w:r>
          </w:p>
        </w:tc>
        <w:tc>
          <w:tcPr>
            <w:tcW w:type="dxa" w:w="2160"/>
          </w:tcPr>
          <w:p>
            <w:r/>
            <w:r>
              <w:rPr>
                <w:b w:val="0"/>
                <w:sz w:val="17"/>
              </w:rPr>
              <w:t>Sorgente applicativo</w:t>
            </w:r>
          </w:p>
        </w:tc>
      </w:tr>
      <w:tr>
        <w:tc>
          <w:tcPr>
            <w:tcW w:type="dxa" w:w="792"/>
          </w:tcPr>
          <w:p>
            <w:r/>
            <w:r>
              <w:rPr>
                <w:b w:val="0"/>
                <w:sz w:val="17"/>
              </w:rPr>
              <w:t>[S5]</w:t>
            </w:r>
          </w:p>
        </w:tc>
        <w:tc>
          <w:tcPr>
            <w:tcW w:type="dxa" w:w="6408"/>
          </w:tcPr>
          <w:p>
            <w:r/>
            <w:r>
              <w:rPr>
                <w:b w:val="0"/>
                <w:sz w:val="17"/>
              </w:rPr>
              <w:t>common/commo-web/CommonWeb — controller e frammenti Thymeleaf condivisi, fra cui l’intestazione che costruisce il menu</w:t>
            </w:r>
          </w:p>
        </w:tc>
        <w:tc>
          <w:tcPr>
            <w:tcW w:type="dxa" w:w="2160"/>
          </w:tcPr>
          <w:p>
            <w:r/>
            <w:r>
              <w:rPr>
                <w:b w:val="0"/>
                <w:sz w:val="17"/>
              </w:rPr>
              <w:t>Sorgente applicativo</w:t>
            </w:r>
          </w:p>
        </w:tc>
      </w:tr>
      <w:tr>
        <w:tc>
          <w:tcPr>
            <w:tcW w:type="dxa" w:w="792"/>
          </w:tcPr>
          <w:p>
            <w:r/>
            <w:r>
              <w:rPr>
                <w:b w:val="0"/>
                <w:sz w:val="17"/>
              </w:rPr>
              <w:t>[S6]</w:t>
            </w:r>
          </w:p>
        </w:tc>
        <w:tc>
          <w:tcPr>
            <w:tcW w:type="dxa" w:w="6408"/>
          </w:tcPr>
          <w:p>
            <w:r/>
            <w:r>
              <w:rPr>
                <w:b w:val="0"/>
                <w:sz w:val="17"/>
              </w:rPr>
              <w:t>fsha_mf-shared-library-main — libreria Angular condivisa di Roma Capitale (servizi di autenticazione e autorizzazione, guardie, intercettori)</w:t>
            </w:r>
          </w:p>
        </w:tc>
        <w:tc>
          <w:tcPr>
            <w:tcW w:type="dxa" w:w="2160"/>
          </w:tcPr>
          <w:p>
            <w:r/>
            <w:r>
              <w:rPr>
                <w:b w:val="0"/>
                <w:sz w:val="17"/>
              </w:rPr>
              <w:t>Sorgente applicativo</w:t>
            </w:r>
          </w:p>
        </w:tc>
      </w:tr>
      <w:tr>
        <w:tc>
          <w:tcPr>
            <w:tcW w:type="dxa" w:w="792"/>
          </w:tcPr>
          <w:p>
            <w:r/>
            <w:r>
              <w:rPr>
                <w:b w:val="0"/>
                <w:sz w:val="17"/>
              </w:rPr>
              <w:t>[S7]</w:t>
            </w:r>
          </w:p>
        </w:tc>
        <w:tc>
          <w:tcPr>
            <w:tcW w:type="dxa" w:w="6408"/>
          </w:tcPr>
          <w:p>
            <w:r/>
            <w:r>
              <w:rPr>
                <w:b w:val="0"/>
                <w:sz w:val="17"/>
              </w:rPr>
              <w:t>ANALISI_Front-End-Angular_v0.4.docx — impostazione del front-end Angular sulla libreria condivisa</w:t>
            </w:r>
          </w:p>
        </w:tc>
        <w:tc>
          <w:tcPr>
            <w:tcW w:type="dxa" w:w="2160"/>
          </w:tcPr>
          <w:p>
            <w:r/>
            <w:r>
              <w:rPr>
                <w:b w:val="0"/>
                <w:sz w:val="17"/>
              </w:rPr>
              <w:t>Documento di progetto</w:t>
            </w:r>
          </w:p>
        </w:tc>
      </w:tr>
    </w:tbl>
    <w:p>
      <w:pPr>
        <w:pStyle w:val="Heading1"/>
      </w:pPr>
      <w:r>
        <w:t>Il quadro d’insieme</w:t>
      </w:r>
    </w:p>
    <w:p>
      <w:pPr/>
      <w:r>
        <w:rPr>
          <w:b w:val="0"/>
        </w:rPr>
        <w:t xml:space="preserve">La catena che porta un operatore dalla propria postazione fino a un dato di SIPO attraversa sei passaggi, e </w:t>
      </w:r>
      <w:r>
        <w:rPr>
          <w:b/>
        </w:rPr>
        <w:t>nessuno di quelli interni all’applicativo verifica una credenziale</w:t>
      </w:r>
      <w:r>
        <w:rPr>
          <w:b w:val="0"/>
        </w:rPr>
        <w:t>. Il riconoscimento avviene fuori; dentro, ciò che accade è la traduzione di un’identità ricevuta in un insieme di autorità, e l’uso di quelle autorità per consentire o negare l’accesso a un indirizzo.</w:t>
      </w:r>
    </w:p>
    <w:p>
      <w:r>
        <w:drawing>
          <wp:inline xmlns:a="http://schemas.openxmlformats.org/drawingml/2006/main" xmlns:pic="http://schemas.openxmlformats.org/drawingml/2006/picture">
            <wp:extent cx="5760720" cy="4429921"/>
            <wp:docPr id="1468249206" name="Picture 1468249206"/>
            <wp:cNvGraphicFramePr>
              <a:graphicFrameLocks noChangeAspect="1"/>
            </wp:cNvGraphicFramePr>
            <a:graphic>
              <a:graphicData uri="http://schemas.openxmlformats.org/drawingml/2006/picture">
                <pic:pic>
                  <pic:nvPicPr>
                    <pic:cNvPr id="0" name="aut_catena.png"/>
                    <pic:cNvPicPr/>
                  </pic:nvPicPr>
                  <pic:blipFill>
                    <a:blip r:embed="rId18"/>
                    <a:stretch>
                      <a:fillRect/>
                    </a:stretch>
                  </pic:blipFill>
                  <pic:spPr>
                    <a:xfrm>
                      <a:off x="0" y="0"/>
                      <a:ext cx="5760720" cy="4429921"/>
                    </a:xfrm>
                    <a:prstGeom prst="rect"/>
                  </pic:spPr>
                </pic:pic>
              </a:graphicData>
            </a:graphic>
          </wp:inline>
        </w:drawing>
      </w:r>
    </w:p>
    <w:p>
      <w:r>
        <w:rPr>
          <w:i/>
          <w:sz w:val="18"/>
        </w:rPr>
        <w:t>Figura 1 — La catena dell’accesso. Il pallino rosso segna i punti in cui un elemento è accolto senza essere verificato.</w:t>
      </w:r>
    </w:p>
    <w:p>
      <w:pPr/>
      <w:r>
        <w:rPr>
          <w:b w:val="0"/>
        </w:rPr>
        <w:t xml:space="preserve">Il disegno mette in evidenza una simmetria che conviene tenere a mente leggendo il resto: </w:t>
      </w:r>
      <w:r>
        <w:rPr>
          <w:b/>
        </w:rPr>
        <w:t>l’identità della persona vive nella sessione del front-end e si ferma lì</w:t>
      </w:r>
      <w:r>
        <w:rPr>
          <w:b w:val="0"/>
        </w:rPr>
        <w:t>. Verso il basso, cioè verso i back-end, non prosegue: al suo posto viaggia un’utenza tecnica scelta in base al ruolo. Verso l’alto, cioè verso il contesto di sicurezza di Spring, prosegue soltanto l’elenco delle autorità. Sono tre rappresentazioni della stessa persona, che non si parlano fra loro.</w:t>
      </w:r>
    </w:p>
    <w:p>
      <w:pPr>
        <w:pStyle w:val="Heading1"/>
      </w:pPr>
      <w:r>
        <w:t>L’autenticazione</w:t>
      </w:r>
    </w:p>
    <w:p>
      <w:pPr>
        <w:pStyle w:val="Heading2"/>
      </w:pPr>
      <w:r>
        <w:t>Non esiste un accesso applicativo</w:t>
      </w:r>
    </w:p>
    <w:p>
      <w:pPr/>
      <w:r>
        <w:rPr>
          <w:b w:val="0"/>
        </w:rPr>
        <w:t>La ricerca di un punto di accesso in SIPO non produce risultati: non c’è un controller che riceva credenziali, non c’è una pagina che le chieda, non c’è un servizio che le verifichi. Le rotte «/login» che compaiono in alcune configurazioni di back-end sono dichiarate accessibili a tutti e appartengono al modulo di form predefinito, il cui gestore delle credenziali non è configurato: sono un residuo, non una funzione.</w:t>
      </w:r>
    </w:p>
    <w:p>
      <w:pPr/>
      <w:r>
        <w:rPr>
          <w:b w:val="0"/>
        </w:rPr>
        <w:t xml:space="preserve">Il fatto merita di essere affermato con chiarezza perché ha un corollario pratico: </w:t>
      </w:r>
      <w:r>
        <w:rPr>
          <w:b/>
        </w:rPr>
        <w:t>non esiste, in SIPO, un luogo in cui si possa intervenire sull’accesso</w:t>
      </w:r>
      <w:r>
        <w:rPr>
          <w:b w:val="0"/>
        </w:rPr>
        <w:t>. Qualunque cambiamento riguardi il modo in cui gli operatori si identificano si decide altrove e arriva a SIPO come un cambiamento del formato degli header.</w:t>
      </w:r>
    </w:p>
    <w:p>
      <w:pPr>
        <w:pStyle w:val="Heading2"/>
      </w:pPr>
      <w:r>
        <w:t>L’ingresso: il filtro di portale e gli header di identità</w:t>
      </w:r>
    </w:p>
    <w:p>
      <w:pPr/>
      <w:r>
        <w:rPr>
          <w:b w:val="0"/>
        </w:rPr>
        <w:t>Il percorso comincia con un indirizzo della forma «/&lt;Modulo&gt;Web/init/default?goUrl=…», intercettato da un filtro di servlet registrato sul solo schema «/init/*» (FilterConfig.java:13-21). Il filtro è CdRLoginFilter [S1], e ciò che fa è leggere l’identità dagli header della richiesta HTTP (righe 91-92 e 132-142).</w:t>
      </w:r>
    </w:p>
    <w:p>
      <w:pPr/>
      <w:r>
        <w:rPr>
          <w:b w:val="0"/>
        </w:rPr>
        <w:t>Gli header sono dichiarati in un file di proprietà (portale.properties:22-37) e portano, oltre all’identificativo dell’utente e al gruppo di appartenenza, i dati anagrafici di chi accede:</w:t>
      </w:r>
    </w:p>
    <w:p>
      <w:r>
        <w:rPr>
          <w:rFonts w:ascii="Courier New" w:hAnsi="Courier New"/>
          <w:sz w:val="17"/>
        </w:rPr>
        <w:t>cdr.portale.userIdHeaderParam=iv-user</w:t>
        <w:br/>
        <w:t>cdr.portale.groupIdHeaderParam=sysgroup</w:t>
        <w:br/>
        <w:t>cdr.portale.codFisHeaderParam=iv-codfis</w:t>
        <w:br/>
        <w:t>cdr.portale.nomeHeaderParam=iv-nome   ·   cognomeHeaderParam=iv-cognome</w:t>
        <w:br/>
        <w:t>cdr.portale.nascitaDataIdHeaderParam=iv-nascita-data   ·   … e altri dieci</w:t>
      </w:r>
    </w:p>
    <w:p>
      <w:pPr/>
      <w:r>
        <w:rPr>
          <w:b w:val="0"/>
        </w:rPr>
        <w:t>Il prefisso «iv-» e l’indirizzo di disconnessione configurato per i tre ambienti (dynamicGeneric.properties:4-10, che per lo sviluppo punta a «comune.roma.it/oamsso-bin/logout.pl») identificano il prodotto a monte come il sistema di accesso unico del portale di Roma Capitale. Quando la sessione manca, il punto di ingresso della sicurezza rinvia al portale con un indirizzo scritto nel codice (CustomSecurityEntryPoint.java:23-30).</w:t>
      </w:r>
    </w:p>
    <w:p>
      <w:pPr/>
      <w:r>
        <w:rPr>
          <w:b w:val="0"/>
        </w:rPr>
        <w:t xml:space="preserve">⚠️ </w:t>
      </w:r>
      <w:r>
        <w:rPr>
          <w:b/>
        </w:rPr>
        <w:t>Nessuna verifica crittografica accompagna gli header.</w:t>
      </w:r>
      <w:r>
        <w:rPr>
          <w:b w:val="0"/>
        </w:rPr>
        <w:t xml:space="preserve"> Non c’è una firma da controllare, non c’è un segreto condiviso con la giunzione, non c’è un elenco di indirizzi di provenienza ammessi. L’identità è quella che la richiesta dichiara, e l’unica cosa che impedisce di dichiararne una falsa è che nessuno possa parlare con l’applicativo senza passare per la giunzione. Questa condizione è un’assunzione di rete, non una proprietà del codice, e la sua verifica è il punto aperto PA-2.</w:t>
      </w:r>
    </w:p>
    <w:p>
      <w:pPr/>
      <w:r>
        <w:rPr>
          <w:b w:val="0"/>
        </w:rPr>
        <w:t>Il filtro distingue poi due popolazioni (righe 95-107): se l’identificativo è un codice fiscale, oppure se il gruppo è quello dei cittadini, l’utente è trattato come cittadino e i suoi dati anagrafici sono presi dagli header; altrimenti è trattato come dipendente. In entrambi i casi ruoli e funzionalità sono poi letti dal database (righe 113 e 195-253), e l’oggetto risultante è depositato nella sessione con il nome LOGIN_USER (riga 232).</w:t>
      </w:r>
    </w:p>
    <w:p>
      <w:pPr/>
      <w:r>
        <w:rPr>
          <w:b w:val="0"/>
        </w:rPr>
        <w:t xml:space="preserve">⚠️ Esiste un secondo modo di entrare. Se la richiesta porta il parametro «mode=local», l’identificativo dell’utente e il gruppo </w:t>
      </w:r>
      <w:r>
        <w:rPr>
          <w:b/>
        </w:rPr>
        <w:t>non sono letti dagli header ma dagli attributi di sessione</w:t>
      </w:r>
      <w:r>
        <w:rPr>
          <w:b w:val="0"/>
        </w:rPr>
        <w:t xml:space="preserve"> (righe 83-88). È una comodità di sviluppo; non è però condizionata al profilo attivo né all’ambiente, e resta quindi presente nel codice che va in esercizio.</w:t>
      </w:r>
    </w:p>
    <w:p>
      <w:pPr>
        <w:pStyle w:val="Heading2"/>
      </w:pPr>
      <w:r>
        <w:t>Dalla sessione al contesto di sicurezza</w:t>
      </w:r>
    </w:p>
    <w:p>
      <w:pPr/>
      <w:r>
        <w:rPr>
          <w:b w:val="0"/>
        </w:rPr>
        <w:t xml:space="preserve">Il secondo filtro della catena, CustomAuthenticationProcessingFilter [S1], è la cerniera fra il mondo del portale e quello di Spring Security. Prende come soggetto autenticato il nome utente contenuto in LOGIN_USER (righe 32-41) e costruisce un gettone di pre-autenticazione in cui </w:t>
      </w:r>
      <w:r>
        <w:rPr>
          <w:b/>
        </w:rPr>
        <w:t>le credenziali sono la stringa vuota</w:t>
      </w:r>
      <w:r>
        <w:rPr>
          <w:b w:val="0"/>
        </w:rPr>
        <w:t xml:space="preserve"> (riga 43-45):</w:t>
      </w:r>
    </w:p>
    <w:p>
      <w:r>
        <w:rPr>
          <w:rFonts w:ascii="Courier New" w:hAnsi="Courier New"/>
          <w:sz w:val="17"/>
        </w:rPr>
        <w:t>new PreAuthenticatedAuthenticationToken(utenteSSO.getCf(), "")</w:t>
      </w:r>
    </w:p>
    <w:p>
      <w:pPr/>
      <w:r>
        <w:rPr>
          <w:b w:val="0"/>
        </w:rPr>
        <w:t>È la forma canonica della pre-autenticazione, e dice in una riga ciò che il capitolo intero descrive: non c’è nulla da verificare, perché la verifica è già avvenuta altrove. Il gettone viene autenticato, dichiarato valido e riposto nel contesto di sicurezza insieme alle autorità (righe 57-79); le stesse autorità sono anche scritte in sessione sotto il nome «ruoli» (riga 75).</w:t>
      </w:r>
    </w:p>
    <w:p>
      <w:pPr/>
      <w:r>
        <w:rPr>
          <w:b w:val="0"/>
        </w:rPr>
        <w:t xml:space="preserve">Le autorità provengono da MyUserDetailsService [S1], che le costruisce anteponendo il prefisso «ROLE_» al nome del ruolo letto dal database (righe 30-57). Vi è un comportamento di ripiego che vale la pena conoscere: </w:t>
      </w:r>
      <w:r>
        <w:rPr>
          <w:b/>
        </w:rPr>
        <w:t>se il nome utente è un codice fiscale e nessun ruolo risulta assegnato, l’utente riceve comunque l’autorità ROLE_CITTADINO_CRI_ON</w:t>
      </w:r>
      <w:r>
        <w:rPr>
          <w:b w:val="0"/>
        </w:rPr>
        <w:t xml:space="preserve"> (righe 41-43). Un ripiego analogo esiste lato back-end (AppUserDetailsService.java:42-44).</w:t>
      </w:r>
    </w:p>
    <w:p>
      <w:pPr>
        <w:pStyle w:val="Heading2"/>
      </w:pPr>
      <w:r>
        <w:t>Dove risiede l’identità a sistema acceso</w:t>
      </w:r>
    </w:p>
    <w:p>
      <w:pPr/>
      <w:r>
        <w:rPr>
          <w:b w:val="0"/>
        </w:rPr>
        <w:t>Coesistono due rappresentazioni dell’utente, e non sono sincronizzate fra loro.</w:t>
      </w:r>
    </w:p>
    <w:p>
      <w:pPr/>
      <w:r>
        <w:rPr>
          <w:b w:val="0"/>
        </w:rPr>
        <w:t>La prima, e la sola che il codice applicativo consulti, è l’oggetto depositato in sessione. È una classe con oltre cinquanta campi: identificativo, nome, cognome, codice fiscale, ruolo, gruppo, organizzazione e sua descrizione, struttura convenzionata, indirizzo di base, indirizzo IP della postazione, più sette indicatori di presenza per i gruppi di funzionalità, l’elenco dei ruoli e quello delle aree tematiche. I controller la ricevono per iniezione dichiarativa:</w:t>
      </w:r>
    </w:p>
    <w:p>
      <w:r>
        <w:rPr>
          <w:rFonts w:ascii="Courier New" w:hAnsi="Courier New"/>
          <w:sz w:val="17"/>
        </w:rPr>
        <w:t>@SessionAttribute("LOGIN_USER") User user</w:t>
      </w:r>
    </w:p>
    <w:p>
      <w:pPr/>
      <w:r>
        <w:rPr>
          <w:b w:val="0"/>
        </w:rPr>
        <w:t xml:space="preserve">La diffusione di questo schema è la migliore misura della sua centralità: la stringa LOGIN_USER </w:t>
      </w:r>
      <w:r>
        <w:rPr>
          <w:b/>
        </w:rPr>
        <w:t>ricorre in 8.975 righe</w:t>
      </w:r>
      <w:r>
        <w:rPr>
          <w:b w:val="0"/>
        </w:rPr>
        <w:t xml:space="preserve"> fra front-end, componenti comuni e back-end. Anche le viste vi attingono direttamente, a partire dal frammento di intestazione condiviso (header.html:3, [S5]).</w:t>
      </w:r>
    </w:p>
    <w:p>
      <w:pPr/>
      <w:r>
        <w:rPr>
          <w:b w:val="0"/>
        </w:rPr>
        <w:t xml:space="preserve">La seconda rappresentazione è il contesto di sicurezza di Spring. Il soggetto che vi risiede è un oggetto diverso, omonimo ma di un altro pacchetto, che porta soltanto il nome utente e le autorità. Serve a valutare le regole di sicurezza e nient’altro: </w:t>
      </w:r>
      <w:r>
        <w:rPr>
          <w:b/>
        </w:rPr>
        <w:t>nessun controller applicativo legge l’identità da qui</w:t>
      </w:r>
      <w:r>
        <w:rPr>
          <w:b w:val="0"/>
        </w:rPr>
        <w:t>. Nei sorgenti, il contesto è interrogato direttamente in tre soli punti, tutti appartenenti all’infrastruttura di sicurezza.</w:t>
      </w:r>
    </w:p>
    <w:p>
      <w:pPr>
        <w:pStyle w:val="Heading2"/>
      </w:pPr>
      <w:r>
        <w:t>La sessione</w:t>
      </w:r>
    </w:p>
    <w:p>
      <w:pPr/>
      <w:r>
        <w:rPr>
          <w:b w:val="0"/>
        </w:rPr>
        <w:t>Il contenitore è la sessione HTTP standard del contenitore servlet, con il cookie JSESSIONID (nominato in SecurityConfig.java:348, dove la disconnessione lo cancella). Attorno a questa scelta, semplice e adeguata, mancano però tutti i parametri che di norma l’accompagnano.</w:t>
      </w:r>
    </w:p>
    <w:tbl>
      <w:tblPr>
        <w:tblStyle w:val="TableGrid"/>
        <w:tblW w:type="auto" w:w="0"/>
        <w:tblLook w:firstColumn="1" w:firstRow="1" w:lastColumn="0" w:lastRow="0" w:noHBand="0" w:noVBand="1" w:val="04A0"/>
      </w:tblPr>
      <w:tblGrid>
        <w:gridCol w:w="4680"/>
        <w:gridCol w:w="4680"/>
      </w:tblGrid>
      <w:tr>
        <w:tc>
          <w:tcPr>
            <w:tcW w:type="dxa" w:w="2304"/>
          </w:tcPr>
          <w:p>
            <w:r/>
            <w:r>
              <w:rPr>
                <w:b/>
                <w:sz w:val="17"/>
              </w:rPr>
              <w:t>Aspetto</w:t>
            </w:r>
          </w:p>
        </w:tc>
        <w:tc>
          <w:tcPr>
            <w:tcW w:type="dxa" w:w="7056"/>
          </w:tcPr>
          <w:p>
            <w:r/>
            <w:r>
              <w:rPr>
                <w:b/>
                <w:sz w:val="17"/>
              </w:rPr>
              <w:t>Stato di fatto</w:t>
            </w:r>
          </w:p>
        </w:tc>
      </w:tr>
      <w:tr>
        <w:tc>
          <w:tcPr>
            <w:tcW w:type="dxa" w:w="2304"/>
          </w:tcPr>
          <w:p>
            <w:r/>
            <w:r>
              <w:rPr>
                <w:b w:val="0"/>
                <w:sz w:val="17"/>
              </w:rPr>
              <w:t>Durata della sessione</w:t>
            </w:r>
          </w:p>
        </w:tc>
        <w:tc>
          <w:tcPr>
            <w:tcW w:type="dxa" w:w="7056"/>
          </w:tcPr>
          <w:p>
            <w:r/>
            <w:r>
              <w:rPr>
                <w:b w:val="0"/>
                <w:sz w:val="17"/>
              </w:rPr>
              <w:t>Configurata da un solo modulo su circa trentaquattro: statistica-web dichiara server.servlet.session.timeout=1800. Per tutti gli altri vale il valore predefinito del contenitore. Nessun punto del codice imposta la durata in modo programmatico.</w:t>
            </w:r>
          </w:p>
        </w:tc>
      </w:tr>
      <w:tr>
        <w:tc>
          <w:tcPr>
            <w:tcW w:type="dxa" w:w="2304"/>
          </w:tcPr>
          <w:p>
            <w:r/>
            <w:r>
              <w:rPr>
                <w:b w:val="0"/>
                <w:sz w:val="17"/>
              </w:rPr>
              <w:t>Attributi del cookie</w:t>
            </w:r>
          </w:p>
        </w:tc>
        <w:tc>
          <w:tcPr>
            <w:tcW w:type="dxa" w:w="7056"/>
          </w:tcPr>
          <w:p>
            <w:r/>
            <w:r>
              <w:rPr>
                <w:b w:val="0"/>
                <w:sz w:val="17"/>
              </w:rPr>
              <w:t>Né «secure», né «http-only», né «SameSite» sono configurati in alcun file di proprietà: valgono i valori predefiniti.</w:t>
            </w:r>
          </w:p>
        </w:tc>
      </w:tr>
      <w:tr>
        <w:tc>
          <w:tcPr>
            <w:tcW w:type="dxa" w:w="2304"/>
          </w:tcPr>
          <w:p>
            <w:r/>
            <w:r>
              <w:rPr>
                <w:b w:val="0"/>
                <w:sz w:val="17"/>
              </w:rPr>
              <w:t>Sessione distribuita</w:t>
            </w:r>
          </w:p>
        </w:tc>
        <w:tc>
          <w:tcPr>
            <w:tcW w:type="dxa" w:w="7056"/>
          </w:tcPr>
          <w:p>
            <w:r/>
            <w:r>
              <w:rPr>
                <w:b w:val="0"/>
                <w:sz w:val="17"/>
              </w:rPr>
              <w:t>Assente. Non vi è alcun archivio condiviso fra istanze: la sessione vive nella memoria del nodo che l’ha creata.</w:t>
            </w:r>
          </w:p>
        </w:tc>
      </w:tr>
      <w:tr>
        <w:tc>
          <w:tcPr>
            <w:tcW w:type="dxa" w:w="2304"/>
          </w:tcPr>
          <w:p>
            <w:r/>
            <w:r>
              <w:rPr>
                <w:b w:val="0"/>
                <w:sz w:val="17"/>
              </w:rPr>
              <w:t>Sessioni concorrenti</w:t>
            </w:r>
          </w:p>
        </w:tc>
        <w:tc>
          <w:tcPr>
            <w:tcW w:type="dxa" w:w="7056"/>
          </w:tcPr>
          <w:p>
            <w:r/>
            <w:r>
              <w:rPr>
                <w:b w:val="0"/>
                <w:sz w:val="17"/>
              </w:rPr>
              <w:t>Nessun limite e nessun controllo: lo stesso utente può avere più sessioni aperte senza che il sistema ne sia informato.</w:t>
            </w:r>
          </w:p>
        </w:tc>
      </w:tr>
      <w:tr>
        <w:tc>
          <w:tcPr>
            <w:tcW w:type="dxa" w:w="2304"/>
          </w:tcPr>
          <w:p>
            <w:r/>
            <w:r>
              <w:rPr>
                <w:b w:val="0"/>
                <w:sz w:val="17"/>
              </w:rPr>
              <w:t>Disconnessione</w:t>
            </w:r>
          </w:p>
        </w:tc>
        <w:tc>
          <w:tcPr>
            <w:tcW w:type="dxa" w:w="7056"/>
          </w:tcPr>
          <w:p>
            <w:r/>
            <w:r>
              <w:rPr>
                <w:b w:val="0"/>
                <w:sz w:val="17"/>
              </w:rPr>
              <w:t>Curata: CustomLogoutSuccessHandler rimuove gli attributi, azzera i cookie, svuota il contesto di sicurezza, invalida la sessione e rinvia all’indirizzo di disconnessione del portale (righe 27-57).</w:t>
            </w:r>
          </w:p>
        </w:tc>
      </w:tr>
      <w:tr>
        <w:tc>
          <w:tcPr>
            <w:tcW w:type="dxa" w:w="2304"/>
          </w:tcPr>
          <w:p>
            <w:r/>
            <w:r>
              <w:rPr>
                <w:b w:val="0"/>
                <w:sz w:val="17"/>
              </w:rPr>
              <w:t>Back-end</w:t>
            </w:r>
          </w:p>
        </w:tc>
        <w:tc>
          <w:tcPr>
            <w:tcW w:type="dxa" w:w="7056"/>
          </w:tcPr>
          <w:p>
            <w:r/>
            <w:r>
              <w:rPr>
                <w:b w:val="0"/>
                <w:sz w:val="17"/>
              </w:rPr>
              <w:t>Esplicitamente privi di sessione: la politica dichiarata è STATELESS (SecurityConfig.java:61, [S2]).</w:t>
            </w:r>
          </w:p>
        </w:tc>
      </w:tr>
    </w:tbl>
    <w:p>
      <w:pPr/>
      <w:r>
        <w:rPr>
          <w:b w:val="0"/>
        </w:rPr>
        <w:t>Una proprietà chiamata «cdr.loginfilter.timeout» (portale.properties:5) potrebbe trarre in inganno: sta sotto l’intestazione dei parametri delle servlet e regola l’attesa delle chiamate verso i servizi di verifica del portale, non la durata della sessione.</w:t>
      </w:r>
    </w:p>
    <w:p>
      <w:pPr>
        <w:pStyle w:val="Heading2"/>
      </w:pPr>
      <w:r>
        <w:t>Il certificato di postazione</w:t>
      </w:r>
    </w:p>
    <w:p>
      <w:pPr/>
      <w:r>
        <w:rPr>
          <w:b w:val="0"/>
        </w:rPr>
        <w:t>Le postazioni degli uffici sono dotate di un certificato, e il suo esito arriva a SIPO, ma non come certificato: come testo. Il filtro di ingresso legge due header e li ripone nell’oggetto di sessione (CdRLoginFilter.java:220-229):</w:t>
      </w:r>
    </w:p>
    <w:p>
      <w:r>
        <w:rPr>
          <w:rFonts w:ascii="Courier New" w:hAnsi="Courier New"/>
          <w:sz w:val="17"/>
        </w:rPr>
        <w:t>user.setIpPostazione(requ.getHeader("x-real-ip"));</w:t>
        <w:br/>
        <w:t>user.setHostname(requ.getHeader("x-client-sn-sipo"));   // numero di serie</w:t>
      </w:r>
    </w:p>
    <w:p>
      <w:pPr/>
      <w:r>
        <w:rPr>
          <w:b w:val="0"/>
        </w:rPr>
        <w:t xml:space="preserve">Il commento nel codice dichiara esplicitamente di riusare il campo destinato al nome della macchina per conservarvi il numero di serie del certificato. </w:t>
      </w:r>
      <w:r>
        <w:rPr>
          <w:b/>
        </w:rPr>
        <w:t>L’applicativo non compie alcuna verifica</w:t>
      </w:r>
      <w:r>
        <w:rPr>
          <w:b w:val="0"/>
        </w:rPr>
        <w:t>: non controlla la catena di certificazione, non verifica la revoca, non confronta il numero di serie con un registro di postazioni ammesse. La validazione, se avviene, avviene a monte, e quale sia il livello che la esegue non è accertabile dalle sorgenti: è il punto aperto PA-1.</w:t>
      </w:r>
    </w:p>
    <w:p>
      <w:pPr/>
      <w:r>
        <w:rPr>
          <w:b w:val="0"/>
        </w:rPr>
        <w:t xml:space="preserve">Nella stessa classe esiste un metodo che vincolerebbe un ruolo alla giunzione di provenienza — la Polizia Locale soltanto da un certo dominio, gli altri da un altro (righe 167-184). ⚠️ </w:t>
      </w:r>
      <w:r>
        <w:rPr>
          <w:b/>
        </w:rPr>
        <w:t>Il metodo non è invocato da alcun punto del filtro.</w:t>
      </w:r>
      <w:r>
        <w:rPr>
          <w:b w:val="0"/>
        </w:rPr>
        <w:t xml:space="preserve"> È un presidio scritto e mai attivato.</w:t>
      </w:r>
    </w:p>
    <w:p>
      <w:pPr>
        <w:pStyle w:val="Heading2"/>
      </w:pPr>
      <w:r>
        <w:t>L’autenticazione fra i servizi</w:t>
      </w:r>
    </w:p>
    <w:p>
      <w:pPr/>
      <w:r>
        <w:rPr>
          <w:b w:val="0"/>
        </w:rPr>
        <w:t>Quando un front-end chiama un back-end, un’autenticazione vera e propria avviene. Il client condiviso [S3] esegue un flusso OAuth2 nella modalità a password: presenta le credenziali del modulo come autenticazione di base, invia nome utente e parola d’ordine in un corpo codificato e ottiene un gettone dall’indirizzo «/oauth/token» (RestClient.java:96-130). Il gettone accompagna poi la chiamata di servizio (righe 156-161 e analoghe).</w:t>
      </w:r>
    </w:p>
    <w:p>
      <w:pPr/>
      <w:r>
        <w:rPr>
          <w:b w:val="0"/>
        </w:rPr>
        <w:t>Due caratteristiche di questo flusso meritano di essere annotate.</w:t>
      </w:r>
    </w:p>
    <w:p>
      <w:pPr>
        <w:pStyle w:val="ListParagraph"/>
      </w:pPr>
      <w:r>
        <w:rPr>
          <w:b/>
        </w:rPr>
        <w:t xml:space="preserve">Nessuna conservazione del gettone. </w:t>
      </w:r>
      <w:r>
        <w:rPr>
          <w:b w:val="0"/>
        </w:rPr>
        <w:t xml:space="preserve">Il metodo che lo genera è invocato all’inizio di ciascun metodo pubblico del client (righe 154, 195, 246, 304): </w:t>
      </w:r>
      <w:r>
        <w:rPr>
          <w:b/>
        </w:rPr>
        <w:t>si richiede un gettone nuovo a ogni chiamata</w:t>
      </w:r>
      <w:r>
        <w:rPr>
          <w:b w:val="0"/>
        </w:rPr>
        <w:t>, e la scadenza non viene mai sfruttata.</w:t>
      </w:r>
    </w:p>
    <w:p>
      <w:pPr>
        <w:pStyle w:val="ListParagraph"/>
      </w:pPr>
      <w:r>
        <w:rPr>
          <w:b/>
        </w:rPr>
        <w:t xml:space="preserve">L’identità che viaggia non è quella dell’operatore. </w:t>
      </w:r>
      <w:r>
        <w:rPr>
          <w:b w:val="0"/>
        </w:rPr>
        <w:t xml:space="preserve">Il profilo passato al client è il primo ruolo dell’utente di sessione, e seleziona un’utenza tecnica fra le tredici dichiarate nel file di proprietà. Lato back-end il soggetto del gettone è dunque ADMIN, AUTH_USER, FUNZ_TERR o simili, </w:t>
      </w:r>
      <w:r>
        <w:rPr>
          <w:b/>
        </w:rPr>
        <w:t>mai il codice fiscale di chi sta operando</w:t>
      </w:r>
      <w:r>
        <w:rPr>
          <w:b w:val="0"/>
        </w:rPr>
        <w:t>.</w:t>
      </w:r>
    </w:p>
    <w:p>
      <w:r>
        <w:rPr>
          <w:rFonts w:ascii="Courier New" w:hAnsi="Courier New"/>
          <w:sz w:val="17"/>
        </w:rPr>
        <w:t>return restClient.callRestServicePost(Constant.URL_ANAGRAFE_BE,</w:t>
        <w:br/>
        <w:t xml:space="preserve">        "/getDettaglioPersona", Constant.DOMINIO_ANAGRAFE_BE,</w:t>
        <w:br/>
        <w:t xml:space="preserve">        user.getRuoli().get(0).getRuoloBe(), …);        // GenericController:113</w:t>
      </w:r>
    </w:p>
    <w:p>
      <w:pPr/>
      <w:r>
        <w:rPr>
          <w:b w:val="0"/>
        </w:rPr>
        <w:t xml:space="preserve">Le credenziali contenute nel file di proprietà non sono in chiaro: sono cifrate in TripleDes e codificate, e il client le decifra all’avvio. ⚠️ La chiave di cifratura è però scritta nel sorgente della classe che la usa, e </w:t>
      </w:r>
      <w:r>
        <w:rPr>
          <w:b/>
        </w:rPr>
        <w:t>dieci delle quattordici copie di quella classe presenti nel workspace condividono lo stesso valore</w:t>
      </w:r>
      <w:r>
        <w:rPr>
          <w:b w:val="0"/>
        </w:rPr>
        <w:t>: la cifratura protegge da una lettura distratta del file di configurazione, non da chi disponga del codice.</w:t>
      </w:r>
    </w:p>
    <w:p>
      <w:pPr/>
      <w:r>
        <w:rPr>
          <w:b w:val="0"/>
        </w:rPr>
        <w:t xml:space="preserve">Sul versante della verifica, i back-end sono resource server OAuth2 con gettoni JWT firmati simmetricamente ([S2], righe 66-86). ⚠️ </w:t>
      </w:r>
      <w:r>
        <w:rPr>
          <w:b/>
        </w:rPr>
        <w:t>La chiave di firma è la stessa per tutti</w:t>
      </w:r>
      <w:r>
        <w:rPr>
          <w:b w:val="0"/>
        </w:rPr>
        <w:t>: il valore di «security.signing-key» è identico in 45 file di proprietà, e altrettanto lo è l’identificativo della risorsa. Ne discende che un gettone emesso da un qualsiasi back-end è accettato da ogni altro: i domini non sono separati. I segreti dei client, per contro, variano da modulo a modulo, ma sono scritti in chiaro con il prefisso che ne dichiara l’assenza di cifratura.</w:t>
      </w:r>
    </w:p>
    <w:p>
      <w:pPr>
        <w:pStyle w:val="Heading2"/>
      </w:pPr>
      <w:r>
        <w:t>Un secondo meccanismo a gettone, indipendente dal primo</w:t>
      </w:r>
    </w:p>
    <w:p>
      <w:pPr/>
      <w:r>
        <w:rPr>
          <w:b w:val="0"/>
        </w:rPr>
        <w:t>Il modulo dei certificati online realizza un proprio gettone JWT, con una libreria diversa e fuori dal flusso OAuth2: genera e verifica gettoni con nome, cognome e codice fiscale, firmati con un segreto dichiarato nelle proprietà del modulo (application.properties:62-64), della durata di un’ora. Gli indirizzi sono «/api/token/generate» e «/api/token/validate».</w:t>
      </w:r>
    </w:p>
    <w:p>
      <w:pPr/>
      <w:r>
        <w:rPr>
          <w:b w:val="0"/>
        </w:rPr>
        <w:t>⚠️ Il percorso «/api/token/</w:t>
      </w:r>
      <w:r>
        <w:rPr>
          <w:b/>
        </w:rPr>
        <w:t xml:space="preserve">» non compare fra gli indirizzi elencati nella configurazione del resource server, e quella configurazione — come si vedrà — non ha una clausola di chiusura: </w:t>
      </w:r>
      <w:r>
        <w:rPr>
          <w:b w:val="0"/>
        </w:rPr>
        <w:t>l’operazione che emette gettoni non risulta coperta da alcuna regola di autenticazione</w:t>
      </w:r>
      <w:r>
        <w:rPr>
          <w:b/>
        </w:rPr>
        <w:t>.</w:t>
      </w:r>
    </w:p>
    <w:p>
      <w:pPr>
        <w:pStyle w:val="Heading2"/>
      </w:pPr>
      <w:r>
        <w:t>Le regole di autorizzazione per indirizzo</w:t>
      </w:r>
    </w:p>
    <w:p>
      <w:pPr/>
      <w:r>
        <w:rPr>
          <w:b w:val="0"/>
        </w:rPr>
        <w:t xml:space="preserve">La configurazione di sicurezza del front-end [S1] è una lista unica di </w:t>
      </w:r>
      <w:r>
        <w:rPr>
          <w:b/>
        </w:rPr>
        <w:t>210 regole</w:t>
      </w:r>
      <w:r>
        <w:rPr>
          <w:b w:val="0"/>
        </w:rPr>
        <w:t xml:space="preserve"> nella forma «indirizzo → elenco di ruoli ammessi», estesa su circa duecentosessanta righe e comprendente tutti i moduli: anagrafe, cambi di residenza, irreperibilità, certificati, AIRE, carte d’identità, elettorale, pagamenti. La configurazione dei back-end [S2] ha struttura analoga, con </w:t>
      </w:r>
      <w:r>
        <w:rPr>
          <w:b/>
        </w:rPr>
        <w:t>171 regole</w:t>
      </w:r>
      <w:r>
        <w:rPr>
          <w:b w:val="0"/>
        </w:rPr>
        <w:t xml:space="preserve"> nella forma «indirizzo → autenticato».</w:t>
      </w:r>
    </w:p>
    <w:p>
      <w:pPr/>
      <w:r>
        <w:rPr>
          <w:b w:val="0"/>
        </w:rPr>
        <w:t xml:space="preserve">⚠️ </w:t>
      </w:r>
      <w:r>
        <w:rPr>
          <w:b/>
        </w:rPr>
        <w:t>Nessuna delle due liste si chiude con una clausola generale.</w:t>
      </w:r>
      <w:r>
        <w:rPr>
          <w:b w:val="0"/>
        </w:rPr>
        <w:t xml:space="preserve"> Non compare mai «anyRequest()», né per richiedere l’autenticazione né per negare l’accesso. La conseguenza è di metodo prima che di merito: la protezione è ottenuta enumerando ciò che va protetto, e quindi </w:t>
      </w:r>
      <w:r>
        <w:rPr>
          <w:b/>
        </w:rPr>
        <w:t>un indirizzo nuovo nasce non protetto</w:t>
      </w:r>
      <w:r>
        <w:rPr>
          <w:b w:val="0"/>
        </w:rPr>
        <w:t xml:space="preserve"> finché qualcuno non ricorda di aggiungerlo alla lista. È la ragione per cui il caso citato poco sopra si presenta.</w:t>
      </w:r>
    </w:p>
    <w:p>
      <w:pPr/>
      <w:r>
        <w:rPr>
          <w:b w:val="0"/>
        </w:rPr>
        <w:t xml:space="preserve">Sei moduli fanno eccezione e adottano una configurazione propria, molto permissiva: dichiarano accessibili a tutti le proprie rotte di servizio, disabilitano la protezione contro la falsificazione di richiesta e non configurano alcun utente. Sono i moduli di allineamento di nascite, matrimoni e decessi, il modulo di fax e posta certificata, quello della carta d’identità elettronica e una copia del modulo fax collocata fuori dall’albero dei sorgenti. Altri quattro moduli (agendasc-be, clientpa, not-anpr, verifica-ele) </w:t>
      </w:r>
      <w:r>
        <w:rPr>
          <w:b/>
        </w:rPr>
        <w:t>non dichiarano alcuna dipendenza di sicurezza</w:t>
      </w:r>
      <w:r>
        <w:rPr>
          <w:b w:val="0"/>
        </w:rPr>
        <w:t>: dei 53 moduli di back-end, 45 adottano il componente comune.</w:t>
      </w:r>
    </w:p>
    <w:p>
      <w:pPr>
        <w:pStyle w:val="Heading2"/>
      </w:pPr>
      <w:r>
        <w:t>Ciò che non esiste</w:t>
      </w:r>
    </w:p>
    <w:p>
      <w:pPr/>
      <w:r>
        <w:rPr>
          <w:b w:val="0"/>
        </w:rPr>
        <w:t>Chiude il capitolo l’elenco dei meccanismi cercati e non trovati. Sono riportati perché l’assenza accertata è un dato: evita che la stessa ricerca sia rifatta e impedisce di assumere come presente ciò che non c’è.</w:t>
      </w:r>
    </w:p>
    <w:tbl>
      <w:tblPr>
        <w:tblStyle w:val="TableGrid"/>
        <w:tblW w:type="auto" w:w="0"/>
        <w:tblLook w:firstColumn="1" w:firstRow="1" w:lastColumn="0" w:lastRow="0" w:noHBand="0" w:noVBand="1" w:val="04A0"/>
      </w:tblPr>
      <w:tblGrid>
        <w:gridCol w:w="4680"/>
        <w:gridCol w:w="4680"/>
      </w:tblGrid>
      <w:tr>
        <w:tc>
          <w:tcPr>
            <w:tcW w:type="dxa" w:w="3168"/>
          </w:tcPr>
          <w:p>
            <w:r/>
            <w:r>
              <w:rPr>
                <w:b/>
                <w:sz w:val="17"/>
              </w:rPr>
              <w:t>Meccanismo cercato</w:t>
            </w:r>
          </w:p>
        </w:tc>
        <w:tc>
          <w:tcPr>
            <w:tcW w:type="dxa" w:w="6192"/>
          </w:tcPr>
          <w:p>
            <w:r/>
            <w:r>
              <w:rPr>
                <w:b/>
                <w:sz w:val="17"/>
              </w:rPr>
              <w:t>Esito della ricerca sui sorgenti</w:t>
            </w:r>
          </w:p>
        </w:tc>
      </w:tr>
      <w:tr>
        <w:tc>
          <w:tcPr>
            <w:tcW w:type="dxa" w:w="3168"/>
          </w:tcPr>
          <w:p>
            <w:r/>
            <w:r>
              <w:rPr>
                <w:b w:val="0"/>
                <w:sz w:val="17"/>
              </w:rPr>
              <w:t>Controller o endpoint di login applicativo</w:t>
            </w:r>
          </w:p>
        </w:tc>
        <w:tc>
          <w:tcPr>
            <w:tcW w:type="dxa" w:w="6192"/>
          </w:tcPr>
          <w:p>
            <w:r/>
            <w:r>
              <w:rPr>
                <w:b w:val="0"/>
                <w:sz w:val="17"/>
              </w:rPr>
              <w:t>Assente. Le rotte /login dichiarate in sei classi BasicConfiguration sono soltanto «permitAll» sul form di default, e il gestore delle credenziali non è configurato.</w:t>
            </w:r>
          </w:p>
        </w:tc>
      </w:tr>
      <w:tr>
        <w:tc>
          <w:tcPr>
            <w:tcW w:type="dxa" w:w="3168"/>
          </w:tcPr>
          <w:p>
            <w:r/>
            <w:r>
              <w:rPr>
                <w:b w:val="0"/>
                <w:sz w:val="17"/>
              </w:rPr>
              <w:t>Pagina di login</w:t>
            </w:r>
          </w:p>
        </w:tc>
        <w:tc>
          <w:tcPr>
            <w:tcW w:type="dxa" w:w="6192"/>
          </w:tcPr>
          <w:p>
            <w:r/>
            <w:r>
              <w:rPr>
                <w:b w:val="0"/>
                <w:sz w:val="17"/>
              </w:rPr>
              <w:t>Assente: nessun login.html in alcuno dei moduli di front-end.</w:t>
            </w:r>
          </w:p>
        </w:tc>
      </w:tr>
      <w:tr>
        <w:tc>
          <w:tcPr>
            <w:tcW w:type="dxa" w:w="3168"/>
          </w:tcPr>
          <w:p>
            <w:r/>
            <w:r>
              <w:rPr>
                <w:b w:val="0"/>
                <w:sz w:val="17"/>
              </w:rPr>
              <w:t>Pagine accessDenied.htm, sessionInvalid.htm, nouser.jsp</w:t>
            </w:r>
          </w:p>
        </w:tc>
        <w:tc>
          <w:tcPr>
            <w:tcW w:type="dxa" w:w="6192"/>
          </w:tcPr>
          <w:p>
            <w:r/>
            <w:r>
              <w:rPr>
                <w:b w:val="0"/>
                <w:sz w:val="17"/>
              </w:rPr>
              <w:t>Referenziate dal codice ma inesistenti come file.</w:t>
            </w:r>
          </w:p>
        </w:tc>
      </w:tr>
      <w:tr>
        <w:tc>
          <w:tcPr>
            <w:tcW w:type="dxa" w:w="3168"/>
          </w:tcPr>
          <w:p>
            <w:r/>
            <w:r>
              <w:rPr>
                <w:b w:val="0"/>
                <w:sz w:val="17"/>
              </w:rPr>
              <w:t>LDAP o Active Directory</w:t>
            </w:r>
          </w:p>
        </w:tc>
        <w:tc>
          <w:tcPr>
            <w:tcW w:type="dxa" w:w="6192"/>
          </w:tcPr>
          <w:p>
            <w:r/>
            <w:r>
              <w:rPr>
                <w:b w:val="0"/>
                <w:sz w:val="17"/>
              </w:rPr>
              <w:t>Assenti.</w:t>
            </w:r>
          </w:p>
        </w:tc>
      </w:tr>
      <w:tr>
        <w:tc>
          <w:tcPr>
            <w:tcW w:type="dxa" w:w="3168"/>
          </w:tcPr>
          <w:p>
            <w:r/>
            <w:r>
              <w:rPr>
                <w:b w:val="0"/>
                <w:sz w:val="17"/>
              </w:rPr>
              <w:t>CAS, Shibboleth</w:t>
            </w:r>
          </w:p>
        </w:tc>
        <w:tc>
          <w:tcPr>
            <w:tcW w:type="dxa" w:w="6192"/>
          </w:tcPr>
          <w:p>
            <w:r/>
            <w:r>
              <w:rPr>
                <w:b w:val="0"/>
                <w:sz w:val="17"/>
              </w:rPr>
              <w:t>Assenti.</w:t>
            </w:r>
          </w:p>
        </w:tc>
      </w:tr>
      <w:tr>
        <w:tc>
          <w:tcPr>
            <w:tcW w:type="dxa" w:w="3168"/>
          </w:tcPr>
          <w:p>
            <w:r/>
            <w:r>
              <w:rPr>
                <w:b w:val="0"/>
                <w:sz w:val="17"/>
              </w:rPr>
              <w:t>SAML applicativo</w:t>
            </w:r>
          </w:p>
        </w:tc>
        <w:tc>
          <w:tcPr>
            <w:tcW w:type="dxa" w:w="6192"/>
          </w:tcPr>
          <w:p>
            <w:r/>
            <w:r>
              <w:rPr>
                <w:b w:val="0"/>
                <w:sz w:val="17"/>
              </w:rPr>
              <w:t>Assente. La libreria opensaml è dichiarata da due moduli, ma per la firma dei servizi web verso ANPR e SIEL, non per l’accesso degli utenti.</w:t>
            </w:r>
          </w:p>
        </w:tc>
      </w:tr>
      <w:tr>
        <w:tc>
          <w:tcPr>
            <w:tcW w:type="dxa" w:w="3168"/>
          </w:tcPr>
          <w:p>
            <w:r/>
            <w:r>
              <w:rPr>
                <w:b w:val="0"/>
                <w:sz w:val="17"/>
              </w:rPr>
              <w:t>SPID o CIE come fornitore di identità</w:t>
            </w:r>
          </w:p>
        </w:tc>
        <w:tc>
          <w:tcPr>
            <w:tcW w:type="dxa" w:w="6192"/>
          </w:tcPr>
          <w:p>
            <w:r/>
            <w:r>
              <w:rPr>
                <w:b w:val="0"/>
                <w:sz w:val="17"/>
              </w:rPr>
              <w:t>Assenti. I moduli che nominano la carta d’identità elettronica la trattano come documento, non come credenziale.</w:t>
            </w:r>
          </w:p>
        </w:tc>
      </w:tr>
      <w:tr>
        <w:tc>
          <w:tcPr>
            <w:tcW w:type="dxa" w:w="3168"/>
          </w:tcPr>
          <w:p>
            <w:r/>
            <w:r>
              <w:rPr>
                <w:b w:val="0"/>
                <w:sz w:val="17"/>
              </w:rPr>
              <w:t>Keycloak, OpenID Connect, client OAuth2</w:t>
            </w:r>
          </w:p>
        </w:tc>
        <w:tc>
          <w:tcPr>
            <w:tcW w:type="dxa" w:w="6192"/>
          </w:tcPr>
          <w:p>
            <w:r/>
            <w:r>
              <w:rPr>
                <w:b w:val="0"/>
                <w:sz w:val="17"/>
              </w:rPr>
              <w:t>Assenti.</w:t>
            </w:r>
          </w:p>
        </w:tc>
      </w:tr>
      <w:tr>
        <w:tc>
          <w:tcPr>
            <w:tcW w:type="dxa" w:w="3168"/>
          </w:tcPr>
          <w:p>
            <w:r/>
            <w:r>
              <w:rPr>
                <w:b w:val="0"/>
                <w:sz w:val="17"/>
              </w:rPr>
              <w:t>Verifica crittografica degli header di identità</w:t>
            </w:r>
          </w:p>
        </w:tc>
        <w:tc>
          <w:tcPr>
            <w:tcW w:type="dxa" w:w="6192"/>
          </w:tcPr>
          <w:p>
            <w:r/>
            <w:r>
              <w:rPr>
                <w:b w:val="0"/>
                <w:sz w:val="17"/>
              </w:rPr>
              <w:t>Assente: gli header sono accolti come sono.</w:t>
            </w:r>
          </w:p>
        </w:tc>
      </w:tr>
      <w:tr>
        <w:tc>
          <w:tcPr>
            <w:tcW w:type="dxa" w:w="3168"/>
          </w:tcPr>
          <w:p>
            <w:r/>
            <w:r>
              <w:rPr>
                <w:b w:val="0"/>
                <w:sz w:val="17"/>
              </w:rPr>
              <w:t>Validazione del certificato di postazione nell’applicativo</w:t>
            </w:r>
          </w:p>
        </w:tc>
        <w:tc>
          <w:tcPr>
            <w:tcW w:type="dxa" w:w="6192"/>
          </w:tcPr>
          <w:p>
            <w:r/>
            <w:r>
              <w:rPr>
                <w:b w:val="0"/>
                <w:sz w:val="17"/>
              </w:rPr>
              <w:t>Assente: SIPO ne legge il solo numero di serie da un header di testo.</w:t>
            </w:r>
          </w:p>
        </w:tc>
      </w:tr>
      <w:tr>
        <w:tc>
          <w:tcPr>
            <w:tcW w:type="dxa" w:w="3168"/>
          </w:tcPr>
          <w:p>
            <w:r/>
            <w:r>
              <w:rPr>
                <w:b w:val="0"/>
                <w:sz w:val="17"/>
              </w:rPr>
              <w:t>Attributi di sicurezza del cookie di sessione (secure, http-only, SameSite)</w:t>
            </w:r>
          </w:p>
        </w:tc>
        <w:tc>
          <w:tcPr>
            <w:tcW w:type="dxa" w:w="6192"/>
          </w:tcPr>
          <w:p>
            <w:r/>
            <w:r>
              <w:rPr>
                <w:b w:val="0"/>
                <w:sz w:val="17"/>
              </w:rPr>
              <w:t>Mai configurati in alcun file di proprietà.</w:t>
            </w:r>
          </w:p>
        </w:tc>
      </w:tr>
      <w:tr>
        <w:tc>
          <w:tcPr>
            <w:tcW w:type="dxa" w:w="3168"/>
          </w:tcPr>
          <w:p>
            <w:r/>
            <w:r>
              <w:rPr>
                <w:b w:val="0"/>
                <w:sz w:val="17"/>
              </w:rPr>
              <w:t>Sessione distribuita, controllo di concorrenza delle sessioni</w:t>
            </w:r>
          </w:p>
        </w:tc>
        <w:tc>
          <w:tcPr>
            <w:tcW w:type="dxa" w:w="6192"/>
          </w:tcPr>
          <w:p>
            <w:r/>
            <w:r>
              <w:rPr>
                <w:b w:val="0"/>
                <w:sz w:val="17"/>
              </w:rPr>
              <w:t>Assenti.</w:t>
            </w:r>
          </w:p>
        </w:tc>
      </w:tr>
      <w:tr>
        <w:tc>
          <w:tcPr>
            <w:tcW w:type="dxa" w:w="3168"/>
          </w:tcPr>
          <w:p>
            <w:r/>
            <w:r>
              <w:rPr>
                <w:b w:val="0"/>
                <w:sz w:val="17"/>
              </w:rPr>
              <w:t>Clausola anyRequest() di chiusura delle catene di sicurezza</w:t>
            </w:r>
          </w:p>
        </w:tc>
        <w:tc>
          <w:tcPr>
            <w:tcW w:type="dxa" w:w="6192"/>
          </w:tcPr>
          <w:p>
            <w:r/>
            <w:r>
              <w:rPr>
                <w:b w:val="0"/>
                <w:sz w:val="17"/>
              </w:rPr>
              <w:t>Assente in entrambe le catene: front-end e resource server.</w:t>
            </w:r>
          </w:p>
        </w:tc>
      </w:tr>
      <w:tr>
        <w:tc>
          <w:tcPr>
            <w:tcW w:type="dxa" w:w="3168"/>
          </w:tcPr>
          <w:p>
            <w:r/>
            <w:r>
              <w:rPr>
                <w:b w:val="0"/>
                <w:sz w:val="17"/>
              </w:rPr>
              <w:t>Propagazione dell’identità dell’operatore ai back-end</w:t>
            </w:r>
          </w:p>
        </w:tc>
        <w:tc>
          <w:tcPr>
            <w:tcW w:type="dxa" w:w="6192"/>
          </w:tcPr>
          <w:p>
            <w:r/>
            <w:r>
              <w:rPr>
                <w:b w:val="0"/>
                <w:sz w:val="17"/>
              </w:rPr>
              <w:t>Assente: al suo posto un’utenza tecnica scelta sul ruolo.</w:t>
            </w:r>
          </w:p>
        </w:tc>
      </w:tr>
    </w:tbl>
    <w:p>
      <w:pPr>
        <w:pStyle w:val="Heading1"/>
      </w:pPr>
      <w:r>
        <w:t>La profilazione</w:t>
      </w:r>
    </w:p>
    <w:p>
      <w:pPr/>
      <w:r>
        <w:rPr>
          <w:b w:val="0"/>
        </w:rPr>
        <w:t>Se l’autenticazione è quasi tutta fuori da SIPO, la profilazione è tutta dentro: sei tabelle dello schema anagrafico, una gestione dalle maschere e due letture che si compiono all’ingresso.</w:t>
      </w:r>
    </w:p>
    <w:p>
      <w:pPr>
        <w:pStyle w:val="Heading2"/>
      </w:pPr>
      <w:r>
        <w:t>Il modello dati</w:t>
      </w:r>
    </w:p>
    <w:p>
      <w:r>
        <w:drawing>
          <wp:inline xmlns:a="http://schemas.openxmlformats.org/drawingml/2006/main" xmlns:pic="http://schemas.openxmlformats.org/drawingml/2006/picture">
            <wp:extent cx="5760720" cy="3162134"/>
            <wp:docPr id="1468249207" name="Picture 1468249207"/>
            <wp:cNvGraphicFramePr>
              <a:graphicFrameLocks noChangeAspect="1"/>
            </wp:cNvGraphicFramePr>
            <a:graphic>
              <a:graphicData uri="http://schemas.openxmlformats.org/drawingml/2006/picture">
                <pic:pic>
                  <pic:nvPicPr>
                    <pic:cNvPr id="0" name="prof_modello.png"/>
                    <pic:cNvPicPr/>
                  </pic:nvPicPr>
                  <pic:blipFill>
                    <a:blip r:embed="rId19"/>
                    <a:stretch>
                      <a:fillRect/>
                    </a:stretch>
                  </pic:blipFill>
                  <pic:spPr>
                    <a:xfrm>
                      <a:off x="0" y="0"/>
                      <a:ext cx="5760720" cy="3162134"/>
                    </a:xfrm>
                    <a:prstGeom prst="rect"/>
                  </pic:spPr>
                </pic:pic>
              </a:graphicData>
            </a:graphic>
          </wp:inline>
        </w:drawing>
      </w:r>
    </w:p>
    <w:p>
      <w:r>
        <w:rPr>
          <w:i/>
          <w:sz w:val="18"/>
        </w:rPr>
        <w:t>Figura 2 — Le tabelle della profilazione. Il perno è R_UTENTI_RUOLI, che lega in una sola riga l’utente, il ruolo, l’area tematica e la funzionalità.</w:t>
      </w:r>
    </w:p>
    <w:tbl>
      <w:tblPr>
        <w:tblStyle w:val="TableGrid"/>
        <w:tblW w:type="auto" w:w="0"/>
        <w:tblLook w:firstColumn="1" w:firstRow="1" w:lastColumn="0" w:lastRow="0" w:noHBand="0" w:noVBand="1" w:val="04A0"/>
      </w:tblPr>
      <w:tblGrid>
        <w:gridCol w:w="3120"/>
        <w:gridCol w:w="3120"/>
        <w:gridCol w:w="3120"/>
      </w:tblGrid>
      <w:tr>
        <w:tc>
          <w:tcPr>
            <w:tcW w:type="dxa" w:w="1872"/>
          </w:tcPr>
          <w:p>
            <w:r/>
            <w:r>
              <w:rPr>
                <w:b/>
                <w:sz w:val="17"/>
              </w:rPr>
              <w:t>Tabella</w:t>
            </w:r>
          </w:p>
        </w:tc>
        <w:tc>
          <w:tcPr>
            <w:tcW w:type="dxa" w:w="3456"/>
          </w:tcPr>
          <w:p>
            <w:r/>
            <w:r>
              <w:rPr>
                <w:b/>
                <w:sz w:val="17"/>
              </w:rPr>
              <w:t>Che cosa contiene</w:t>
            </w:r>
          </w:p>
        </w:tc>
        <w:tc>
          <w:tcPr>
            <w:tcW w:type="dxa" w:w="4032"/>
          </w:tcPr>
          <w:p>
            <w:r/>
            <w:r>
              <w:rPr>
                <w:b/>
                <w:sz w:val="17"/>
              </w:rPr>
              <w:t>Da annotare</w:t>
            </w:r>
          </w:p>
        </w:tc>
      </w:tr>
      <w:tr>
        <w:tc>
          <w:tcPr>
            <w:tcW w:type="dxa" w:w="1872"/>
          </w:tcPr>
          <w:p>
            <w:r/>
            <w:r>
              <w:rPr>
                <w:b w:val="0"/>
                <w:sz w:val="17"/>
              </w:rPr>
              <w:t>UTENTI</w:t>
            </w:r>
          </w:p>
        </w:tc>
        <w:tc>
          <w:tcPr>
            <w:tcW w:type="dxa" w:w="3456"/>
          </w:tcPr>
          <w:p>
            <w:r/>
            <w:r>
              <w:rPr>
                <w:b w:val="0"/>
                <w:sz w:val="17"/>
              </w:rPr>
              <w:t>La persona: nome utente, anagrafica, codice fiscale, indicatori di attività e cancellazione, e i tre legami di ambito.</w:t>
            </w:r>
          </w:p>
        </w:tc>
        <w:tc>
          <w:tcPr>
            <w:tcW w:type="dxa" w:w="4032"/>
          </w:tcPr>
          <w:p>
            <w:r/>
            <w:r>
              <w:rPr>
                <w:b w:val="0"/>
                <w:sz w:val="17"/>
              </w:rPr>
              <w:t>Il legame con l’organizzazione è obbligatorio nella lettura dei ruoli: la query lo usa come giunzione, non come dato accessorio.</w:t>
            </w:r>
          </w:p>
        </w:tc>
      </w:tr>
      <w:tr>
        <w:tc>
          <w:tcPr>
            <w:tcW w:type="dxa" w:w="1872"/>
          </w:tcPr>
          <w:p>
            <w:r/>
            <w:r>
              <w:rPr>
                <w:b w:val="0"/>
                <w:sz w:val="17"/>
              </w:rPr>
              <w:t>CONF_RUOLI</w:t>
            </w:r>
          </w:p>
        </w:tc>
        <w:tc>
          <w:tcPr>
            <w:tcW w:type="dxa" w:w="3456"/>
          </w:tcPr>
          <w:p>
            <w:r/>
            <w:r>
              <w:rPr>
                <w:b w:val="0"/>
                <w:sz w:val="17"/>
              </w:rPr>
              <w:t>Il ruolo: identificativo, descrizione e il nome tecnico usato per comporre l’autorità.</w:t>
            </w:r>
          </w:p>
        </w:tc>
        <w:tc>
          <w:tcPr>
            <w:tcW w:type="dxa" w:w="4032"/>
          </w:tcPr>
          <w:p>
            <w:r/>
            <w:r>
              <w:rPr>
                <w:b w:val="0"/>
                <w:sz w:val="17"/>
              </w:rPr>
              <w:t xml:space="preserve">⚠️ La colonna con il nome tecnico esiste a base dati ma </w:t>
            </w:r>
            <w:r>
              <w:rPr>
                <w:b/>
                <w:sz w:val="17"/>
              </w:rPr>
              <w:t>non è mappata nell’entità</w:t>
            </w:r>
            <w:r>
              <w:rPr>
                <w:b w:val="0"/>
                <w:sz w:val="17"/>
              </w:rPr>
              <w:t>: è raggiunta soltanto dalla lettura in SQL nativo.</w:t>
            </w:r>
          </w:p>
        </w:tc>
      </w:tr>
      <w:tr>
        <w:tc>
          <w:tcPr>
            <w:tcW w:type="dxa" w:w="1872"/>
          </w:tcPr>
          <w:p>
            <w:r/>
            <w:r>
              <w:rPr>
                <w:b w:val="0"/>
                <w:sz w:val="17"/>
              </w:rPr>
              <w:t>CONF_AMBITO</w:t>
            </w:r>
          </w:p>
        </w:tc>
        <w:tc>
          <w:tcPr>
            <w:tcW w:type="dxa" w:w="3456"/>
          </w:tcPr>
          <w:p>
            <w:r/>
            <w:r>
              <w:rPr>
                <w:b w:val="0"/>
                <w:sz w:val="17"/>
              </w:rPr>
              <w:t>Il raggruppamento maggiore: anagrafe, stato civile, elettorale, statistica.</w:t>
            </w:r>
          </w:p>
        </w:tc>
        <w:tc>
          <w:tcPr>
            <w:tcW w:type="dxa" w:w="4032"/>
          </w:tcPr>
          <w:p>
            <w:r/>
            <w:r>
              <w:rPr>
                <w:b w:val="0"/>
                <w:sz w:val="17"/>
              </w:rPr>
              <w:t>I quattro valori sono documentati in un commento del codice, non in una fonte di dati.</w:t>
            </w:r>
          </w:p>
        </w:tc>
      </w:tr>
      <w:tr>
        <w:tc>
          <w:tcPr>
            <w:tcW w:type="dxa" w:w="1872"/>
          </w:tcPr>
          <w:p>
            <w:r/>
            <w:r>
              <w:rPr>
                <w:b w:val="0"/>
                <w:sz w:val="17"/>
              </w:rPr>
              <w:t>CONF_AREE_TEMATICHE</w:t>
            </w:r>
          </w:p>
        </w:tc>
        <w:tc>
          <w:tcPr>
            <w:tcW w:type="dxa" w:w="3456"/>
          </w:tcPr>
          <w:p>
            <w:r/>
            <w:r>
              <w:rPr>
                <w:b w:val="0"/>
                <w:sz w:val="17"/>
              </w:rPr>
              <w:t>La partizione intermedia, con il proprio indirizzo di pagina e un ordinamento.</w:t>
            </w:r>
          </w:p>
        </w:tc>
        <w:tc>
          <w:tcPr>
            <w:tcW w:type="dxa" w:w="4032"/>
          </w:tcPr>
          <w:p>
            <w:r/>
            <w:r>
              <w:rPr>
                <w:b w:val="0"/>
                <w:sz w:val="17"/>
              </w:rPr>
              <w:t>La colonna di ordinamento è usata dalla lettura ma non è mappata nell’entità.</w:t>
            </w:r>
          </w:p>
        </w:tc>
      </w:tr>
      <w:tr>
        <w:tc>
          <w:tcPr>
            <w:tcW w:type="dxa" w:w="1872"/>
          </w:tcPr>
          <w:p>
            <w:r/>
            <w:r>
              <w:rPr>
                <w:b w:val="0"/>
                <w:sz w:val="17"/>
              </w:rPr>
              <w:t>CONF_FUNZIONALITA</w:t>
            </w:r>
          </w:p>
        </w:tc>
        <w:tc>
          <w:tcPr>
            <w:tcW w:type="dxa" w:w="3456"/>
          </w:tcPr>
          <w:p>
            <w:r/>
            <w:r>
              <w:rPr>
                <w:b w:val="0"/>
                <w:sz w:val="17"/>
              </w:rPr>
              <w:t>La singola voce: descrizione, indirizzo di pagina, indicatore di visibilità al cittadino.</w:t>
            </w:r>
          </w:p>
        </w:tc>
        <w:tc>
          <w:tcPr>
            <w:tcW w:type="dxa" w:w="4032"/>
          </w:tcPr>
          <w:p>
            <w:r/>
            <w:r>
              <w:rPr>
                <w:b w:val="0"/>
                <w:sz w:val="17"/>
              </w:rPr>
              <w:t xml:space="preserve">È </w:t>
            </w:r>
            <w:r>
              <w:rPr>
                <w:b/>
                <w:sz w:val="17"/>
              </w:rPr>
              <w:t>l’unico catalogo di azioni esistente nel sistema</w:t>
            </w:r>
            <w:r>
              <w:rPr>
                <w:b w:val="0"/>
                <w:sz w:val="17"/>
              </w:rPr>
              <w:t>, ed è espresso in termini di pagine del front-end attuale.</w:t>
            </w:r>
          </w:p>
        </w:tc>
      </w:tr>
      <w:tr>
        <w:tc>
          <w:tcPr>
            <w:tcW w:type="dxa" w:w="1872"/>
          </w:tcPr>
          <w:p>
            <w:r/>
            <w:r>
              <w:rPr>
                <w:b w:val="0"/>
                <w:sz w:val="17"/>
              </w:rPr>
              <w:t>R_UTENTI_RUOLI</w:t>
            </w:r>
          </w:p>
        </w:tc>
        <w:tc>
          <w:tcPr>
            <w:tcW w:type="dxa" w:w="3456"/>
          </w:tcPr>
          <w:p>
            <w:r/>
            <w:r>
              <w:rPr>
                <w:b w:val="0"/>
                <w:sz w:val="17"/>
              </w:rPr>
              <w:t>L’assegnazione, con quattro legami: utente, ruolo, area tematica, funzionalità.</w:t>
            </w:r>
          </w:p>
        </w:tc>
        <w:tc>
          <w:tcPr>
            <w:tcW w:type="dxa" w:w="4032"/>
          </w:tcPr>
          <w:p>
            <w:r/>
            <w:r>
              <w:rPr>
                <w:b w:val="0"/>
                <w:sz w:val="17"/>
              </w:rPr>
              <w:t>⚠️ Nessuna validità temporale, nessun ambito. È qui che risiede, per intero, la risposta alla domanda «chi può fare che cosa».</w:t>
            </w:r>
          </w:p>
        </w:tc>
      </w:tr>
    </w:tbl>
    <w:p>
      <w:pPr/>
      <w:r>
        <w:rPr>
          <w:b w:val="0"/>
        </w:rPr>
        <w:t xml:space="preserve">Due tabelle ulteriori appartengono a un’altra popolazione e non vanno confuse con le precedenti: CONF_APP_USER e CONF_APP_ROLE contengono le </w:t>
      </w:r>
      <w:r>
        <w:rPr>
          <w:b/>
        </w:rPr>
        <w:t>utenze tecniche</w:t>
      </w:r>
      <w:r>
        <w:rPr>
          <w:b w:val="0"/>
        </w:rPr>
        <w:t xml:space="preserve"> con cui i front-end chiamano i back-end. Il raccordo fra il ruolo tecnico e il ruolo della persona è una colonna che contiene l’identificativo di CONF_RUOLI ma </w:t>
      </w:r>
      <w:r>
        <w:rPr>
          <w:b/>
        </w:rPr>
        <w:t>non è dichiarata come relazione</w:t>
      </w:r>
      <w:r>
        <w:rPr>
          <w:b w:val="0"/>
        </w:rPr>
        <w:t>, e le due tabelle non sono amministrate dalle maschere di gestione delle utenze: sono configurate fuori dall’applicativo.</w:t>
      </w:r>
    </w:p>
    <w:p>
      <w:pPr>
        <w:pStyle w:val="Heading2"/>
      </w:pPr>
      <w:r>
        <w:t>Come si ricava il permesso</w:t>
      </w:r>
    </w:p>
    <w:p>
      <w:pPr/>
      <w:r>
        <w:rPr>
          <w:b w:val="0"/>
        </w:rPr>
        <w:t>All’ingresso si compiono due letture distinte, entrambe in SQL nativo [S1]. Conviene guardarle da vicino, perché la differenza fra le due è il punto più importante del capitolo.</w:t>
      </w:r>
    </w:p>
    <w:p>
      <w:pPr/>
      <w:r>
        <w:rPr>
          <w:b w:val="0"/>
        </w:rPr>
        <w:t xml:space="preserve">La prima ricava i </w:t>
      </w:r>
      <w:r>
        <w:rPr>
          <w:b/>
        </w:rPr>
        <w:t>ruoli</w:t>
      </w:r>
      <w:r>
        <w:rPr>
          <w:b w:val="0"/>
        </w:rPr>
        <w:t>, e percorre cinque tabelle:</w:t>
      </w:r>
    </w:p>
    <w:p>
      <w:r>
        <w:rPr>
          <w:rFonts w:ascii="Courier New" w:hAnsi="Courier New"/>
          <w:sz w:val="17"/>
        </w:rPr>
        <w:t>UTENTI u, CONF_RUOLI cr, R_UTENTI_RUOLI r, CONF_APP_ROLE app,</w:t>
        <w:br/>
        <w:t>CONF_STRUTTURE_INTERNE_RC csir</w:t>
        <w:br/>
        <w:t>where u.nome_utente = ? and u.FLG_ATTIVO = ?</w:t>
        <w:br/>
        <w:t xml:space="preserve">  and u.id = r.id_utente and r.id_ruolo = cr.id</w:t>
        <w:br/>
        <w:t xml:space="preserve">  and cr.id = app.id_conf_ruoli and u.id_organizzazione = csir.id</w:t>
      </w:r>
    </w:p>
    <w:p>
      <w:pPr/>
      <w:r>
        <w:rPr>
          <w:b w:val="0"/>
        </w:rPr>
        <w:t xml:space="preserve">La seconda ricava le </w:t>
      </w:r>
      <w:r>
        <w:rPr>
          <w:b/>
        </w:rPr>
        <w:t>funzionalità</w:t>
      </w:r>
      <w:r>
        <w:rPr>
          <w:b w:val="0"/>
        </w:rPr>
        <w:t>, e ne percorre quattro:</w:t>
      </w:r>
    </w:p>
    <w:p>
      <w:r>
        <w:rPr>
          <w:rFonts w:ascii="Courier New" w:hAnsi="Courier New"/>
          <w:sz w:val="17"/>
        </w:rPr>
        <w:t>utenti u, r_utenti_ruoli r, conf_aree_tematiche a, conf_funzionalita f</w:t>
        <w:br/>
        <w:t>where u.nome_utente = ?</w:t>
        <w:br/>
        <w:t xml:space="preserve">  and u.id = r.id_utente</w:t>
        <w:br/>
        <w:t xml:space="preserve">  and r.id_area_tematica = a.id_aree_tematiche</w:t>
        <w:br/>
        <w:t xml:space="preserve">  and r.id_funzionalita = f.id</w:t>
      </w:r>
    </w:p>
    <w:p>
      <w:pPr/>
      <w:r>
        <w:rPr>
          <w:b w:val="0"/>
        </w:rPr>
        <w:t xml:space="preserve">⚠️ </w:t>
      </w:r>
      <w:r>
        <w:rPr>
          <w:b/>
        </w:rPr>
        <w:t>Nella seconda lettura il ruolo non compare.</w:t>
      </w:r>
      <w:r>
        <w:rPr>
          <w:b w:val="0"/>
        </w:rPr>
        <w:t xml:space="preserve"> Le funzionalità di un utente non discendono dal ruolo che gli è stato attribuito: discendono direttamente dalle righe di assegnazione che lo riguardano. Il ruolo e la funzionalità viaggiano sulla stessa riga ma restano indipendenti, e nulla impone che siano coerenti fra loro.</w:t>
      </w:r>
    </w:p>
    <w:p>
      <w:pPr/>
      <w:r>
        <w:rPr>
          <w:b w:val="0"/>
        </w:rPr>
        <w:t xml:space="preserve">Ne discende la proprietà che determina il costo di gestione dell’intero impianto: </w:t>
      </w:r>
      <w:r>
        <w:rPr>
          <w:b/>
        </w:rPr>
        <w:t>non esiste un luogo in cui sia scritto che cosa un ruolo può fare</w:t>
      </w:r>
      <w:r>
        <w:rPr>
          <w:b w:val="0"/>
        </w:rPr>
        <w:t>. Un ruolo è un’etichetta; le azioni consentite sono elencate utente per utente. Per sapere che cosa comporti, ad esempio, il ruolo di funzionario di stato civile, occorre esaminare le righe di chi lo possiede e confidare che siano state compilate allo stesso modo; per modificarlo, occorre intervenire su tutte.</w:t>
      </w:r>
    </w:p>
    <w:p>
      <w:pPr>
        <w:pStyle w:val="Heading2"/>
      </w:pPr>
      <w:r>
        <w:t>Dove il permesso è verificato: i back-end</w:t>
      </w:r>
    </w:p>
    <w:p>
      <w:pPr/>
      <w:r>
        <w:rPr>
          <w:b w:val="0"/>
        </w:rPr>
        <w:t xml:space="preserve">La sicurezza a livello di metodo è abilitata in due soli punti, entrambi nei componenti comuni di sicurezza REST, e da lì vale per i moduli che li adottano. L’annotazione di autorizzazione compare in </w:t>
      </w:r>
      <w:r>
        <w:rPr>
          <w:b/>
        </w:rPr>
        <w:t>374 file</w:t>
      </w:r>
      <w:r>
        <w:rPr>
          <w:b w:val="0"/>
        </w:rPr>
        <w:t xml:space="preserve"> sotto la cartella dei back-end.</w:t>
      </w:r>
    </w:p>
    <w:p>
      <w:pPr/>
      <w:r>
        <w:rPr>
          <w:b w:val="0"/>
        </w:rPr>
        <w:t xml:space="preserve">Le espressioni sono però, quasi senza eccezione, </w:t>
      </w:r>
      <w:r>
        <w:rPr>
          <w:b/>
        </w:rPr>
        <w:t>elenchi di ruoli scritti nel codice</w:t>
      </w:r>
      <w:r>
        <w:rPr>
          <w:b w:val="0"/>
        </w:rPr>
        <w:t>:</w:t>
      </w:r>
    </w:p>
    <w:p>
      <w:r>
        <w:rPr>
          <w:rFonts w:ascii="Courier New" w:hAnsi="Courier New"/>
          <w:sz w:val="17"/>
        </w:rPr>
        <w:t>@PreAuthorize("hasAuthority('ROLE_AUTH_USER') or hasAuthority('ROLE_ADMIN')")</w:t>
      </w:r>
    </w:p>
    <w:p>
      <w:pPr/>
      <w:r>
        <w:rPr>
          <w:b w:val="0"/>
        </w:rPr>
        <w:t xml:space="preserve">Fra tutte le espressioni presenti nei back-end </w:t>
      </w:r>
      <w:r>
        <w:rPr>
          <w:b/>
        </w:rPr>
        <w:t>una sola</w:t>
      </w:r>
      <w:r>
        <w:rPr>
          <w:b w:val="0"/>
        </w:rPr>
        <w:t xml:space="preserve"> autorizza su una funzionalità anziché su un ruolo. Il catalogo delle funzionalità, che pure esiste ed è popolato, non partecipa dunque alla decisione di autorizzazione dei servizi.</w:t>
      </w:r>
    </w:p>
    <w:p>
      <w:pPr/>
      <w:r>
        <w:rPr>
          <w:b w:val="0"/>
        </w:rPr>
        <w:t xml:space="preserve">⚠️ Va infine ricordato, perché cambia il significato di tutto il paragrafo, che </w:t>
      </w:r>
      <w:r>
        <w:rPr>
          <w:b/>
        </w:rPr>
        <w:t>l’autorità valutata da queste annotazioni non è quella dell’operatore</w:t>
      </w:r>
      <w:r>
        <w:rPr>
          <w:b w:val="0"/>
        </w:rPr>
        <w:t>: è quella dell’utenza tecnica con cui il front-end ha ottenuto il gettone. Il controllo verifica che quel tipo di chiamante sia ammesso a quel servizio, non che quella persona lo sia.</w:t>
      </w:r>
    </w:p>
    <w:p>
      <w:pPr>
        <w:pStyle w:val="Heading2"/>
      </w:pPr>
      <w:r>
        <w:t>Dove il permesso è verificato: il front-end</w:t>
      </w:r>
    </w:p>
    <w:p>
      <w:pPr/>
      <w:r>
        <w:rPr>
          <w:b w:val="0"/>
        </w:rPr>
        <w:t xml:space="preserve">Nel front-end la verifica è quasi interamente per indirizzo, secondo le 210 regole già descritte. La sicurezza a livello di metodo </w:t>
      </w:r>
      <w:r>
        <w:rPr>
          <w:b/>
        </w:rPr>
        <w:t>non è abilitata</w:t>
      </w:r>
      <w:r>
        <w:rPr>
          <w:b w:val="0"/>
        </w:rPr>
        <w:t>: le due sole annotazioni presenti nei moduli di front-end non hanno quindi effetto, e una delle due è per giunta commentata.</w:t>
      </w:r>
    </w:p>
    <w:p>
      <w:pPr/>
      <w:r>
        <w:rPr>
          <w:b w:val="0"/>
        </w:rPr>
        <w:t>Esiste un unico controllo fondato sulle funzionalità, e si trova nel filtro di ingresso (CdRLoginFilter.java:247-250): la destinazione richiesta viene confrontata con gli indirizzi delle funzionalità possedute dall’utente.</w:t>
      </w:r>
    </w:p>
    <w:p>
      <w:r>
        <w:rPr>
          <w:rFonts w:ascii="Courier New" w:hAnsi="Courier New"/>
          <w:sz w:val="17"/>
        </w:rPr>
        <w:t>boolean check = StringUtils.isEmpty(goUrl)</w:t>
        <w:br/>
        <w:t xml:space="preserve">  || user.getAreeTematiche().stream()</w:t>
        <w:br/>
        <w:t xml:space="preserve">        .flatMap(areaT -&gt; areaT.getFunzionalita().stream())</w:t>
        <w:br/>
        <w:t xml:space="preserve">        .map(ConfFunzionalitaVO::getUrl)</w:t>
        <w:br/>
        <w:t xml:space="preserve">        .anyMatch(url -&gt; url.contains(goUrl))</w:t>
        <w:br/>
        <w:t xml:space="preserve">  || goUrl.equalsIgnoreCase(Constant.GOURL_HELP) || … GOURL_FAQ;</w:t>
      </w:r>
    </w:p>
    <w:p>
      <w:pPr/>
      <w:r>
        <w:rPr>
          <w:b w:val="0"/>
        </w:rPr>
        <w:t xml:space="preserve">Tre proprietà di questo controllo vanno annotate. È un </w:t>
      </w:r>
      <w:r>
        <w:rPr>
          <w:b/>
        </w:rPr>
        <w:t>controllo di soglia</w:t>
      </w:r>
      <w:r>
        <w:rPr>
          <w:b w:val="0"/>
        </w:rPr>
        <w:t xml:space="preserve">: agisce sulla destinazione iniziale e non è ripercorso dalle navigazioni successive all’interno dell’applicazione. Il confronto è </w:t>
      </w:r>
      <w:r>
        <w:rPr>
          <w:b/>
        </w:rPr>
        <w:t>per contenimento</w:t>
      </w:r>
      <w:r>
        <w:rPr>
          <w:b w:val="0"/>
        </w:rPr>
        <w:t xml:space="preserve">, non per uguaglianza. E una destinazione vuota </w:t>
      </w:r>
      <w:r>
        <w:rPr>
          <w:b/>
        </w:rPr>
        <w:t>supera il controllo</w:t>
      </w:r>
      <w:r>
        <w:rPr>
          <w:b w:val="0"/>
        </w:rPr>
        <w:t>, perché la prima condizione della disgiunzione è soddisfatta.</w:t>
      </w:r>
    </w:p>
    <w:p>
      <w:pPr>
        <w:pStyle w:val="Heading2"/>
      </w:pPr>
      <w:r>
        <w:t>Il menu e il filtro delle azioni</w:t>
      </w:r>
    </w:p>
    <w:p>
      <w:pPr/>
      <w:r>
        <w:rPr>
          <w:b w:val="0"/>
        </w:rPr>
        <w:t xml:space="preserve">Il menu è costruito dal frammento di intestazione condiviso [S5] scorrendo le aree tematiche dell’utente e, dentro ciascuna, le sue funzionalità. </w:t>
      </w:r>
      <w:r>
        <w:rPr>
          <w:b/>
        </w:rPr>
        <w:t>È qui che il catalogo delle funzionalità produce il suo effetto principale</w:t>
      </w:r>
      <w:r>
        <w:rPr>
          <w:b w:val="0"/>
        </w:rPr>
        <w:t>: non decide che cosa si possa fare, decide che cosa si veda.</w:t>
      </w:r>
    </w:p>
    <w:p>
      <w:pPr/>
      <w:r>
        <w:rPr>
          <w:b w:val="0"/>
        </w:rPr>
        <w:t xml:space="preserve">I gruppi di primo livello sono però mostrati in base a sette indicatori calcolati in Java, dentro il metodo che riceve le aree tematiche (User.java:359-412), secondo l’ambito e secondo </w:t>
      </w:r>
      <w:r>
        <w:rPr>
          <w:b/>
        </w:rPr>
        <w:t>elenchi di identificativi numerici scritti nel codice</w:t>
      </w:r>
      <w:r>
        <w:rPr>
          <w:b w:val="0"/>
        </w:rPr>
        <w:t>. Gli stessi numeri ricorrono, scritti a mano, nelle condizioni del modello di pagina. Il filtro delle azioni dentro le pagine segue lo stesso criterio, confrontando identificativi numerici di ruolo:</w:t>
      </w:r>
    </w:p>
    <w:p>
      <w:r>
        <w:rPr>
          <w:rFonts w:ascii="Courier New" w:hAnsi="Courier New"/>
          <w:sz w:val="17"/>
        </w:rPr>
        <w:t>th:if="${user.ruoli[0].id == 1 or user.ruoli[0].id == 2 …}"     &lt;!-- ricercaCertificatoStepUno.html:115 --&gt;</w:t>
      </w:r>
    </w:p>
    <w:p>
      <w:pPr/>
      <w:r>
        <w:rPr>
          <w:b w:val="0"/>
        </w:rPr>
        <w:t xml:space="preserve">⚠️ Si noti il pedice: </w:t>
      </w:r>
      <w:r>
        <w:rPr>
          <w:b/>
        </w:rPr>
        <w:t>il primo ruolo</w:t>
      </w:r>
      <w:r>
        <w:rPr>
          <w:b w:val="0"/>
        </w:rPr>
        <w:t>. Lo stesso criterio governa la descrizione mostrata nella barra di intestazione e la scelta dell’utenza tecnica per le chiamate ai servizi. Per un utente a cui siano attribuiti più ruoli, il comportamento del sistema dipende dunque dall’ordine in cui la lettura li restituisce — che è l’ordine dell’identificativo del ruolo.</w:t>
      </w:r>
    </w:p>
    <w:p>
      <w:pPr/>
      <w:r>
        <w:rPr>
          <w:b w:val="0"/>
        </w:rPr>
        <w:t xml:space="preserve">La libreria che consentirebbe di esprimere le condizioni di sicurezza direttamente nelle viste è dichiarata fra le dipendenze, ma </w:t>
      </w:r>
      <w:r>
        <w:rPr>
          <w:b/>
        </w:rPr>
        <w:t>delle sei occorrenze presenti cinque sono commentate</w:t>
      </w:r>
      <w:r>
        <w:rPr>
          <w:b w:val="0"/>
        </w:rPr>
        <w:t>; l’unica attiva si trova in una pagina del modulo di gestione degli eventi elettorali che non dichiara nemmeno lo spazio dei nomi necessario a interpretarla.</w:t>
      </w:r>
    </w:p>
    <w:p>
      <w:pPr>
        <w:pStyle w:val="Heading2"/>
      </w:pPr>
      <w:r>
        <w:t>L’ambito organizzativo</w:t>
      </w:r>
    </w:p>
    <w:p>
      <w:pPr/>
      <w:r>
        <w:rPr>
          <w:b w:val="0"/>
        </w:rPr>
        <w:t xml:space="preserve">La nozione di ambito esiste, ed è articolata su tre dimensioni distinte: la </w:t>
      </w:r>
      <w:r>
        <w:rPr>
          <w:b/>
        </w:rPr>
        <w:t>struttura interna</w:t>
      </w:r>
      <w:r>
        <w:rPr>
          <w:b w:val="0"/>
        </w:rPr>
        <w:t xml:space="preserve"> di appartenenza, la </w:t>
      </w:r>
      <w:r>
        <w:rPr>
          <w:b/>
        </w:rPr>
        <w:t>sede di municipio</w:t>
      </w:r>
      <w:r>
        <w:rPr>
          <w:b w:val="0"/>
        </w:rPr>
        <w:t xml:space="preserve"> e la </w:t>
      </w:r>
      <w:r>
        <w:rPr>
          <w:b/>
        </w:rPr>
        <w:t>struttura convenzionata</w:t>
      </w:r>
      <w:r>
        <w:rPr>
          <w:b w:val="0"/>
        </w:rPr>
        <w:t xml:space="preserve"> per i professionisti e gli enti esterni. Sono tre legami di UTENTI, e le tabelle di dominio ne conservano traccia: l’identificativo di organizzazione compare su atti, variazioni, rettifiche, prenotazioni e registri.</w:t>
      </w:r>
    </w:p>
    <w:p>
      <w:pPr/>
      <w:r>
        <w:rPr>
          <w:b w:val="0"/>
        </w:rPr>
        <w:t>Da queste dimensioni si derivano competenze territoriali. Il caso più esplicito è il controllo di residenza del modulo di irreperibilità, che ricava il municipio dall’organizzazione e lo confronta con quello di residenza del soggetto, prevedendo un’eccezione per una organizzazione dichiarata.</w:t>
      </w:r>
    </w:p>
    <w:p>
      <w:pPr/>
      <w:r>
        <w:rPr>
          <w:b w:val="0"/>
        </w:rPr>
        <w:t>Tre osservazioni sullo stato di fatto.</w:t>
      </w:r>
    </w:p>
    <w:p>
      <w:pPr>
        <w:pStyle w:val="ListParagraph"/>
      </w:pPr>
      <w:r>
        <w:rPr>
          <w:b/>
        </w:rPr>
        <w:t xml:space="preserve">Il filtro non è trasversale. </w:t>
      </w:r>
      <w:r>
        <w:rPr>
          <w:b w:val="0"/>
        </w:rPr>
        <w:t xml:space="preserve">Non esiste alcun meccanismo automatico che restringa le letture all’ambito dell’utente: nessun filtro dichiarativo, nessun archivio di base che lo applichi. L’ambito è aggiunto </w:t>
      </w:r>
      <w:r>
        <w:rPr>
          <w:b/>
        </w:rPr>
        <w:t>caso per caso</w:t>
      </w:r>
      <w:r>
        <w:rPr>
          <w:b w:val="0"/>
        </w:rPr>
        <w:t>, come parametro delle interrogazioni.</w:t>
      </w:r>
    </w:p>
    <w:p>
      <w:pPr>
        <w:pStyle w:val="ListParagraph"/>
      </w:pPr>
      <w:r>
        <w:rPr>
          <w:b/>
        </w:rPr>
        <w:t xml:space="preserve">L’ambito viaggia come parametro dal chiamante. </w:t>
      </w:r>
      <w:r>
        <w:rPr>
          <w:b w:val="0"/>
        </w:rPr>
        <w:t xml:space="preserve">Il front-end lo legge dall’oggetto di sessione — vi ricorrono 136 righe — e lo accoda alla chiamata; il back-end lo riceve come parametro di richiesta in 32 punti. ⚠️ </w:t>
      </w:r>
      <w:r>
        <w:rPr>
          <w:b/>
        </w:rPr>
        <w:t>Nulla verifica che corrisponda a quello dell’utente autenticato</w:t>
      </w:r>
      <w:r>
        <w:rPr>
          <w:b w:val="0"/>
        </w:rPr>
        <w:t>, e nulla potrebbe verificarlo, poiché l’autorità presente nel gettone è quella dell’utenza tecnica, che di organizzazione non ne ha.</w:t>
      </w:r>
    </w:p>
    <w:p>
      <w:pPr>
        <w:pStyle w:val="ListParagraph"/>
      </w:pPr>
      <w:r>
        <w:rPr>
          <w:b/>
        </w:rPr>
        <w:t xml:space="preserve">L’ambito non si può attribuire a un’assegnazione. </w:t>
      </w:r>
      <w:r>
        <w:rPr>
          <w:b w:val="0"/>
        </w:rPr>
        <w:t xml:space="preserve">Essendo attributo dell’utente e non della riga di assegnazione, </w:t>
      </w:r>
      <w:r>
        <w:rPr>
          <w:b/>
        </w:rPr>
        <w:t>non è esprimibile un ruolo limitato a un municipio</w:t>
      </w:r>
      <w:r>
        <w:rPr>
          <w:b w:val="0"/>
        </w:rPr>
        <w:t>: chi possiede un ruolo lo possiede ovunque la sua organizzazione arrivi. Si aggiunga che la sede di municipio, pur presente in tabella, non è riportata sull’oggetto di sessione.</w:t>
      </w:r>
    </w:p>
    <w:p>
      <w:pPr>
        <w:pStyle w:val="Heading2"/>
      </w:pPr>
      <w:r>
        <w:t>L’amministrazione delle utenze</w:t>
      </w:r>
    </w:p>
    <w:p>
      <w:pPr/>
      <w:r>
        <w:rPr>
          <w:b w:val="0"/>
        </w:rPr>
        <w:t>Esiste una gestione completa, con maschera dedicata e servizi propri: si creano e si modificano utenti e assegnazioni, e si consultano gli elenchi di organizzazioni, ruoli, aree tematiche e funzionalità per area. È la superficie attraverso cui il permesso viene attribuito.</w:t>
      </w:r>
    </w:p>
    <w:p>
      <w:pPr/>
      <w:r>
        <w:rPr>
          <w:b w:val="0"/>
        </w:rPr>
        <w:t xml:space="preserve">Due limiti sono rilevanti per una descrizione dello stato di fatto. Le utenze tecniche </w:t>
      </w:r>
      <w:r>
        <w:rPr>
          <w:b/>
        </w:rPr>
        <w:t>non sono amministrate da questa maschera</w:t>
      </w:r>
      <w:r>
        <w:rPr>
          <w:b w:val="0"/>
        </w:rPr>
        <w:t xml:space="preserve">: vivono in tabelle proprie e sono configurate al di fuori dell’applicativo. E la gestione </w:t>
      </w:r>
      <w:r>
        <w:rPr>
          <w:b/>
        </w:rPr>
        <w:t>non lascia traccia</w:t>
      </w:r>
      <w:r>
        <w:rPr>
          <w:b w:val="0"/>
        </w:rPr>
        <w:t>: le assegnazioni sono create, modificate e cancellate senza che nulla registri chi sia intervenuto, quando e su che cosa.</w:t>
      </w:r>
    </w:p>
    <w:p>
      <w:pPr>
        <w:pStyle w:val="Heading2"/>
      </w:pPr>
      <w:r>
        <w:t>Ciò che non esiste</w:t>
      </w:r>
    </w:p>
    <w:tbl>
      <w:tblPr>
        <w:tblStyle w:val="TableGrid"/>
        <w:tblW w:type="auto" w:w="0"/>
        <w:tblLook w:firstColumn="1" w:firstRow="1" w:lastColumn="0" w:lastRow="0" w:noHBand="0" w:noVBand="1" w:val="04A0"/>
      </w:tblPr>
      <w:tblGrid>
        <w:gridCol w:w="4680"/>
        <w:gridCol w:w="4680"/>
      </w:tblGrid>
      <w:tr>
        <w:tc>
          <w:tcPr>
            <w:tcW w:type="dxa" w:w="3168"/>
          </w:tcPr>
          <w:p>
            <w:r/>
            <w:r>
              <w:rPr>
                <w:b/>
                <w:sz w:val="17"/>
              </w:rPr>
              <w:t>Meccanismo cercato</w:t>
            </w:r>
          </w:p>
        </w:tc>
        <w:tc>
          <w:tcPr>
            <w:tcW w:type="dxa" w:w="6192"/>
          </w:tcPr>
          <w:p>
            <w:r/>
            <w:r>
              <w:rPr>
                <w:b/>
                <w:sz w:val="17"/>
              </w:rPr>
              <w:t>Esito della ricerca sui sorgenti</w:t>
            </w:r>
          </w:p>
        </w:tc>
      </w:tr>
      <w:tr>
        <w:tc>
          <w:tcPr>
            <w:tcW w:type="dxa" w:w="3168"/>
          </w:tcPr>
          <w:p>
            <w:r/>
            <w:r>
              <w:rPr>
                <w:b w:val="0"/>
                <w:sz w:val="17"/>
              </w:rPr>
              <w:t>Associazione diretta ruolo → funzionalità</w:t>
            </w:r>
          </w:p>
        </w:tc>
        <w:tc>
          <w:tcPr>
            <w:tcW w:type="dxa" w:w="6192"/>
          </w:tcPr>
          <w:p>
            <w:r/>
            <w:r>
              <w:rPr>
                <w:b w:val="0"/>
                <w:sz w:val="17"/>
              </w:rPr>
              <w:t>Assente. Il legame passa sempre per R_UTENTI_RUOLI, cioè per il singolo utente.</w:t>
            </w:r>
          </w:p>
        </w:tc>
      </w:tr>
      <w:tr>
        <w:tc>
          <w:tcPr>
            <w:tcW w:type="dxa" w:w="3168"/>
          </w:tcPr>
          <w:p>
            <w:r/>
            <w:r>
              <w:rPr>
                <w:b w:val="0"/>
                <w:sz w:val="17"/>
              </w:rPr>
              <w:t>Validità temporale dell’assegnazione di un ruolo</w:t>
            </w:r>
          </w:p>
        </w:tc>
        <w:tc>
          <w:tcPr>
            <w:tcW w:type="dxa" w:w="6192"/>
          </w:tcPr>
          <w:p>
            <w:r/>
            <w:r>
              <w:rPr>
                <w:b w:val="0"/>
                <w:sz w:val="17"/>
              </w:rPr>
              <w:t>Assente: R_UTENTI_RUOLI non ha date di inizio o fine.</w:t>
            </w:r>
          </w:p>
        </w:tc>
      </w:tr>
      <w:tr>
        <w:tc>
          <w:tcPr>
            <w:tcW w:type="dxa" w:w="3168"/>
          </w:tcPr>
          <w:p>
            <w:r/>
            <w:r>
              <w:rPr>
                <w:b w:val="0"/>
                <w:sz w:val="17"/>
              </w:rPr>
              <w:t>Ambito sull’assegnazione</w:t>
            </w:r>
          </w:p>
        </w:tc>
        <w:tc>
          <w:tcPr>
            <w:tcW w:type="dxa" w:w="6192"/>
          </w:tcPr>
          <w:p>
            <w:r/>
            <w:r>
              <w:rPr>
                <w:b w:val="0"/>
                <w:sz w:val="17"/>
              </w:rPr>
              <w:t>Assente: l’ambito è attributo dell’utente, non dell’assegnazione. Non è quindi esprimibile «questo ruolo, ma solo per questo municipio».</w:t>
            </w:r>
          </w:p>
        </w:tc>
      </w:tr>
      <w:tr>
        <w:tc>
          <w:tcPr>
            <w:tcW w:type="dxa" w:w="3168"/>
          </w:tcPr>
          <w:p>
            <w:r/>
            <w:r>
              <w:rPr>
                <w:b w:val="0"/>
                <w:sz w:val="17"/>
              </w:rPr>
              <w:t>Annotazioni @Secured, @PostAuthorize, @RolesAllowed</w:t>
            </w:r>
          </w:p>
        </w:tc>
        <w:tc>
          <w:tcPr>
            <w:tcW w:type="dxa" w:w="6192"/>
          </w:tcPr>
          <w:p>
            <w:r/>
            <w:r>
              <w:rPr>
                <w:b w:val="0"/>
                <w:sz w:val="17"/>
              </w:rPr>
              <w:t>Assenti.</w:t>
            </w:r>
          </w:p>
        </w:tc>
      </w:tr>
      <w:tr>
        <w:tc>
          <w:tcPr>
            <w:tcW w:type="dxa" w:w="3168"/>
          </w:tcPr>
          <w:p>
            <w:r/>
            <w:r>
              <w:rPr>
                <w:b w:val="0"/>
                <w:sz w:val="17"/>
              </w:rPr>
              <w:t>Metodi applicativi di verifica del permesso (isAbilitato, checkFunzionalita, hasPermission)</w:t>
            </w:r>
          </w:p>
        </w:tc>
        <w:tc>
          <w:tcPr>
            <w:tcW w:type="dxa" w:w="6192"/>
          </w:tcPr>
          <w:p>
            <w:r/>
            <w:r>
              <w:rPr>
                <w:b w:val="0"/>
                <w:sz w:val="17"/>
              </w:rPr>
              <w:t>Assenti: non esiste un punto unico dove la domanda «può farlo?» sia posta.</w:t>
            </w:r>
          </w:p>
        </w:tc>
      </w:tr>
      <w:tr>
        <w:tc>
          <w:tcPr>
            <w:tcW w:type="dxa" w:w="3168"/>
          </w:tcPr>
          <w:p>
            <w:r/>
            <w:r>
              <w:rPr>
                <w:b w:val="0"/>
                <w:sz w:val="17"/>
              </w:rPr>
              <w:t>Intercettori o aspetti di autorizzazione</w:t>
            </w:r>
          </w:p>
        </w:tc>
        <w:tc>
          <w:tcPr>
            <w:tcW w:type="dxa" w:w="6192"/>
          </w:tcPr>
          <w:p>
            <w:r/>
            <w:r>
              <w:rPr>
                <w:b w:val="0"/>
                <w:sz w:val="17"/>
              </w:rPr>
              <w:t>Le due classi CheckPermission esistenti sono interamente commentate.</w:t>
            </w:r>
          </w:p>
        </w:tc>
      </w:tr>
      <w:tr>
        <w:tc>
          <w:tcPr>
            <w:tcW w:type="dxa" w:w="3168"/>
          </w:tcPr>
          <w:p>
            <w:r/>
            <w:r>
              <w:rPr>
                <w:b w:val="0"/>
                <w:sz w:val="17"/>
              </w:rPr>
              <w:t>Log delle modifiche ai permessi</w:t>
            </w:r>
          </w:p>
        </w:tc>
        <w:tc>
          <w:tcPr>
            <w:tcW w:type="dxa" w:w="6192"/>
          </w:tcPr>
          <w:p>
            <w:r/>
            <w:r>
              <w:rPr>
                <w:b w:val="0"/>
                <w:sz w:val="17"/>
              </w:rPr>
              <w:t>Assente: la gestione delle utenze crea e cancella assegnazioni senza traccia storica.</w:t>
            </w:r>
          </w:p>
        </w:tc>
      </w:tr>
      <w:tr>
        <w:tc>
          <w:tcPr>
            <w:tcW w:type="dxa" w:w="3168"/>
          </w:tcPr>
          <w:p>
            <w:r/>
            <w:r>
              <w:rPr>
                <w:b w:val="0"/>
                <w:sz w:val="17"/>
              </w:rPr>
              <w:t>Auditing automatico (@EnableJpaAuditing, AuditingEntityListener, @CreatedBy)</w:t>
            </w:r>
          </w:p>
        </w:tc>
        <w:tc>
          <w:tcPr>
            <w:tcW w:type="dxa" w:w="6192"/>
          </w:tcPr>
          <w:p>
            <w:r/>
            <w:r>
              <w:rPr>
                <w:b w:val="0"/>
                <w:sz w:val="17"/>
              </w:rPr>
              <w:t>Assente: zero occorrenze nell’intero perimetro.</w:t>
            </w:r>
          </w:p>
        </w:tc>
      </w:tr>
      <w:tr>
        <w:tc>
          <w:tcPr>
            <w:tcW w:type="dxa" w:w="3168"/>
          </w:tcPr>
          <w:p>
            <w:r/>
            <w:r>
              <w:rPr>
                <w:b w:val="0"/>
                <w:sz w:val="17"/>
              </w:rPr>
              <w:t>Tabella di audit generale</w:t>
            </w:r>
          </w:p>
        </w:tc>
        <w:tc>
          <w:tcPr>
            <w:tcW w:type="dxa" w:w="6192"/>
          </w:tcPr>
          <w:p>
            <w:r/>
            <w:r>
              <w:rPr>
                <w:b w:val="0"/>
                <w:sz w:val="17"/>
              </w:rPr>
              <w:t>Assente nello stato civile. L’unica tabella di audit mappata è AUDIT_EVENTO_ELETTORALE, di dominio elettorale.</w:t>
            </w:r>
          </w:p>
        </w:tc>
      </w:tr>
    </w:tbl>
    <w:p>
      <w:pPr>
        <w:pStyle w:val="Heading1"/>
      </w:pPr>
      <w:r>
        <w:t>Il tracciamento delle azioni</w:t>
      </w:r>
    </w:p>
    <w:p>
      <w:pPr/>
      <w:r>
        <w:rPr>
          <w:b w:val="0"/>
        </w:rPr>
        <w:t>Il sistema conserva memoria di poche cose, in modi non uniformi, e mai attraverso un meccanismo generale.</w:t>
      </w:r>
    </w:p>
    <w:p>
      <w:pPr/>
      <w:r>
        <w:rPr>
          <w:b/>
        </w:rPr>
        <w:t>Non esiste alcuna forma di registrazione automatica.</w:t>
      </w:r>
      <w:r>
        <w:rPr>
          <w:b w:val="0"/>
        </w:rPr>
        <w:t xml:space="preserve"> Le annotazioni che Spring Data mette a disposizione per attribuire a ogni riga il suo autore e il suo momento non compaiono in nessun punto del perimetro; non vi sono ascoltatori di entità, né interceptor di persistenza. Le colonne «chi» esistono dove qualcuno le ha aggiunte, e sono </w:t>
      </w:r>
      <w:r>
        <w:rPr>
          <w:b/>
        </w:rPr>
        <w:t>nove occorrenze</w:t>
      </w:r>
      <w:r>
        <w:rPr>
          <w:b w:val="0"/>
        </w:rPr>
        <w:t xml:space="preserve"> di un nome più poche altre con </w:t>
      </w:r>
      <w:r>
        <w:rPr>
          <w:b/>
        </w:rPr>
        <w:t>cinque nomi diversi</w:t>
      </w:r>
      <w:r>
        <w:rPr>
          <w:b w:val="0"/>
        </w:rPr>
        <w:t>. Le colonne di data sono invece diffuse, spesso senza la colonna di utente corrispondente: si sa quando, non da chi.</w:t>
      </w:r>
    </w:p>
    <w:p>
      <w:pPr/>
      <w:r>
        <w:rPr>
          <w:b w:val="0"/>
        </w:rPr>
        <w:t xml:space="preserve">⚠️ Dove la colonna esiste, il valore </w:t>
      </w:r>
      <w:r>
        <w:rPr>
          <w:b/>
        </w:rPr>
        <w:t>arriva dal client</w:t>
      </w:r>
      <w:r>
        <w:rPr>
          <w:b w:val="0"/>
        </w:rPr>
        <w:t>: è preso dal parametro della richiesta e assegnato direttamente. Una traccia così formata registra ciò che il chiamante ha dichiarato di essere, non ciò che il sistema ha accertato.</w:t>
      </w:r>
    </w:p>
    <w:p>
      <w:pPr/>
      <w:r>
        <w:rPr>
          <w:b w:val="0"/>
        </w:rPr>
        <w:t>Esistono due registri applicativi veri, entrambi specifici:</w:t>
      </w:r>
    </w:p>
    <w:tbl>
      <w:tblPr>
        <w:tblStyle w:val="TableGrid"/>
        <w:tblW w:type="auto" w:w="0"/>
        <w:tblLook w:firstColumn="1" w:firstRow="1" w:lastColumn="0" w:lastRow="0" w:noHBand="0" w:noVBand="1" w:val="04A0"/>
      </w:tblPr>
      <w:tblGrid>
        <w:gridCol w:w="3120"/>
        <w:gridCol w:w="3120"/>
        <w:gridCol w:w="3120"/>
      </w:tblGrid>
      <w:tr>
        <w:tc>
          <w:tcPr>
            <w:tcW w:type="dxa" w:w="2160"/>
          </w:tcPr>
          <w:p>
            <w:r/>
            <w:r>
              <w:rPr>
                <w:b/>
                <w:sz w:val="17"/>
              </w:rPr>
              <w:t>Registro</w:t>
            </w:r>
          </w:p>
        </w:tc>
        <w:tc>
          <w:tcPr>
            <w:tcW w:type="dxa" w:w="3744"/>
          </w:tcPr>
          <w:p>
            <w:r/>
            <w:r>
              <w:rPr>
                <w:b/>
                <w:sz w:val="17"/>
              </w:rPr>
              <w:t>Che cosa conserva</w:t>
            </w:r>
          </w:p>
        </w:tc>
        <w:tc>
          <w:tcPr>
            <w:tcW w:type="dxa" w:w="3456"/>
          </w:tcPr>
          <w:p>
            <w:r/>
            <w:r>
              <w:rPr>
                <w:b/>
                <w:sz w:val="17"/>
              </w:rPr>
              <w:t>Da annotare</w:t>
            </w:r>
          </w:p>
        </w:tc>
      </w:tr>
      <w:tr>
        <w:tc>
          <w:tcPr>
            <w:tcW w:type="dxa" w:w="2160"/>
          </w:tcPr>
          <w:p>
            <w:r/>
            <w:r>
              <w:rPr>
                <w:b w:val="0"/>
                <w:sz w:val="17"/>
              </w:rPr>
              <w:t>ESTRATTI_DOWNLOAD_LOG</w:t>
            </w:r>
          </w:p>
        </w:tc>
        <w:tc>
          <w:tcPr>
            <w:tcW w:type="dxa" w:w="3744"/>
          </w:tcPr>
          <w:p>
            <w:r/>
            <w:r>
              <w:rPr>
                <w:b w:val="0"/>
                <w:sz w:val="17"/>
              </w:rPr>
              <w:t>I rilasci di estratti: utente, organizzazione, municipio, data, tipo di estratto e di rilascio, dati dell’atto.</w:t>
            </w:r>
          </w:p>
        </w:tc>
        <w:tc>
          <w:tcPr>
            <w:tcW w:type="dxa" w:w="3456"/>
          </w:tcPr>
          <w:p>
            <w:r/>
            <w:r>
              <w:rPr>
                <w:b w:val="0"/>
                <w:sz w:val="17"/>
              </w:rPr>
              <w:t xml:space="preserve">⚠️ Ha una </w:t>
            </w:r>
            <w:r>
              <w:rPr>
                <w:b/>
                <w:sz w:val="17"/>
              </w:rPr>
              <w:t>lista di esclusione</w:t>
            </w:r>
            <w:r>
              <w:rPr>
                <w:b w:val="0"/>
                <w:sz w:val="17"/>
              </w:rPr>
              <w:t>: se l’indicatore della tabella delle utenze vale «Y», il rilascio non viene registrato.</w:t>
            </w:r>
          </w:p>
        </w:tc>
      </w:tr>
      <w:tr>
        <w:tc>
          <w:tcPr>
            <w:tcW w:type="dxa" w:w="2160"/>
          </w:tcPr>
          <w:p>
            <w:r/>
            <w:r>
              <w:rPr>
                <w:b w:val="0"/>
                <w:sz w:val="17"/>
              </w:rPr>
              <w:t>LOG_EVENTI_STATO_CIVILE</w:t>
            </w:r>
          </w:p>
        </w:tc>
        <w:tc>
          <w:tcPr>
            <w:tcW w:type="dxa" w:w="3744"/>
          </w:tcPr>
          <w:p>
            <w:r/>
            <w:r>
              <w:rPr>
                <w:b w:val="0"/>
                <w:sz w:val="17"/>
              </w:rPr>
              <w:t>Gli errori di integrazione con ANPR: tipo di evento, tipo ed esito dell’errore, identificativo dell’operazione.</w:t>
            </w:r>
          </w:p>
        </w:tc>
        <w:tc>
          <w:tcPr>
            <w:tcW w:type="dxa" w:w="3456"/>
          </w:tcPr>
          <w:p>
            <w:r/>
            <w:r>
              <w:rPr>
                <w:b w:val="0"/>
                <w:sz w:val="17"/>
              </w:rPr>
              <w:t xml:space="preserve">È un registro tecnico: </w:t>
            </w:r>
            <w:r>
              <w:rPr>
                <w:b/>
                <w:sz w:val="17"/>
              </w:rPr>
              <w:t>non contiene l’utente</w:t>
            </w:r>
            <w:r>
              <w:rPr>
                <w:b w:val="0"/>
                <w:sz w:val="17"/>
              </w:rPr>
              <w:t>.</w:t>
            </w:r>
          </w:p>
        </w:tc>
      </w:tr>
    </w:tbl>
    <w:p>
      <w:pPr/>
      <w:r>
        <w:rPr>
          <w:b w:val="0"/>
        </w:rPr>
        <w:t>Nello stato civile non esiste alcuna tabella di audit generale. L’unica tabella di audit mappata da un’entità nell’intero perimetro appartiene al dominio elettorale. Resta, come traccia degli accessi, una riga di registro applicativo scritta a ogni connessione con nome utente, gruppo, indirizzo della postazione, numero di serie del certificato, identificativo e momento di creazione della sessione (CdRLoginFilter.java:234-236): è un file, non un dato interrogabile.</w:t>
      </w:r>
    </w:p>
    <w:p>
      <w:pPr>
        <w:pStyle w:val="Heading1"/>
      </w:pPr>
      <w:r>
        <w:t>La duplicazione dell’impianto</w:t>
      </w:r>
    </w:p>
    <w:p>
      <w:pPr/>
      <w:r>
        <w:rPr>
          <w:b w:val="0"/>
        </w:rPr>
        <w:t xml:space="preserve">L’intero impianto descritto esiste in </w:t>
      </w:r>
      <w:r>
        <w:rPr>
          <w:b/>
        </w:rPr>
        <w:t>due copie</w:t>
      </w:r>
      <w:r>
        <w:rPr>
          <w:b w:val="0"/>
        </w:rPr>
        <w:t>. Sotto la radice delle elezioni si trovano un secondo modulo di profilazione, un secondo componente di sicurezza REST e un secondo client, con le classi omonime: la lettura dei dati di profilazione, il modello dell’utente, la configurazione di sicurezza, il servizio che carica le autorità. Le entità delle tabelle di profilazione sono a loro volta duplicate, e ne esistono varianti per lo stato civile e sinonimi per l’elettorale.</w:t>
      </w:r>
    </w:p>
    <w:p>
      <w:pPr/>
      <w:r>
        <w:rPr>
          <w:b w:val="0"/>
        </w:rPr>
        <w:t xml:space="preserve">⚠️ La duplicazione riguarda anche il file che contiene le credenziali tecniche, che è ripetuto per intero. Dal punto di vista dello stato di fatto ciò significa che </w:t>
      </w:r>
      <w:r>
        <w:rPr>
          <w:b/>
        </w:rPr>
        <w:t>una modifica all’impianto di sicurezza non ha un solo luogo in cui essere fatta</w:t>
      </w:r>
      <w:r>
        <w:rPr>
          <w:b w:val="0"/>
        </w:rPr>
        <w:t>, e che le due copie possono divergere senza che nulla lo segnali. Un modulo di front-end risulta inoltre presente in duplice esemplare, uno dei quali nominato come copia di salvataggio.</w:t>
      </w:r>
    </w:p>
    <w:p>
      <w:pPr>
        <w:pStyle w:val="Heading1"/>
      </w:pPr>
      <w:r>
        <w:t>Rilievi</w:t>
      </w:r>
    </w:p>
    <w:p>
      <w:pPr/>
      <w:r>
        <w:rPr>
          <w:b w:val="0"/>
        </w:rPr>
        <w:t>Si raccolgono qui i punti in cui il sistema si comporta diversamente da come ci si attenderebbe leggendone la documentazione o osservandone le maschere. Sono osservazioni sullo stato di fatto: il documento non propone correzioni e non attribuisce priorità, perché la valutazione del rischio richiede di conoscere il contesto di rete in cui il sistema opera, che non è fra le fonti disponibili (PA-2).</w:t>
      </w:r>
    </w:p>
    <w:tbl>
      <w:tblPr>
        <w:tblStyle w:val="TableGrid"/>
        <w:tblW w:type="auto" w:w="0"/>
        <w:tblLook w:firstColumn="1" w:firstRow="1" w:lastColumn="0" w:lastRow="0" w:noHBand="0" w:noVBand="1" w:val="04A0"/>
      </w:tblPr>
      <w:tblGrid>
        <w:gridCol w:w="2340"/>
        <w:gridCol w:w="2340"/>
        <w:gridCol w:w="2340"/>
        <w:gridCol w:w="2340"/>
      </w:tblGrid>
      <w:tr>
        <w:tc>
          <w:tcPr>
            <w:tcW w:type="dxa" w:w="720"/>
          </w:tcPr>
          <w:p>
            <w:r/>
            <w:r>
              <w:rPr>
                <w:b/>
                <w:sz w:val="17"/>
              </w:rPr>
              <w:t>#</w:t>
            </w:r>
          </w:p>
        </w:tc>
        <w:tc>
          <w:tcPr>
            <w:tcW w:type="dxa" w:w="2160"/>
          </w:tcPr>
          <w:p>
            <w:r/>
            <w:r>
              <w:rPr>
                <w:b/>
                <w:sz w:val="17"/>
              </w:rPr>
              <w:t>Rilievo</w:t>
            </w:r>
          </w:p>
        </w:tc>
        <w:tc>
          <w:tcPr>
            <w:tcW w:type="dxa" w:w="4320"/>
          </w:tcPr>
          <w:p>
            <w:r/>
            <w:r>
              <w:rPr>
                <w:b/>
                <w:sz w:val="17"/>
              </w:rPr>
              <w:t>Evidenza</w:t>
            </w:r>
          </w:p>
        </w:tc>
        <w:tc>
          <w:tcPr>
            <w:tcW w:type="dxa" w:w="1584"/>
          </w:tcPr>
          <w:p>
            <w:r/>
            <w:r>
              <w:rPr>
                <w:b/>
                <w:sz w:val="17"/>
              </w:rPr>
              <w:t>Natura</w:t>
            </w:r>
          </w:p>
        </w:tc>
      </w:tr>
      <w:tr>
        <w:tc>
          <w:tcPr>
            <w:tcW w:type="dxa" w:w="720"/>
          </w:tcPr>
          <w:p>
            <w:r/>
            <w:r>
              <w:rPr>
                <w:b w:val="0"/>
                <w:sz w:val="17"/>
              </w:rPr>
              <w:t>R-01</w:t>
            </w:r>
          </w:p>
        </w:tc>
        <w:tc>
          <w:tcPr>
            <w:tcW w:type="dxa" w:w="2160"/>
          </w:tcPr>
          <w:p>
            <w:r/>
            <w:r>
              <w:rPr>
                <w:b w:val="0"/>
                <w:sz w:val="17"/>
              </w:rPr>
              <w:t>Gli header di identità non sono verificati</w:t>
            </w:r>
          </w:p>
        </w:tc>
        <w:tc>
          <w:tcPr>
            <w:tcW w:type="dxa" w:w="4320"/>
          </w:tcPr>
          <w:p>
            <w:r/>
            <w:r>
              <w:rPr>
                <w:b w:val="0"/>
                <w:sz w:val="17"/>
              </w:rPr>
              <w:t>CdRLoginFilter.java:91-92 e 132-142 leggono iv-user e sysgroup senza alcun controllo di provenienza o di firma. L’identità è quella che il livello di rete dichiara.</w:t>
            </w:r>
          </w:p>
        </w:tc>
        <w:tc>
          <w:tcPr>
            <w:tcW w:type="dxa" w:w="1584"/>
          </w:tcPr>
          <w:p>
            <w:r/>
            <w:r>
              <w:rPr>
                <w:b w:val="0"/>
                <w:sz w:val="17"/>
              </w:rPr>
              <w:t>Fiducia implicita</w:t>
            </w:r>
          </w:p>
        </w:tc>
      </w:tr>
      <w:tr>
        <w:tc>
          <w:tcPr>
            <w:tcW w:type="dxa" w:w="720"/>
          </w:tcPr>
          <w:p>
            <w:r/>
            <w:r>
              <w:rPr>
                <w:b w:val="0"/>
                <w:sz w:val="17"/>
              </w:rPr>
              <w:t>R-02</w:t>
            </w:r>
          </w:p>
        </w:tc>
        <w:tc>
          <w:tcPr>
            <w:tcW w:type="dxa" w:w="2160"/>
          </w:tcPr>
          <w:p>
            <w:r/>
            <w:r>
              <w:rPr>
                <w:b w:val="0"/>
                <w:sz w:val="17"/>
              </w:rPr>
              <w:t>Esiste un percorso alternativo di identificazione</w:t>
            </w:r>
          </w:p>
        </w:tc>
        <w:tc>
          <w:tcPr>
            <w:tcW w:type="dxa" w:w="4320"/>
          </w:tcPr>
          <w:p>
            <w:r/>
            <w:r>
              <w:rPr>
                <w:b w:val="0"/>
                <w:sz w:val="17"/>
              </w:rPr>
              <w:t>CdRLoginFilter.java:83-88: con il parametro di richiesta mode=local l’identità è letta dagli attributi di sessione anziché dagli header. Non è disabilitato per profilo né per ambiente.</w:t>
            </w:r>
          </w:p>
        </w:tc>
        <w:tc>
          <w:tcPr>
            <w:tcW w:type="dxa" w:w="1584"/>
          </w:tcPr>
          <w:p>
            <w:r/>
            <w:r>
              <w:rPr>
                <w:b w:val="0"/>
                <w:sz w:val="17"/>
              </w:rPr>
              <w:t>Funzione di sviluppo attiva</w:t>
            </w:r>
          </w:p>
        </w:tc>
      </w:tr>
      <w:tr>
        <w:tc>
          <w:tcPr>
            <w:tcW w:type="dxa" w:w="720"/>
          </w:tcPr>
          <w:p>
            <w:r/>
            <w:r>
              <w:rPr>
                <w:b w:val="0"/>
                <w:sz w:val="17"/>
              </w:rPr>
              <w:t>R-03</w:t>
            </w:r>
          </w:p>
        </w:tc>
        <w:tc>
          <w:tcPr>
            <w:tcW w:type="dxa" w:w="2160"/>
          </w:tcPr>
          <w:p>
            <w:r/>
            <w:r>
              <w:rPr>
                <w:b w:val="0"/>
                <w:sz w:val="17"/>
              </w:rPr>
              <w:t>Nessuna catena di sicurezza si chiude</w:t>
            </w:r>
          </w:p>
        </w:tc>
        <w:tc>
          <w:tcPr>
            <w:tcW w:type="dxa" w:w="4320"/>
          </w:tcPr>
          <w:p>
            <w:r/>
            <w:r>
              <w:rPr>
                <w:b w:val="0"/>
                <w:sz w:val="17"/>
              </w:rPr>
              <w:t>Né SecurityConfig.java (front-end, 210 antMatchers) né ResourceServerConfig.java (back-end, 171 antMatchers) dichiarano anyRequest(). Un percorso non elencato non incontra alcuna regola.</w:t>
            </w:r>
          </w:p>
        </w:tc>
        <w:tc>
          <w:tcPr>
            <w:tcW w:type="dxa" w:w="1584"/>
          </w:tcPr>
          <w:p>
            <w:r/>
            <w:r>
              <w:rPr>
                <w:b w:val="0"/>
                <w:sz w:val="17"/>
              </w:rPr>
              <w:t>Copertura per enumerazione</w:t>
            </w:r>
          </w:p>
        </w:tc>
      </w:tr>
      <w:tr>
        <w:tc>
          <w:tcPr>
            <w:tcW w:type="dxa" w:w="720"/>
          </w:tcPr>
          <w:p>
            <w:r/>
            <w:r>
              <w:rPr>
                <w:b w:val="0"/>
                <w:sz w:val="17"/>
              </w:rPr>
              <w:t>R-04</w:t>
            </w:r>
          </w:p>
        </w:tc>
        <w:tc>
          <w:tcPr>
            <w:tcW w:type="dxa" w:w="2160"/>
          </w:tcPr>
          <w:p>
            <w:r/>
            <w:r>
              <w:rPr>
                <w:b w:val="0"/>
                <w:sz w:val="17"/>
              </w:rPr>
              <w:t>Una sola chiave firma i token di tutti i back-end</w:t>
            </w:r>
          </w:p>
        </w:tc>
        <w:tc>
          <w:tcPr>
            <w:tcW w:type="dxa" w:w="4320"/>
          </w:tcPr>
          <w:p>
            <w:r/>
            <w:r>
              <w:rPr>
                <w:b w:val="0"/>
                <w:sz w:val="17"/>
              </w:rPr>
              <w:t>security.signing-key ha lo stesso valore in 45 file application.properties, e security.jwt.resource-ids è parimenti unico. Un token emesso da un back-end è accettato da ogni altro.</w:t>
            </w:r>
          </w:p>
        </w:tc>
        <w:tc>
          <w:tcPr>
            <w:tcW w:type="dxa" w:w="1584"/>
          </w:tcPr>
          <w:p>
            <w:r/>
            <w:r>
              <w:rPr>
                <w:b w:val="0"/>
                <w:sz w:val="17"/>
              </w:rPr>
              <w:t>Assenza di separazione</w:t>
            </w:r>
          </w:p>
        </w:tc>
      </w:tr>
      <w:tr>
        <w:tc>
          <w:tcPr>
            <w:tcW w:type="dxa" w:w="720"/>
          </w:tcPr>
          <w:p>
            <w:r/>
            <w:r>
              <w:rPr>
                <w:b w:val="0"/>
                <w:sz w:val="17"/>
              </w:rPr>
              <w:t>R-05</w:t>
            </w:r>
          </w:p>
        </w:tc>
        <w:tc>
          <w:tcPr>
            <w:tcW w:type="dxa" w:w="2160"/>
          </w:tcPr>
          <w:p>
            <w:r/>
            <w:r>
              <w:rPr>
                <w:b w:val="0"/>
                <w:sz w:val="17"/>
              </w:rPr>
              <w:t>L’identità dell’operatore non raggiunge i back-end</w:t>
            </w:r>
          </w:p>
        </w:tc>
        <w:tc>
          <w:tcPr>
            <w:tcW w:type="dxa" w:w="4320"/>
          </w:tcPr>
          <w:p>
            <w:r/>
            <w:r>
              <w:rPr>
                <w:b w:val="0"/>
                <w:sz w:val="17"/>
              </w:rPr>
              <w:t>GenericController.java:113-115 e oltre: il profilo passato al client è user.getRuoli().get(0).getRuoloBe(), cioè il primo ruolo. Il soggetto del token è un’utenza tecnica condivisa, non la persona.</w:t>
            </w:r>
          </w:p>
        </w:tc>
        <w:tc>
          <w:tcPr>
            <w:tcW w:type="dxa" w:w="1584"/>
          </w:tcPr>
          <w:p>
            <w:r/>
            <w:r>
              <w:rPr>
                <w:b w:val="0"/>
                <w:sz w:val="17"/>
              </w:rPr>
              <w:t>Perdita di identità</w:t>
            </w:r>
          </w:p>
        </w:tc>
      </w:tr>
      <w:tr>
        <w:tc>
          <w:tcPr>
            <w:tcW w:type="dxa" w:w="720"/>
          </w:tcPr>
          <w:p>
            <w:r/>
            <w:r>
              <w:rPr>
                <w:b w:val="0"/>
                <w:sz w:val="17"/>
              </w:rPr>
              <w:t>R-06</w:t>
            </w:r>
          </w:p>
        </w:tc>
        <w:tc>
          <w:tcPr>
            <w:tcW w:type="dxa" w:w="2160"/>
          </w:tcPr>
          <w:p>
            <w:r/>
            <w:r>
              <w:rPr>
                <w:b w:val="0"/>
                <w:sz w:val="17"/>
              </w:rPr>
              <w:t>Il primo ruolo decide per tutti</w:t>
            </w:r>
          </w:p>
        </w:tc>
        <w:tc>
          <w:tcPr>
            <w:tcW w:type="dxa" w:w="4320"/>
          </w:tcPr>
          <w:p>
            <w:r/>
            <w:r>
              <w:rPr>
                <w:b w:val="0"/>
                <w:sz w:val="17"/>
              </w:rPr>
              <w:t>Lo stesso criterio ricorre nell’intestazione del menu (header.html:310-313, user.ruoli[0].descrizione) e nel filtro delle azioni (ricercaCertificatoStepUno.html:115-159, user.ruoli[0].id). Per un utente con più ruoli il comportamento dipende dall’ordinamento della query.</w:t>
            </w:r>
          </w:p>
        </w:tc>
        <w:tc>
          <w:tcPr>
            <w:tcW w:type="dxa" w:w="1584"/>
          </w:tcPr>
          <w:p>
            <w:r/>
            <w:r>
              <w:rPr>
                <w:b w:val="0"/>
                <w:sz w:val="17"/>
              </w:rPr>
              <w:t>Ambiguità sui profili multipli</w:t>
            </w:r>
          </w:p>
        </w:tc>
      </w:tr>
      <w:tr>
        <w:tc>
          <w:tcPr>
            <w:tcW w:type="dxa" w:w="720"/>
          </w:tcPr>
          <w:p>
            <w:r/>
            <w:r>
              <w:rPr>
                <w:b w:val="0"/>
                <w:sz w:val="17"/>
              </w:rPr>
              <w:t>R-07</w:t>
            </w:r>
          </w:p>
        </w:tc>
        <w:tc>
          <w:tcPr>
            <w:tcW w:type="dxa" w:w="2160"/>
          </w:tcPr>
          <w:p>
            <w:r/>
            <w:r>
              <w:rPr>
                <w:b w:val="0"/>
                <w:sz w:val="17"/>
              </w:rPr>
              <w:t>L’ambito organizzativo è dichiarato dal chiamante</w:t>
            </w:r>
          </w:p>
        </w:tc>
        <w:tc>
          <w:tcPr>
            <w:tcW w:type="dxa" w:w="4320"/>
          </w:tcPr>
          <w:p>
            <w:r/>
            <w:r>
              <w:rPr>
                <w:b w:val="0"/>
                <w:sz w:val="17"/>
              </w:rPr>
              <w:t>IrreperibilitaController.java:657-658 riceve idOrg come parametro di richiesta e vi fonda il controllo di competenza territoriale. In 32 punti del back-end l’ambito arriva così. Nulla lo confronta con l’utente autenticato — né potrebbe, poiché il token porta l’utenza tecnica.</w:t>
            </w:r>
          </w:p>
        </w:tc>
        <w:tc>
          <w:tcPr>
            <w:tcW w:type="dxa" w:w="1584"/>
          </w:tcPr>
          <w:p>
            <w:r/>
            <w:r>
              <w:rPr>
                <w:b w:val="0"/>
                <w:sz w:val="17"/>
              </w:rPr>
              <w:t>Controllo aggirabile</w:t>
            </w:r>
          </w:p>
        </w:tc>
      </w:tr>
      <w:tr>
        <w:tc>
          <w:tcPr>
            <w:tcW w:type="dxa" w:w="720"/>
          </w:tcPr>
          <w:p>
            <w:r/>
            <w:r>
              <w:rPr>
                <w:b w:val="0"/>
                <w:sz w:val="17"/>
              </w:rPr>
              <w:t>R-08</w:t>
            </w:r>
          </w:p>
        </w:tc>
        <w:tc>
          <w:tcPr>
            <w:tcW w:type="dxa" w:w="2160"/>
          </w:tcPr>
          <w:p>
            <w:r/>
            <w:r>
              <w:rPr>
                <w:b w:val="0"/>
                <w:sz w:val="17"/>
              </w:rPr>
              <w:t>Il catalogo delle funzionalità ha un solo effetto autorizzativo</w:t>
            </w:r>
          </w:p>
        </w:tc>
        <w:tc>
          <w:tcPr>
            <w:tcW w:type="dxa" w:w="4320"/>
          </w:tcPr>
          <w:p>
            <w:r/>
            <w:r>
              <w:rPr>
                <w:b w:val="0"/>
                <w:sz w:val="17"/>
              </w:rPr>
              <w:t>CdRLoginFilter.java:247-250: la verifica avviene all’ingresso su /init/*, con un confronto per contenimento sulla sola destinazione iniziale. Le navigazioni successive non la ripercorrono.</w:t>
            </w:r>
          </w:p>
        </w:tc>
        <w:tc>
          <w:tcPr>
            <w:tcW w:type="dxa" w:w="1584"/>
          </w:tcPr>
          <w:p>
            <w:r/>
            <w:r>
              <w:rPr>
                <w:b w:val="0"/>
                <w:sz w:val="17"/>
              </w:rPr>
              <w:t>Controllo di sola soglia</w:t>
            </w:r>
          </w:p>
        </w:tc>
      </w:tr>
      <w:tr>
        <w:tc>
          <w:tcPr>
            <w:tcW w:type="dxa" w:w="720"/>
          </w:tcPr>
          <w:p>
            <w:r/>
            <w:r>
              <w:rPr>
                <w:b w:val="0"/>
                <w:sz w:val="17"/>
              </w:rPr>
              <w:t>R-09</w:t>
            </w:r>
          </w:p>
        </w:tc>
        <w:tc>
          <w:tcPr>
            <w:tcW w:type="dxa" w:w="2160"/>
          </w:tcPr>
          <w:p>
            <w:r/>
            <w:r>
              <w:rPr>
                <w:b w:val="0"/>
                <w:sz w:val="17"/>
              </w:rPr>
              <w:t>Sei moduli espongono le proprie rotte senza autenticazione</w:t>
            </w:r>
          </w:p>
        </w:tc>
        <w:tc>
          <w:tcPr>
            <w:tcW w:type="dxa" w:w="4320"/>
          </w:tcPr>
          <w:p>
            <w:r/>
            <w:r>
              <w:rPr>
                <w:b w:val="0"/>
                <w:sz w:val="17"/>
              </w:rPr>
              <w:t>Le classi BasicConfiguration di all-nas-be, all-matr-be, all-dec-be, faxpec-be, sad-be e del duplicato di faxpec-be dichiarano permitAll sulle rotte utili e disabilitano la protezione CSRF; il gestore delle credenziali è vuoto.</w:t>
            </w:r>
          </w:p>
        </w:tc>
        <w:tc>
          <w:tcPr>
            <w:tcW w:type="dxa" w:w="1584"/>
          </w:tcPr>
          <w:p>
            <w:r/>
            <w:r>
              <w:rPr>
                <w:b w:val="0"/>
                <w:sz w:val="17"/>
              </w:rPr>
              <w:t>Perimetro aperto</w:t>
            </w:r>
          </w:p>
        </w:tc>
      </w:tr>
      <w:tr>
        <w:tc>
          <w:tcPr>
            <w:tcW w:type="dxa" w:w="720"/>
          </w:tcPr>
          <w:p>
            <w:r/>
            <w:r>
              <w:rPr>
                <w:b w:val="0"/>
                <w:sz w:val="17"/>
              </w:rPr>
              <w:t>R-10</w:t>
            </w:r>
          </w:p>
        </w:tc>
        <w:tc>
          <w:tcPr>
            <w:tcW w:type="dxa" w:w="2160"/>
          </w:tcPr>
          <w:p>
            <w:r/>
            <w:r>
              <w:rPr>
                <w:b w:val="0"/>
                <w:sz w:val="17"/>
              </w:rPr>
              <w:t>Il tracciamento è puntuale e la sua chiave arriva dal client</w:t>
            </w:r>
          </w:p>
        </w:tc>
        <w:tc>
          <w:tcPr>
            <w:tcW w:type="dxa" w:w="4320"/>
          </w:tcPr>
          <w:p>
            <w:r/>
            <w:r>
              <w:rPr>
                <w:b w:val="0"/>
                <w:sz w:val="17"/>
              </w:rPr>
              <w:t>Nove occorrenze di ID_UTENTE_LOG e poche altre colonne con sei nomi diversi; il valore è preso dal parametro di richiesta (es. PubblicazioniController.java:122).</w:t>
            </w:r>
          </w:p>
        </w:tc>
        <w:tc>
          <w:tcPr>
            <w:tcW w:type="dxa" w:w="1584"/>
          </w:tcPr>
          <w:p>
            <w:r/>
            <w:r>
              <w:rPr>
                <w:b w:val="0"/>
                <w:sz w:val="17"/>
              </w:rPr>
              <w:t>Traccia non attendibile</w:t>
            </w:r>
          </w:p>
        </w:tc>
      </w:tr>
      <w:tr>
        <w:tc>
          <w:tcPr>
            <w:tcW w:type="dxa" w:w="720"/>
          </w:tcPr>
          <w:p>
            <w:r/>
            <w:r>
              <w:rPr>
                <w:b w:val="0"/>
                <w:sz w:val="17"/>
              </w:rPr>
              <w:t>R-11</w:t>
            </w:r>
          </w:p>
        </w:tc>
        <w:tc>
          <w:tcPr>
            <w:tcW w:type="dxa" w:w="2160"/>
          </w:tcPr>
          <w:p>
            <w:r/>
            <w:r>
              <w:rPr>
                <w:b w:val="0"/>
                <w:sz w:val="17"/>
              </w:rPr>
              <w:t>Il tracciamento dei rilasci ha una lista di esclusione</w:t>
            </w:r>
          </w:p>
        </w:tc>
        <w:tc>
          <w:tcPr>
            <w:tcW w:type="dxa" w:w="4320"/>
          </w:tcPr>
          <w:p>
            <w:r/>
            <w:r>
              <w:rPr>
                <w:b w:val="0"/>
                <w:sz w:val="17"/>
              </w:rPr>
              <w:t>EstrattiDownloadLogServiceImpl.java:40-46: se ESTRATTI_UTENZA_LOG.FLAG_SKIP vale «Y» il rilascio non viene registrato.</w:t>
            </w:r>
          </w:p>
        </w:tc>
        <w:tc>
          <w:tcPr>
            <w:tcW w:type="dxa" w:w="1584"/>
          </w:tcPr>
          <w:p>
            <w:r/>
            <w:r>
              <w:rPr>
                <w:b w:val="0"/>
                <w:sz w:val="17"/>
              </w:rPr>
              <w:t>Esenzione configurabile</w:t>
            </w:r>
          </w:p>
        </w:tc>
      </w:tr>
      <w:tr>
        <w:tc>
          <w:tcPr>
            <w:tcW w:type="dxa" w:w="720"/>
          </w:tcPr>
          <w:p>
            <w:r/>
            <w:r>
              <w:rPr>
                <w:b w:val="0"/>
                <w:sz w:val="17"/>
              </w:rPr>
              <w:t>R-12</w:t>
            </w:r>
          </w:p>
        </w:tc>
        <w:tc>
          <w:tcPr>
            <w:tcW w:type="dxa" w:w="2160"/>
          </w:tcPr>
          <w:p>
            <w:r/>
            <w:r>
              <w:rPr>
                <w:b w:val="0"/>
                <w:sz w:val="17"/>
              </w:rPr>
              <w:t>Codice di sicurezza presente ma non attivo</w:t>
            </w:r>
          </w:p>
        </w:tc>
        <w:tc>
          <w:tcPr>
            <w:tcW w:type="dxa" w:w="4320"/>
          </w:tcPr>
          <w:p>
            <w:r/>
            <w:r>
              <w:rPr>
                <w:b w:val="0"/>
                <w:sz w:val="17"/>
              </w:rPr>
              <w:t>InvalidSessionHandlerInterceptor non è registrato da alcun configuratore; TestJunctionFilter non è raccolto perché manca @ServletComponentScan; checkPoliziaLocale (CdRLoginFilter.java:167-184), che vincola un ruolo alla giunzione di provenienza, non è invocato da alcun punto.</w:t>
            </w:r>
          </w:p>
        </w:tc>
        <w:tc>
          <w:tcPr>
            <w:tcW w:type="dxa" w:w="1584"/>
          </w:tcPr>
          <w:p>
            <w:r/>
            <w:r>
              <w:rPr>
                <w:b w:val="0"/>
                <w:sz w:val="17"/>
              </w:rPr>
              <w:t>Presidio apparente</w:t>
            </w:r>
          </w:p>
        </w:tc>
      </w:tr>
      <w:tr>
        <w:tc>
          <w:tcPr>
            <w:tcW w:type="dxa" w:w="720"/>
          </w:tcPr>
          <w:p>
            <w:r/>
            <w:r>
              <w:rPr>
                <w:b w:val="0"/>
                <w:sz w:val="17"/>
              </w:rPr>
              <w:t>R-13</w:t>
            </w:r>
          </w:p>
        </w:tc>
        <w:tc>
          <w:tcPr>
            <w:tcW w:type="dxa" w:w="2160"/>
          </w:tcPr>
          <w:p>
            <w:r/>
            <w:r>
              <w:rPr>
                <w:b w:val="0"/>
                <w:sz w:val="17"/>
              </w:rPr>
              <w:t>Segreti in chiaro nei sorgenti versionati</w:t>
            </w:r>
          </w:p>
        </w:tc>
        <w:tc>
          <w:tcPr>
            <w:tcW w:type="dxa" w:w="4320"/>
          </w:tcPr>
          <w:p>
            <w:r/>
            <w:r>
              <w:rPr>
                <w:b w:val="0"/>
                <w:sz w:val="17"/>
              </w:rPr>
              <w:t>security.jwt.client-secret con prefisso {noop} in 45 moduli; jwt.secret di cert-online-be (application.properties:62); credenziali fra moduli cifrate in TripleDes ma con la chiave scritta nel codice e condivisa da dieci copie della classe su quattordici.</w:t>
            </w:r>
          </w:p>
        </w:tc>
        <w:tc>
          <w:tcPr>
            <w:tcW w:type="dxa" w:w="1584"/>
          </w:tcPr>
          <w:p>
            <w:r/>
            <w:r>
              <w:rPr>
                <w:b w:val="0"/>
                <w:sz w:val="17"/>
              </w:rPr>
              <w:t>Segreto non protetto</w:t>
            </w:r>
          </w:p>
        </w:tc>
      </w:tr>
      <w:tr>
        <w:tc>
          <w:tcPr>
            <w:tcW w:type="dxa" w:w="720"/>
          </w:tcPr>
          <w:p>
            <w:r/>
            <w:r>
              <w:rPr>
                <w:b w:val="0"/>
                <w:sz w:val="17"/>
              </w:rPr>
              <w:t>R-14</w:t>
            </w:r>
          </w:p>
        </w:tc>
        <w:tc>
          <w:tcPr>
            <w:tcW w:type="dxa" w:w="2160"/>
          </w:tcPr>
          <w:p>
            <w:r/>
            <w:r>
              <w:rPr>
                <w:b w:val="0"/>
                <w:sz w:val="17"/>
              </w:rPr>
              <w:t>La scadenza della sessione è configurata da un solo modulo</w:t>
            </w:r>
          </w:p>
        </w:tc>
        <w:tc>
          <w:tcPr>
            <w:tcW w:type="dxa" w:w="4320"/>
          </w:tcPr>
          <w:p>
            <w:r/>
            <w:r>
              <w:rPr>
                <w:b w:val="0"/>
                <w:sz w:val="17"/>
              </w:rPr>
              <w:t>server.servlet.session.timeout compare una volta sola in tutto il perimetro, in statistica-web (1800 secondi). Gli altri moduli usano il valore predefinito del contenitore.</w:t>
            </w:r>
          </w:p>
        </w:tc>
        <w:tc>
          <w:tcPr>
            <w:tcW w:type="dxa" w:w="1584"/>
          </w:tcPr>
          <w:p>
            <w:r/>
            <w:r>
              <w:rPr>
                <w:b w:val="0"/>
                <w:sz w:val="17"/>
              </w:rPr>
              <w:t>Configurazione non governata</w:t>
            </w:r>
          </w:p>
        </w:tc>
      </w:tr>
      <w:tr>
        <w:tc>
          <w:tcPr>
            <w:tcW w:type="dxa" w:w="720"/>
          </w:tcPr>
          <w:p>
            <w:r/>
            <w:r>
              <w:rPr>
                <w:b w:val="0"/>
                <w:sz w:val="17"/>
              </w:rPr>
              <w:t>R-15</w:t>
            </w:r>
          </w:p>
        </w:tc>
        <w:tc>
          <w:tcPr>
            <w:tcW w:type="dxa" w:w="2160"/>
          </w:tcPr>
          <w:p>
            <w:r/>
            <w:r>
              <w:rPr>
                <w:b w:val="0"/>
                <w:sz w:val="17"/>
              </w:rPr>
              <w:t>L’impianto di profilazione è duplicato</w:t>
            </w:r>
          </w:p>
        </w:tc>
        <w:tc>
          <w:tcPr>
            <w:tcW w:type="dxa" w:w="4320"/>
          </w:tcPr>
          <w:p>
            <w:r/>
            <w:r>
              <w:rPr>
                <w:b w:val="0"/>
                <w:sz w:val="17"/>
              </w:rPr>
              <w:t>Il modulo di profilazione, quello di sicurezza REST, il client e le entità esistono in copia sotto sipo-root/sipo-elezioni, con le credenziali tecniche ripetute nel secondo file di proprietà.</w:t>
            </w:r>
          </w:p>
        </w:tc>
        <w:tc>
          <w:tcPr>
            <w:tcW w:type="dxa" w:w="1584"/>
          </w:tcPr>
          <w:p>
            <w:r/>
            <w:r>
              <w:rPr>
                <w:b w:val="0"/>
                <w:sz w:val="17"/>
              </w:rPr>
              <w:t>Doppia manutenzione</w:t>
            </w:r>
          </w:p>
        </w:tc>
      </w:tr>
    </w:tbl>
    <w:p>
      <w:pPr>
        <w:pStyle w:val="Heading1"/>
      </w:pPr>
      <w:r>
        <w:t>L’uso di questo impianto per le nuove applicazioni Angular</w:t>
      </w:r>
    </w:p>
    <w:p>
      <w:pPr/>
      <w:r>
        <w:rPr>
          <w:b w:val="0"/>
        </w:rPr>
        <w:t xml:space="preserve">Le nuove applicazioni di front-end sono state impostate come micro-front-end Angular su una libreria condivisa di Roma Capitale [S6], secondo quanto descritto in [S7]. La domanda che questo capitolo affronta è se l’impianto di autenticazione e profilazione appena descritto possa servirle, e a quali condizioni. La risposta è articolata: </w:t>
      </w:r>
      <w:r>
        <w:rPr>
          <w:b/>
        </w:rPr>
        <w:t>il meccanismo di riconoscimento non è riusabile, il modello dei dati in larga parte sì</w:t>
      </w:r>
      <w:r>
        <w:rPr>
          <w:b w:val="0"/>
        </w:rPr>
        <w:t>.</w:t>
      </w:r>
    </w:p>
    <w:p>
      <w:pPr>
        <w:pStyle w:val="Heading2"/>
      </w:pPr>
      <w:r>
        <w:t>Che cosa la libreria condivisa già prevede</w:t>
      </w:r>
    </w:p>
    <w:p>
      <w:pPr/>
      <w:r>
        <w:rPr>
          <w:b w:val="0"/>
        </w:rPr>
        <w:t>Prima di valutare il riuso conviene accertare che cosa esista dall’altra parte. La libreria porta un impianto proprio, completo nella forma.</w:t>
      </w:r>
    </w:p>
    <w:tbl>
      <w:tblPr>
        <w:tblStyle w:val="TableGrid"/>
        <w:tblW w:type="auto" w:w="0"/>
        <w:tblLook w:firstColumn="1" w:firstRow="1" w:lastColumn="0" w:lastRow="0" w:noHBand="0" w:noVBand="1" w:val="04A0"/>
      </w:tblPr>
      <w:tblGrid>
        <w:gridCol w:w="4680"/>
        <w:gridCol w:w="4680"/>
      </w:tblGrid>
      <w:tr>
        <w:tc>
          <w:tcPr>
            <w:tcW w:type="dxa" w:w="2160"/>
          </w:tcPr>
          <w:p>
            <w:r/>
            <w:r>
              <w:rPr>
                <w:b/>
                <w:sz w:val="17"/>
              </w:rPr>
              <w:t>Elemento</w:t>
            </w:r>
          </w:p>
        </w:tc>
        <w:tc>
          <w:tcPr>
            <w:tcW w:type="dxa" w:w="7200"/>
          </w:tcPr>
          <w:p>
            <w:r/>
            <w:r>
              <w:rPr>
                <w:b/>
                <w:sz w:val="17"/>
              </w:rPr>
              <w:t>Realizzazione verificata</w:t>
            </w:r>
          </w:p>
        </w:tc>
      </w:tr>
      <w:tr>
        <w:tc>
          <w:tcPr>
            <w:tcW w:type="dxa" w:w="2160"/>
          </w:tcPr>
          <w:p>
            <w:r/>
            <w:r>
              <w:rPr>
                <w:b w:val="0"/>
                <w:sz w:val="17"/>
              </w:rPr>
              <w:t>Servizio di sessione</w:t>
            </w:r>
          </w:p>
        </w:tc>
        <w:tc>
          <w:tcPr>
            <w:tcW w:type="dxa" w:w="7200"/>
          </w:tcPr>
          <w:p>
            <w:r/>
            <w:r>
              <w:rPr>
                <w:b w:val="0"/>
                <w:sz w:val="17"/>
              </w:rPr>
              <w:t>AuthenticationService, con il profilo conservato in localStorage sotto la chiave «auth» e replicato in memoria in un soggetto osservabile. Il profilo comprende il gettone, l’elenco delle abilitazioni e tre nozioni di ambito: struttura, ufficio e tributo.</w:t>
            </w:r>
          </w:p>
        </w:tc>
      </w:tr>
      <w:tr>
        <w:tc>
          <w:tcPr>
            <w:tcW w:type="dxa" w:w="2160"/>
          </w:tcPr>
          <w:p>
            <w:r/>
            <w:r>
              <w:rPr>
                <w:b w:val="0"/>
                <w:sz w:val="17"/>
              </w:rPr>
              <w:t>Rinvio al servizio di identità</w:t>
            </w:r>
          </w:p>
        </w:tc>
        <w:tc>
          <w:tcPr>
            <w:tcW w:type="dxa" w:w="7200"/>
          </w:tcPr>
          <w:p>
            <w:r/>
            <w:r>
              <w:rPr>
                <w:b w:val="0"/>
                <w:sz w:val="17"/>
              </w:rPr>
              <w:t>AuthenticationIAMGuard rinvia, con un cambio di pagina, a /msAuth/api/v1/autenticazione/loginIAM. ⚠️ Il codice porta il commento «manca codice ambito e applicazione»: la funzione è dichiarata incompleta dai suoi stessi autori.</w:t>
            </w:r>
          </w:p>
        </w:tc>
      </w:tr>
      <w:tr>
        <w:tc>
          <w:tcPr>
            <w:tcW w:type="dxa" w:w="2160"/>
          </w:tcPr>
          <w:p>
            <w:r/>
            <w:r>
              <w:rPr>
                <w:b w:val="0"/>
                <w:sz w:val="17"/>
              </w:rPr>
              <w:t>Guardie di rotta</w:t>
            </w:r>
          </w:p>
        </w:tc>
        <w:tc>
          <w:tcPr>
            <w:tcW w:type="dxa" w:w="7200"/>
          </w:tcPr>
          <w:p>
            <w:r/>
            <w:r>
              <w:rPr>
                <w:b w:val="0"/>
                <w:sz w:val="17"/>
              </w:rPr>
              <w:t>Quattro, tutte nella forma CanActivate o CanActivateChild. Una verifica la presenza del gettone, una le abilitazioni, una un semplice indicatore booleano.</w:t>
            </w:r>
          </w:p>
        </w:tc>
      </w:tr>
      <w:tr>
        <w:tc>
          <w:tcPr>
            <w:tcW w:type="dxa" w:w="2160"/>
          </w:tcPr>
          <w:p>
            <w:r/>
            <w:r>
              <w:rPr>
                <w:b w:val="0"/>
                <w:sz w:val="17"/>
              </w:rPr>
              <w:t>Modello di autorizzazione</w:t>
            </w:r>
          </w:p>
        </w:tc>
        <w:tc>
          <w:tcPr>
            <w:tcW w:type="dxa" w:w="7200"/>
          </w:tcPr>
          <w:p>
            <w:r/>
            <w:r>
              <w:rPr>
                <w:b w:val="0"/>
                <w:sz w:val="17"/>
              </w:rPr>
              <w:t xml:space="preserve">Le </w:t>
            </w:r>
            <w:r>
              <w:rPr>
                <w:b/>
                <w:sz w:val="17"/>
              </w:rPr>
              <w:t>abilitazioni</w:t>
            </w:r>
            <w:r>
              <w:rPr>
                <w:b w:val="0"/>
                <w:sz w:val="17"/>
              </w:rPr>
              <w:t xml:space="preserve">: un elenco di stringhe nel profilo. AbilityService offre le tre verifiche (possiede, possiede almeno una, possiede tutte); AuthorizationService filtra un insieme di elementi confrontando le abilitazioni richieste con quelle possedute. La guardia applica lo stesso criterio alle rotte, con esito positivo se </w:t>
            </w:r>
            <w:r>
              <w:rPr>
                <w:b/>
                <w:sz w:val="17"/>
              </w:rPr>
              <w:t>almeno una</w:t>
            </w:r>
            <w:r>
              <w:rPr>
                <w:b w:val="0"/>
                <w:sz w:val="17"/>
              </w:rPr>
              <w:t xml:space="preserve"> delle richieste è posseduta.</w:t>
            </w:r>
          </w:p>
        </w:tc>
      </w:tr>
      <w:tr>
        <w:tc>
          <w:tcPr>
            <w:tcW w:type="dxa" w:w="2160"/>
          </w:tcPr>
          <w:p>
            <w:r/>
            <w:r>
              <w:rPr>
                <w:b w:val="0"/>
                <w:sz w:val="17"/>
              </w:rPr>
              <w:t>Trattamento degli errori</w:t>
            </w:r>
          </w:p>
        </w:tc>
        <w:tc>
          <w:tcPr>
            <w:tcW w:type="dxa" w:w="7200"/>
          </w:tcPr>
          <w:p>
            <w:r/>
            <w:r>
              <w:rPr>
                <w:b w:val="0"/>
                <w:sz w:val="17"/>
              </w:rPr>
              <w:t xml:space="preserve">L’intercettore gestisce il 401 cancellando la sessione locale e rinviando alla disconnessione, e il 503 rinviando a una pagina di manutenzione. ⚠️ </w:t>
            </w:r>
            <w:r>
              <w:rPr>
                <w:b/>
                <w:sz w:val="17"/>
              </w:rPr>
              <w:t>Non esiste un trattamento specifico del 403</w:t>
            </w:r>
            <w:r>
              <w:rPr>
                <w:b w:val="0"/>
                <w:sz w:val="17"/>
              </w:rPr>
              <w:t>: un diniego di autorizzazione produce solo un messaggio generico.</w:t>
            </w:r>
          </w:p>
        </w:tc>
      </w:tr>
    </w:tbl>
    <w:p>
      <w:pPr/>
      <w:r>
        <w:rPr>
          <w:b w:val="0"/>
        </w:rPr>
        <w:t>⚠️ Due lacune vanno dichiarate, perché incidono sulla valutazione. L’</w:t>
      </w:r>
      <w:r>
        <w:rPr>
          <w:b/>
        </w:rPr>
        <w:t>intercettore di autenticazione non aggiunge alcun header</w:t>
      </w:r>
      <w:r>
        <w:rPr>
          <w:b w:val="0"/>
        </w:rPr>
        <w:t xml:space="preserve">: riceve il servizio di sessione ma non lo usa, e restituisce la richiesta immutata. Esiste un segnaposto che allude a un gestore del gettone, ma nessun intercettore lo consuma. La costruzione effettiva degli header avviene in una classe astratta di un pacchetto privato, risolto da un registro interno e non presente nel workspace: </w:t>
      </w:r>
      <w:r>
        <w:rPr>
          <w:b/>
        </w:rPr>
        <w:t>dove il gettone venga agganciato alle chiamate non è accertabile</w:t>
      </w:r>
      <w:r>
        <w:rPr>
          <w:b w:val="0"/>
        </w:rPr>
        <w:t xml:space="preserve"> (PA-5). Per la stessa ragione la forma completa del profilo non è ispezionabile: se ne conoscono i soli campi che il codice legge (PA-4).</w:t>
      </w:r>
    </w:p>
    <w:p>
      <w:pPr>
        <w:pStyle w:val="Heading2"/>
      </w:pPr>
      <w:r>
        <w:t>Che cosa non è trasferibile: il meccanismo di riconoscimento</w:t>
      </w:r>
    </w:p>
    <w:p>
      <w:pPr/>
      <w:r>
        <w:rPr>
          <w:b w:val="0"/>
        </w:rPr>
        <w:t xml:space="preserve">L’identificazione per header iniettati dalla giunzione </w:t>
      </w:r>
      <w:r>
        <w:rPr>
          <w:b/>
        </w:rPr>
        <w:t>non è portabile su un’applicazione Angular</w:t>
      </w:r>
      <w:r>
        <w:rPr>
          <w:b w:val="0"/>
        </w:rPr>
        <w:t>, e la ragione non è di opportunità ma di forma.</w:t>
      </w:r>
    </w:p>
    <w:p>
      <w:pPr/>
      <w:r>
        <w:rPr>
          <w:b w:val="0"/>
        </w:rPr>
        <w:t xml:space="preserve">Il meccanismo attuale funziona perché ogni pagina di SIPO è prodotta dal server: la richiesta che genera la pagina è la stessa che porta gli header, e la sessione che ne deriva vive nel server e accompagna ogni richiesta successiva dello stesso browser. Un’applicazione Angular non funziona così: è un insieme di file statici che il browser scarica una volta e poi esegue, e ogni dato successivo arriva da chiamate a servizi. </w:t>
      </w:r>
      <w:r>
        <w:rPr>
          <w:b/>
        </w:rPr>
        <w:t>Non c’è una pagina da produrre e non c’è una sessione lato server in cui depositare l’identità.</w:t>
      </w:r>
    </w:p>
    <w:p>
      <w:pPr/>
      <w:r>
        <w:rPr>
          <w:b w:val="0"/>
        </w:rPr>
        <w:t xml:space="preserve">Se ne ricava che i due modelli sono alternativi e non componibili: o l’identità sta in un gettone che il client conserva e presenta, come la libreria già assume, oppure sta in header che un livello di rete aggiunge, come SIPO assume. </w:t>
      </w:r>
      <w:r>
        <w:rPr>
          <w:b/>
        </w:rPr>
        <w:t>Tentare di averli entrambi significherebbe mantenere due verità sull’identità dello stesso operatore</w:t>
      </w:r>
      <w:r>
        <w:rPr>
          <w:b w:val="0"/>
        </w:rPr>
        <w:t>, con il problema, non risolvibile dal codice applicativo, di decidere quale prevalga quando divergono.</w:t>
      </w:r>
    </w:p>
    <w:p>
      <w:pPr/>
      <w:r>
        <w:rPr>
          <w:b w:val="0"/>
        </w:rPr>
        <w:t>Non sono trasferibili, per ragioni analoghe o conseguenti, anche i seguenti elementi.</w:t>
      </w:r>
    </w:p>
    <w:p>
      <w:pPr>
        <w:pStyle w:val="ListParagraph"/>
      </w:pPr>
      <w:r>
        <w:rPr>
          <w:b/>
        </w:rPr>
        <w:t xml:space="preserve">L’autorizzazione per indirizzo. </w:t>
      </w:r>
      <w:r>
        <w:rPr>
          <w:b w:val="0"/>
        </w:rPr>
        <w:t xml:space="preserve">Le 210 regole valutate dal server presuppongono che il server conosca l’indirizzo richiesto e possa negarlo. In un’applicazione a pagina singola la navigazione è interna al browser: l’equivalente è la guardia di rotta, che la libreria già offre. Va notato che </w:t>
      </w:r>
      <w:r>
        <w:rPr>
          <w:b/>
        </w:rPr>
        <w:t>una guardia lato client non è un controllo di sicurezza</w:t>
      </w:r>
      <w:r>
        <w:rPr>
          <w:b w:val="0"/>
        </w:rPr>
        <w:t>: nasconde, non impedisce. Il controllo effettivo resta sui servizi.</w:t>
      </w:r>
    </w:p>
    <w:p>
      <w:pPr>
        <w:pStyle w:val="ListParagraph"/>
      </w:pPr>
      <w:r>
        <w:rPr>
          <w:b/>
        </w:rPr>
        <w:t xml:space="preserve">Il ruolo come veicolo dell’autorizzazione. </w:t>
      </w:r>
      <w:r>
        <w:rPr>
          <w:b w:val="0"/>
        </w:rPr>
        <w:t xml:space="preserve">La libreria </w:t>
      </w:r>
      <w:r>
        <w:rPr>
          <w:b/>
        </w:rPr>
        <w:t>non ha una nozione di ruolo</w:t>
      </w:r>
      <w:r>
        <w:rPr>
          <w:b w:val="0"/>
        </w:rPr>
        <w:t>: non compaiono i termini ruolo, permesso o ambito di autorizzazione, ma solo abilitazioni. Trasferire i ruoli significherebbe introdurre nella libreria un concetto che non le appartiene, mentre la traduzione nell’altro verso — dal ruolo alle abilitazioni che comporta — è possibile ed è discussa più avanti.</w:t>
      </w:r>
    </w:p>
    <w:p>
      <w:pPr>
        <w:pStyle w:val="ListParagraph"/>
      </w:pPr>
      <w:r>
        <w:rPr>
          <w:b/>
        </w:rPr>
        <w:t xml:space="preserve">Le utenze tecniche per chiamare i servizi. </w:t>
      </w:r>
      <w:r>
        <w:rPr>
          <w:b w:val="0"/>
        </w:rPr>
        <w:t xml:space="preserve">È lo schema che oggi fa perdere l’identità dell’operatore fra front-end e back-end (R-05). La libreria assume l’opposto: un gettone per persona, che accompagna le chiamate. Riproporre le utenze tecniche significherebbe </w:t>
      </w:r>
      <w:r>
        <w:rPr>
          <w:b/>
        </w:rPr>
        <w:t>riprodurre nel nuovo impianto il difetto del vecchio</w:t>
      </w:r>
      <w:r>
        <w:rPr>
          <w:b w:val="0"/>
        </w:rPr>
        <w:t>, e per giunta a fronte di un meccanismo già predisposto a evitarlo.</w:t>
      </w:r>
    </w:p>
    <w:p>
      <w:pPr>
        <w:pStyle w:val="Heading2"/>
      </w:pPr>
      <w:r>
        <w:t>Che cosa è trasferibile: il modello dei dati</w:t>
      </w:r>
    </w:p>
    <w:p>
      <w:pPr/>
      <w:r>
        <w:rPr>
          <w:b w:val="0"/>
        </w:rPr>
        <w:t>La parte riusabile è il modello di profilazione, e il raccordo è più diretto di quanto la distanza tecnologica lasci supporre.</w:t>
      </w:r>
    </w:p>
    <w:p>
      <w:pPr/>
      <w:r>
        <w:rPr>
          <w:b/>
        </w:rPr>
        <w:t>Il corrispondente delle abilitazioni esiste già e si chiama CONF_FUNZIONALITA.</w:t>
      </w:r>
      <w:r>
        <w:rPr>
          <w:b w:val="0"/>
        </w:rPr>
        <w:t xml:space="preserve"> La libreria chiede al profilo un elenco di stringhe e verifica se contenga quelle richieste; il sistema attuale possiede un catalogo di voci, associate a ciascun utente attraverso la tabella di assegnazione. Le due nozioni combaciano quasi esattamente: cambia la forma — una tabella contro un elenco — non la sostanza. Ciò che [S7] registra come mancante non è dunque il meccanismo né il dato, ma il </w:t>
      </w:r>
      <w:r>
        <w:rPr>
          <w:b/>
        </w:rPr>
        <w:t>vocabolario</w:t>
      </w:r>
      <w:r>
        <w:rPr>
          <w:b w:val="0"/>
        </w:rPr>
        <w:t>: quali abilitazioni debbano esistere per lo stato civile.</w:t>
      </w:r>
    </w:p>
    <w:p>
      <w:pPr/>
      <w:r>
        <w:rPr>
          <w:b w:val="0"/>
        </w:rPr>
        <w:t>La tabella seguente mette a fronte gli elementi dei due impianti.</w:t>
      </w:r>
    </w:p>
    <w:tbl>
      <w:tblPr>
        <w:tblStyle w:val="TableGrid"/>
        <w:tblW w:type="auto" w:w="0"/>
        <w:tblLook w:firstColumn="1" w:firstRow="1" w:lastColumn="0" w:lastRow="0" w:noHBand="0" w:noVBand="1" w:val="04A0"/>
      </w:tblPr>
      <w:tblGrid>
        <w:gridCol w:w="3120"/>
        <w:gridCol w:w="3120"/>
        <w:gridCol w:w="3120"/>
      </w:tblGrid>
      <w:tr>
        <w:tc>
          <w:tcPr>
            <w:tcW w:type="dxa" w:w="3024"/>
          </w:tcPr>
          <w:p>
            <w:r/>
            <w:r>
              <w:rPr>
                <w:b/>
                <w:sz w:val="17"/>
              </w:rPr>
              <w:t>Elemento dell’impianto attuale</w:t>
            </w:r>
          </w:p>
        </w:tc>
        <w:tc>
          <w:tcPr>
            <w:tcW w:type="dxa" w:w="4176"/>
          </w:tcPr>
          <w:p>
            <w:r/>
            <w:r>
              <w:rPr>
                <w:b/>
                <w:sz w:val="17"/>
              </w:rPr>
              <w:t>Corrispondente nella libreria Angular</w:t>
            </w:r>
          </w:p>
        </w:tc>
        <w:tc>
          <w:tcPr>
            <w:tcW w:type="dxa" w:w="2160"/>
          </w:tcPr>
          <w:p>
            <w:r/>
            <w:r>
              <w:rPr>
                <w:b/>
                <w:sz w:val="17"/>
              </w:rPr>
              <w:t>Trasferibile?</w:t>
            </w:r>
          </w:p>
        </w:tc>
      </w:tr>
      <w:tr>
        <w:tc>
          <w:tcPr>
            <w:tcW w:type="dxa" w:w="3024"/>
          </w:tcPr>
          <w:p>
            <w:r/>
            <w:r>
              <w:rPr>
                <w:b w:val="0"/>
                <w:sz w:val="17"/>
              </w:rPr>
              <w:t>Identificazione per header iv-* iniettati dalla giunzione</w:t>
            </w:r>
          </w:p>
        </w:tc>
        <w:tc>
          <w:tcPr>
            <w:tcW w:type="dxa" w:w="4176"/>
          </w:tcPr>
          <w:p>
            <w:r/>
            <w:r>
              <w:rPr>
                <w:b w:val="0"/>
                <w:sz w:val="17"/>
              </w:rPr>
              <w:t>Token opaco conservato in localStorage con chiave «auth»; in assenza, rinvio a /msAuth/api/v1/autenticazione/loginIAM</w:t>
            </w:r>
          </w:p>
        </w:tc>
        <w:tc>
          <w:tcPr>
            <w:tcW w:type="dxa" w:w="2160"/>
          </w:tcPr>
          <w:p>
            <w:r/>
            <w:r>
              <w:rPr>
                <w:b w:val="0"/>
                <w:sz w:val="17"/>
              </w:rPr>
              <w:t>No: i due modelli sono alternativi</w:t>
            </w:r>
          </w:p>
        </w:tc>
      </w:tr>
      <w:tr>
        <w:tc>
          <w:tcPr>
            <w:tcW w:type="dxa" w:w="3024"/>
          </w:tcPr>
          <w:p>
            <w:r/>
            <w:r>
              <w:rPr>
                <w:b w:val="0"/>
                <w:sz w:val="17"/>
              </w:rPr>
              <w:t>HttpSession con l’attributo LOGIN_USER</w:t>
            </w:r>
          </w:p>
        </w:tc>
        <w:tc>
          <w:tcPr>
            <w:tcW w:type="dxa" w:w="4176"/>
          </w:tcPr>
          <w:p>
            <w:r/>
            <w:r>
              <w:rPr>
                <w:b w:val="0"/>
                <w:sz w:val="17"/>
              </w:rPr>
              <w:t>AuthenticationService, con BehaviorSubject in memoria e copia in localStorage</w:t>
            </w:r>
          </w:p>
        </w:tc>
        <w:tc>
          <w:tcPr>
            <w:tcW w:type="dxa" w:w="2160"/>
          </w:tcPr>
          <w:p>
            <w:r/>
            <w:r>
              <w:rPr>
                <w:b w:val="0"/>
                <w:sz w:val="17"/>
              </w:rPr>
              <w:t>No: non esiste sessione lato server</w:t>
            </w:r>
          </w:p>
        </w:tc>
      </w:tr>
      <w:tr>
        <w:tc>
          <w:tcPr>
            <w:tcW w:type="dxa" w:w="3024"/>
          </w:tcPr>
          <w:p>
            <w:r/>
            <w:r>
              <w:rPr>
                <w:b w:val="0"/>
                <w:sz w:val="17"/>
              </w:rPr>
              <w:t>Autorizzazione per indirizzo (210 antMatchers con elenchi di ruoli)</w:t>
            </w:r>
          </w:p>
        </w:tc>
        <w:tc>
          <w:tcPr>
            <w:tcW w:type="dxa" w:w="4176"/>
          </w:tcPr>
          <w:p>
            <w:r/>
            <w:r>
              <w:rPr>
                <w:b w:val="0"/>
                <w:sz w:val="17"/>
              </w:rPr>
              <w:t>AuthorizationGuard su route.data[«authorizations»], con esito vero se almeno una abilitazione richiesta è posseduta</w:t>
            </w:r>
          </w:p>
        </w:tc>
        <w:tc>
          <w:tcPr>
            <w:tcW w:type="dxa" w:w="2160"/>
          </w:tcPr>
          <w:p>
            <w:r/>
            <w:r>
              <w:rPr>
                <w:b w:val="0"/>
                <w:sz w:val="17"/>
              </w:rPr>
              <w:t>No nella forma, sì nell’intento</w:t>
            </w:r>
          </w:p>
        </w:tc>
      </w:tr>
      <w:tr>
        <w:tc>
          <w:tcPr>
            <w:tcW w:type="dxa" w:w="3024"/>
          </w:tcPr>
          <w:p>
            <w:r/>
            <w:r>
              <w:rPr>
                <w:b w:val="0"/>
                <w:sz w:val="17"/>
              </w:rPr>
              <w:t>CONF_RUOLI e le authority ROLE_*</w:t>
            </w:r>
          </w:p>
        </w:tc>
        <w:tc>
          <w:tcPr>
            <w:tcW w:type="dxa" w:w="4176"/>
          </w:tcPr>
          <w:p>
            <w:r/>
            <w:r>
              <w:rPr>
                <w:b w:val="0"/>
                <w:sz w:val="17"/>
              </w:rPr>
              <w:t>Nessun concetto di ruolo: solo abilitazioni</w:t>
            </w:r>
          </w:p>
        </w:tc>
        <w:tc>
          <w:tcPr>
            <w:tcW w:type="dxa" w:w="2160"/>
          </w:tcPr>
          <w:p>
            <w:r/>
            <w:r>
              <w:rPr>
                <w:b w:val="0"/>
                <w:sz w:val="17"/>
              </w:rPr>
              <w:t>No: il ruolo non ha corrispondente</w:t>
            </w:r>
          </w:p>
        </w:tc>
      </w:tr>
      <w:tr>
        <w:tc>
          <w:tcPr>
            <w:tcW w:type="dxa" w:w="3024"/>
          </w:tcPr>
          <w:p>
            <w:r/>
            <w:r>
              <w:rPr>
                <w:b w:val="0"/>
                <w:sz w:val="17"/>
              </w:rPr>
              <w:t>CONF_FUNZIONALITA — il catalogo delle azioni</w:t>
            </w:r>
          </w:p>
        </w:tc>
        <w:tc>
          <w:tcPr>
            <w:tcW w:type="dxa" w:w="4176"/>
          </w:tcPr>
          <w:p>
            <w:r/>
            <w:r>
              <w:rPr>
                <w:b w:val="0"/>
                <w:sz w:val="17"/>
              </w:rPr>
              <w:t>user.abilitazioni, lista di stringhe confrontata da AbilityService e da AuthorizationService.filterByAuthorization</w:t>
            </w:r>
          </w:p>
        </w:tc>
        <w:tc>
          <w:tcPr>
            <w:tcW w:type="dxa" w:w="2160"/>
          </w:tcPr>
          <w:p>
            <w:r/>
            <w:r>
              <w:rPr>
                <w:b w:val="0"/>
                <w:sz w:val="17"/>
              </w:rPr>
              <w:t>Sì, ed è il raccordo principale</w:t>
            </w:r>
          </w:p>
        </w:tc>
      </w:tr>
      <w:tr>
        <w:tc>
          <w:tcPr>
            <w:tcW w:type="dxa" w:w="3024"/>
          </w:tcPr>
          <w:p>
            <w:r/>
            <w:r>
              <w:rPr>
                <w:b w:val="0"/>
                <w:sz w:val="17"/>
              </w:rPr>
              <w:t>CONF_AMBITO e CONF_AREE_TEMATICHE — la gerarchia del menu</w:t>
            </w:r>
          </w:p>
        </w:tc>
        <w:tc>
          <w:tcPr>
            <w:tcW w:type="dxa" w:w="4176"/>
          </w:tcPr>
          <w:p>
            <w:r/>
            <w:r>
              <w:rPr>
                <w:b w:val="0"/>
                <w:sz w:val="17"/>
              </w:rPr>
              <w:t>Nessun corrispondente: il menu di ciascun micro-front-end è suo</w:t>
            </w:r>
          </w:p>
        </w:tc>
        <w:tc>
          <w:tcPr>
            <w:tcW w:type="dxa" w:w="2160"/>
          </w:tcPr>
          <w:p>
            <w:r/>
            <w:r>
              <w:rPr>
                <w:b w:val="0"/>
                <w:sz w:val="17"/>
              </w:rPr>
              <w:t>Parzialmente: come tassonomia, non come struttura di navigazione</w:t>
            </w:r>
          </w:p>
        </w:tc>
      </w:tr>
      <w:tr>
        <w:tc>
          <w:tcPr>
            <w:tcW w:type="dxa" w:w="3024"/>
          </w:tcPr>
          <w:p>
            <w:r/>
            <w:r>
              <w:rPr>
                <w:b w:val="0"/>
                <w:sz w:val="17"/>
              </w:rPr>
              <w:t>R_UTENTI_RUOLI — l’assegnazione per utente</w:t>
            </w:r>
          </w:p>
        </w:tc>
        <w:tc>
          <w:tcPr>
            <w:tcW w:type="dxa" w:w="4176"/>
          </w:tcPr>
          <w:p>
            <w:r/>
            <w:r>
              <w:rPr>
                <w:b w:val="0"/>
                <w:sz w:val="17"/>
              </w:rPr>
              <w:t>Nessun corrispondente lato client: il profilo arriva già risolto</w:t>
            </w:r>
          </w:p>
        </w:tc>
        <w:tc>
          <w:tcPr>
            <w:tcW w:type="dxa" w:w="2160"/>
          </w:tcPr>
          <w:p>
            <w:r/>
            <w:r>
              <w:rPr>
                <w:b w:val="0"/>
                <w:sz w:val="17"/>
              </w:rPr>
              <w:t>Sì come tabella, no come criterio (vedi il testo)</w:t>
            </w:r>
          </w:p>
        </w:tc>
      </w:tr>
      <w:tr>
        <w:tc>
          <w:tcPr>
            <w:tcW w:type="dxa" w:w="3024"/>
          </w:tcPr>
          <w:p>
            <w:r/>
            <w:r>
              <w:rPr>
                <w:b w:val="0"/>
                <w:sz w:val="17"/>
              </w:rPr>
              <w:t>ID_ORGANIZZAZIONE e ID_SEDE_MUNICIPIO</w:t>
            </w:r>
          </w:p>
        </w:tc>
        <w:tc>
          <w:tcPr>
            <w:tcW w:type="dxa" w:w="4176"/>
          </w:tcPr>
          <w:p>
            <w:r/>
            <w:r>
              <w:rPr>
                <w:b w:val="0"/>
                <w:sz w:val="17"/>
              </w:rPr>
              <w:t>struttura, ufficio e tributo nel profilo (AuthDataExtended, righe 7-21)</w:t>
            </w:r>
          </w:p>
        </w:tc>
        <w:tc>
          <w:tcPr>
            <w:tcW w:type="dxa" w:w="2160"/>
          </w:tcPr>
          <w:p>
            <w:r/>
            <w:r>
              <w:rPr>
                <w:b w:val="0"/>
                <w:sz w:val="17"/>
              </w:rPr>
              <w:t>Sì, previa verifica di corrispondenza (PA-7)</w:t>
            </w:r>
          </w:p>
        </w:tc>
      </w:tr>
      <w:tr>
        <w:tc>
          <w:tcPr>
            <w:tcW w:type="dxa" w:w="3024"/>
          </w:tcPr>
          <w:p>
            <w:r/>
            <w:r>
              <w:rPr>
                <w:b w:val="0"/>
                <w:sz w:val="17"/>
              </w:rPr>
              <w:t>Utenze tecniche CONF_APP_USER e CONF_APP_ROLE</w:t>
            </w:r>
          </w:p>
        </w:tc>
        <w:tc>
          <w:tcPr>
            <w:tcW w:type="dxa" w:w="4176"/>
          </w:tcPr>
          <w:p>
            <w:r/>
            <w:r>
              <w:rPr>
                <w:b w:val="0"/>
                <w:sz w:val="17"/>
              </w:rPr>
              <w:t>Nessun corrispondente</w:t>
            </w:r>
          </w:p>
        </w:tc>
        <w:tc>
          <w:tcPr>
            <w:tcW w:type="dxa" w:w="2160"/>
          </w:tcPr>
          <w:p>
            <w:r/>
            <w:r>
              <w:rPr>
                <w:b w:val="0"/>
                <w:sz w:val="17"/>
              </w:rPr>
              <w:t>No, e non è auspicabile</w:t>
            </w:r>
          </w:p>
        </w:tc>
      </w:tr>
    </w:tbl>
    <w:p>
      <w:pPr/>
      <w:r>
        <w:rPr>
          <w:b w:val="0"/>
        </w:rPr>
        <w:t>⚠️ Due avvertenze sul riuso, che discendono dai rilievi del capitolo precedente e sono la ragione per cui il riuso non può essere una copia.</w:t>
      </w:r>
    </w:p>
    <w:p>
      <w:pPr>
        <w:pStyle w:val="ListParagraph"/>
      </w:pPr>
      <w:r>
        <w:rPr>
          <w:b/>
        </w:rPr>
        <w:t xml:space="preserve">Il catalogo va ripensato per azioni, non per pagine. </w:t>
      </w:r>
      <w:r>
        <w:rPr>
          <w:b w:val="0"/>
        </w:rPr>
        <w:t xml:space="preserve">CONF_FUNZIONALITA descrive </w:t>
      </w:r>
      <w:r>
        <w:rPr>
          <w:b/>
        </w:rPr>
        <w:t>voci di menu con il loro indirizzo</w:t>
      </w:r>
      <w:r>
        <w:rPr>
          <w:b w:val="0"/>
        </w:rPr>
        <w:t xml:space="preserve">, ed è questa forma a renderla oggi inutilizzabile per autorizzare un servizio: fra i back-end una sola espressione di autorizzazione si fonda su una funzionalità, tutte le altre sui ruoli. Un’abilitazione che dica «può annullare un atto» è riusabile da una rotta Angular, da un pulsante e da un servizio; una che dica «/statocivile/ricerca» è riusabile soltanto da una rotta. </w:t>
      </w:r>
      <w:r>
        <w:rPr>
          <w:b/>
        </w:rPr>
        <w:t>Il catalogo è trasferibile come struttura; il suo contenuto va riscritto in termini di azioni.</w:t>
      </w:r>
    </w:p>
    <w:p>
      <w:pPr>
        <w:pStyle w:val="ListParagraph"/>
      </w:pPr>
      <w:r>
        <w:rPr>
          <w:b/>
        </w:rPr>
        <w:t xml:space="preserve">L’assegnazione va portata sul ruolo. </w:t>
      </w:r>
      <w:r>
        <w:rPr>
          <w:b w:val="0"/>
        </w:rPr>
        <w:t xml:space="preserve">Trasferendo R_UTENTI_RUOLI così com’è si trasferirebbe anche la sua proprietà più onerosa: il permesso attribuito utente per utente, senza che esista un luogo in cui leggere che cosa un ruolo comporti. </w:t>
      </w:r>
      <w:r>
        <w:rPr>
          <w:b/>
        </w:rPr>
        <w:t>Nel modello per abilitazioni la traduzione naturale è opposta</w:t>
      </w:r>
      <w:r>
        <w:rPr>
          <w:b w:val="0"/>
        </w:rPr>
        <w:t>: il ruolo porta un insieme di abilitazioni, l’utente riceve il ruolo, e il profilo che il servizio di identità restituisce contiene l’unione delle abilitazioni dei ruoli posseduti. La tabella di assegnazione resta, ma diventa un legame fra utente e ruolo, e nasce accanto a essa la tabella oggi mancante fra ruolo e abilitazione.</w:t>
      </w:r>
    </w:p>
    <w:p>
      <w:pPr/>
      <w:r>
        <w:rPr>
          <w:b w:val="0"/>
        </w:rPr>
        <w:t>Vi è infine l’</w:t>
      </w:r>
      <w:r>
        <w:rPr>
          <w:b/>
        </w:rPr>
        <w:t>ambito organizzativo</w:t>
      </w:r>
      <w:r>
        <w:rPr>
          <w:b w:val="0"/>
        </w:rPr>
        <w:t xml:space="preserve">, che è l’elemento più prossimo al riuso immediato e insieme il più incerto. La libreria porta nel profilo tre nozioni — struttura, ufficio e tributo — che nella forma corrispondono a quelle di SIPO: organizzazione, sede di municipio, struttura convenzionata. Se siano le stesse nozioni, con la stessa codifica e la stessa origine, </w:t>
      </w:r>
      <w:r>
        <w:rPr>
          <w:b/>
        </w:rPr>
        <w:t>non è accertabile dalle fonti</w:t>
      </w:r>
      <w:r>
        <w:rPr>
          <w:b w:val="0"/>
        </w:rPr>
        <w:t xml:space="preserve"> (PA-7). Se lo fossero, il riuso sarebbe diretto e porterebbe con sé un miglioramento non accessorio: l’ambito viaggerebbe </w:t>
      </w:r>
      <w:r>
        <w:rPr>
          <w:b/>
        </w:rPr>
        <w:t>dentro il profilo</w:t>
      </w:r>
      <w:r>
        <w:rPr>
          <w:b w:val="0"/>
        </w:rPr>
        <w:t xml:space="preserve"> anziché come parametro dichiarato dal chiamante, e verrebbe meno la condizione che oggi rende il controllo di competenza territoriale aggirabile (R-07).</w:t>
      </w:r>
    </w:p>
    <w:p>
      <w:pPr>
        <w:pStyle w:val="Heading2"/>
      </w:pPr>
      <w:r>
        <w:t>A quali condizioni il riuso è praticabile</w:t>
      </w:r>
    </w:p>
    <w:p>
      <w:pPr/>
      <w:r>
        <w:rPr>
          <w:b w:val="0"/>
        </w:rPr>
        <w:t>Riassumendo in forma di condizioni, e senza indicare soluzioni, il riuso richiede che siano prima chiarite cinque cose.</w:t>
      </w:r>
    </w:p>
    <w:tbl>
      <w:tblPr>
        <w:tblStyle w:val="TableGrid"/>
        <w:tblW w:type="auto" w:w="0"/>
        <w:tblLook w:firstColumn="1" w:firstRow="1" w:lastColumn="0" w:lastRow="0" w:noHBand="0" w:noVBand="1" w:val="04A0"/>
      </w:tblPr>
      <w:tblGrid>
        <w:gridCol w:w="4680"/>
        <w:gridCol w:w="4680"/>
      </w:tblGrid>
      <w:tr>
        <w:tc>
          <w:tcPr>
            <w:tcW w:type="dxa" w:w="4032"/>
          </w:tcPr>
          <w:p>
            <w:r/>
            <w:r>
              <w:rPr>
                <w:b/>
                <w:sz w:val="17"/>
              </w:rPr>
              <w:t>Condizione</w:t>
            </w:r>
          </w:p>
        </w:tc>
        <w:tc>
          <w:tcPr>
            <w:tcW w:type="dxa" w:w="5328"/>
          </w:tcPr>
          <w:p>
            <w:r/>
            <w:r>
              <w:rPr>
                <w:b/>
                <w:sz w:val="17"/>
              </w:rPr>
              <w:t>Stato</w:t>
            </w:r>
          </w:p>
        </w:tc>
      </w:tr>
      <w:tr>
        <w:tc>
          <w:tcPr>
            <w:tcW w:type="dxa" w:w="4032"/>
          </w:tcPr>
          <w:p>
            <w:r/>
            <w:r>
              <w:rPr>
                <w:b w:val="0"/>
                <w:sz w:val="17"/>
              </w:rPr>
              <w:t>Che sia noto se msAuth e il sistema di accesso del portale siano la stessa identità, o due.</w:t>
            </w:r>
          </w:p>
        </w:tc>
        <w:tc>
          <w:tcPr>
            <w:tcW w:type="dxa" w:w="5328"/>
          </w:tcPr>
          <w:p>
            <w:r/>
            <w:r>
              <w:rPr>
                <w:b w:val="0"/>
                <w:sz w:val="17"/>
              </w:rPr>
              <w:t>Non accertabile dalle fonti — PA-3. È la condizione preliminare: da essa dipende se gli operatori avranno una o due identità, e se un utente profilato in SIPO sia riconoscibile dalla nuova applicazione.</w:t>
            </w:r>
          </w:p>
        </w:tc>
      </w:tr>
      <w:tr>
        <w:tc>
          <w:tcPr>
            <w:tcW w:type="dxa" w:w="4032"/>
          </w:tcPr>
          <w:p>
            <w:r/>
            <w:r>
              <w:rPr>
                <w:b w:val="0"/>
                <w:sz w:val="17"/>
              </w:rPr>
              <w:t>Che sia nota la forma del profilo restituito dal servizio di identità.</w:t>
            </w:r>
          </w:p>
        </w:tc>
        <w:tc>
          <w:tcPr>
            <w:tcW w:type="dxa" w:w="5328"/>
          </w:tcPr>
          <w:p>
            <w:r/>
            <w:r>
              <w:rPr>
                <w:b w:val="0"/>
                <w:sz w:val="17"/>
              </w:rPr>
              <w:t>Non ispezionabile: il tipo proviene da un pacchetto privato assente dal workspace — PA-4. Senza, non è dimostrabile che il profilo possa portare le abilitazioni e l’ambito nella forma richiesta.</w:t>
            </w:r>
          </w:p>
        </w:tc>
      </w:tr>
      <w:tr>
        <w:tc>
          <w:tcPr>
            <w:tcW w:type="dxa" w:w="4032"/>
          </w:tcPr>
          <w:p>
            <w:r/>
            <w:r>
              <w:rPr>
                <w:b w:val="0"/>
                <w:sz w:val="17"/>
              </w:rPr>
              <w:t>Che sia definito il vocabolario delle abilitazioni dello stato civile.</w:t>
            </w:r>
          </w:p>
        </w:tc>
        <w:tc>
          <w:tcPr>
            <w:tcW w:type="dxa" w:w="5328"/>
          </w:tcPr>
          <w:p>
            <w:r/>
            <w:r>
              <w:rPr>
                <w:b w:val="0"/>
                <w:sz w:val="17"/>
              </w:rPr>
              <w:t>Da scrivere — PA-6. Il catalogo esistente è per pagine e va riespresso per azioni; è lavoro di analisi, non di realizzazione.</w:t>
            </w:r>
          </w:p>
        </w:tc>
      </w:tr>
      <w:tr>
        <w:tc>
          <w:tcPr>
            <w:tcW w:type="dxa" w:w="4032"/>
          </w:tcPr>
          <w:p>
            <w:r/>
            <w:r>
              <w:rPr>
                <w:b w:val="0"/>
                <w:sz w:val="17"/>
              </w:rPr>
              <w:t>Che sia stabilito se l’ambito organizzativo entri nel profilo.</w:t>
            </w:r>
          </w:p>
        </w:tc>
        <w:tc>
          <w:tcPr>
            <w:tcW w:type="dxa" w:w="5328"/>
          </w:tcPr>
          <w:p>
            <w:r/>
            <w:r>
              <w:rPr>
                <w:b w:val="0"/>
                <w:sz w:val="17"/>
              </w:rPr>
              <w:t>Da decidere — PA-7. Riguarda anche la corrispondenza fra le tre nozioni della libreria e le tre di SIPO.</w:t>
            </w:r>
          </w:p>
        </w:tc>
      </w:tr>
      <w:tr>
        <w:tc>
          <w:tcPr>
            <w:tcW w:type="dxa" w:w="4032"/>
          </w:tcPr>
          <w:p>
            <w:r/>
            <w:r>
              <w:rPr>
                <w:b w:val="0"/>
                <w:sz w:val="17"/>
              </w:rPr>
              <w:t>Che sia deciso come le due popolazioni convivano nel periodo di transizione.</w:t>
            </w:r>
          </w:p>
        </w:tc>
        <w:tc>
          <w:tcPr>
            <w:tcW w:type="dxa" w:w="5328"/>
          </w:tcPr>
          <w:p>
            <w:r/>
            <w:r>
              <w:rPr>
                <w:b w:val="0"/>
                <w:sz w:val="17"/>
              </w:rPr>
              <w:t>Non trattato da alcuna fonte. Finché esisteranno insieme maschere di SIPO e applicazioni Angular, lo stesso operatore attraverserà i due impianti nella stessa giornata di lavoro; se il profilo sia uno o due, e quale prevalga, è questione aperta.</w:t>
            </w:r>
          </w:p>
        </w:tc>
      </w:tr>
    </w:tbl>
    <w:p>
      <w:pPr/>
      <w:r>
        <w:rPr>
          <w:b w:val="0"/>
        </w:rPr>
        <w:t xml:space="preserve">Una considerazione conclusiva, che non è una raccomandazione ma una constatazione. Fra i due impianti, quello che regge il confronto è </w:t>
      </w:r>
      <w:r>
        <w:rPr>
          <w:b/>
        </w:rPr>
        <w:t>il modello dei dati, non il meccanismo</w:t>
      </w:r>
      <w:r>
        <w:rPr>
          <w:b w:val="0"/>
        </w:rPr>
        <w:t xml:space="preserve">: le sei tabelle di profilazione descrivono un dominio reale — chi, che cosa, in quale ambito — e sono oggi la sola descrizione esistente di quel dominio. Il meccanismo di riconoscimento, per contro, è legato a una forma di applicazione che le nuove non hanno. </w:t>
      </w:r>
      <w:r>
        <w:rPr>
          <w:b/>
        </w:rPr>
        <w:t>Ciò che va portato avanti è il patrimonio di dati; ciò che va lasciato indietro è il modo in cui oggi vi si accede.</w:t>
      </w:r>
    </w:p>
    <w:p>
      <w:pPr>
        <w:pStyle w:val="Heading1"/>
      </w:pPr>
      <w:r>
        <w:t>Registro dei punti aperti</w:t>
      </w:r>
    </w:p>
    <w:p>
      <w:pPr/>
      <w:r>
        <w:rPr>
          <w:b w:val="0"/>
        </w:rPr>
        <w:t>Le questioni che il documento ha incontrato e che le fonti disponibili non consentono di chiudere. Sono numerate con il prefisso PA per non confondersi con i registri degli altri documenti di progetto.</w:t>
      </w:r>
    </w:p>
    <w:tbl>
      <w:tblPr>
        <w:tblStyle w:val="TableGrid"/>
        <w:tblW w:type="auto" w:w="0"/>
        <w:tblLook w:firstColumn="1" w:firstRow="1" w:lastColumn="0" w:lastRow="0" w:noHBand="0" w:noVBand="1" w:val="04A0"/>
      </w:tblPr>
      <w:tblGrid>
        <w:gridCol w:w="2340"/>
        <w:gridCol w:w="2340"/>
        <w:gridCol w:w="2340"/>
        <w:gridCol w:w="2340"/>
      </w:tblGrid>
      <w:tr>
        <w:tc>
          <w:tcPr>
            <w:tcW w:type="dxa" w:w="720"/>
          </w:tcPr>
          <w:p>
            <w:r/>
            <w:r>
              <w:rPr>
                <w:b/>
                <w:sz w:val="17"/>
              </w:rPr>
              <w:t>#</w:t>
            </w:r>
          </w:p>
        </w:tc>
        <w:tc>
          <w:tcPr>
            <w:tcW w:type="dxa" w:w="2448"/>
          </w:tcPr>
          <w:p>
            <w:r/>
            <w:r>
              <w:rPr>
                <w:b/>
                <w:sz w:val="17"/>
              </w:rPr>
              <w:t>Questione</w:t>
            </w:r>
          </w:p>
        </w:tc>
        <w:tc>
          <w:tcPr>
            <w:tcW w:type="dxa" w:w="4320"/>
          </w:tcPr>
          <w:p>
            <w:r/>
            <w:r>
              <w:rPr>
                <w:b/>
                <w:sz w:val="17"/>
              </w:rPr>
              <w:t>Perché è aperta</w:t>
            </w:r>
          </w:p>
        </w:tc>
        <w:tc>
          <w:tcPr>
            <w:tcW w:type="dxa" w:w="1584"/>
          </w:tcPr>
          <w:p>
            <w:r/>
            <w:r>
              <w:rPr>
                <w:b/>
                <w:sz w:val="17"/>
              </w:rPr>
              <w:t>A chi compete</w:t>
            </w:r>
          </w:p>
        </w:tc>
      </w:tr>
      <w:tr>
        <w:tc>
          <w:tcPr>
            <w:tcW w:type="dxa" w:w="720"/>
          </w:tcPr>
          <w:p>
            <w:r/>
            <w:r>
              <w:rPr>
                <w:b w:val="0"/>
                <w:sz w:val="17"/>
              </w:rPr>
              <w:t>PA-1</w:t>
            </w:r>
          </w:p>
        </w:tc>
        <w:tc>
          <w:tcPr>
            <w:tcW w:type="dxa" w:w="2448"/>
          </w:tcPr>
          <w:p>
            <w:r/>
            <w:r>
              <w:rPr>
                <w:b w:val="0"/>
                <w:sz w:val="17"/>
              </w:rPr>
              <w:t>Che cosa valida il certificato di postazione, e con quali regole</w:t>
            </w:r>
          </w:p>
        </w:tc>
        <w:tc>
          <w:tcPr>
            <w:tcW w:type="dxa" w:w="4320"/>
          </w:tcPr>
          <w:p>
            <w:r/>
            <w:r>
              <w:rPr>
                <w:b w:val="0"/>
                <w:sz w:val="17"/>
              </w:rPr>
              <w:t>SIPO riceve il numero di serie in un header (CdRLoginFilter.java:225-226) e non compie alcuna verifica. La validazione avviene a monte, ma la configurazione del livello che la esegue non è fra le sorgenti disponibili.</w:t>
            </w:r>
          </w:p>
        </w:tc>
        <w:tc>
          <w:tcPr>
            <w:tcW w:type="dxa" w:w="1584"/>
          </w:tcPr>
          <w:p>
            <w:r/>
            <w:r>
              <w:rPr>
                <w:b w:val="0"/>
                <w:sz w:val="17"/>
              </w:rPr>
              <w:t>Infrastruttura / Sistemi</w:t>
            </w:r>
          </w:p>
        </w:tc>
      </w:tr>
      <w:tr>
        <w:tc>
          <w:tcPr>
            <w:tcW w:type="dxa" w:w="720"/>
          </w:tcPr>
          <w:p>
            <w:r/>
            <w:r>
              <w:rPr>
                <w:b w:val="0"/>
                <w:sz w:val="17"/>
              </w:rPr>
              <w:t>PA-2</w:t>
            </w:r>
          </w:p>
        </w:tc>
        <w:tc>
          <w:tcPr>
            <w:tcW w:type="dxa" w:w="2448"/>
          </w:tcPr>
          <w:p>
            <w:r/>
            <w:r>
              <w:rPr>
                <w:b w:val="0"/>
                <w:sz w:val="17"/>
              </w:rPr>
              <w:t>Quale sia il perimetro di rete che rende attendibili gli header</w:t>
            </w:r>
          </w:p>
        </w:tc>
        <w:tc>
          <w:tcPr>
            <w:tcW w:type="dxa" w:w="4320"/>
          </w:tcPr>
          <w:p>
            <w:r/>
            <w:r>
              <w:rPr>
                <w:b w:val="0"/>
                <w:sz w:val="17"/>
              </w:rPr>
              <w:t>La fiducia dell’intera catena poggia sul fatto che nessuno possa raggiungere l’applicativo se non attraverso la giunzione. La topologia che lo garantisce non è documentata nelle sorgenti.</w:t>
            </w:r>
          </w:p>
        </w:tc>
        <w:tc>
          <w:tcPr>
            <w:tcW w:type="dxa" w:w="1584"/>
          </w:tcPr>
          <w:p>
            <w:r/>
            <w:r>
              <w:rPr>
                <w:b w:val="0"/>
                <w:sz w:val="17"/>
              </w:rPr>
              <w:t>Infrastruttura / Sistemi</w:t>
            </w:r>
          </w:p>
        </w:tc>
      </w:tr>
      <w:tr>
        <w:tc>
          <w:tcPr>
            <w:tcW w:type="dxa" w:w="720"/>
          </w:tcPr>
          <w:p>
            <w:r/>
            <w:r>
              <w:rPr>
                <w:b w:val="0"/>
                <w:sz w:val="17"/>
              </w:rPr>
              <w:t>PA-3</w:t>
            </w:r>
          </w:p>
        </w:tc>
        <w:tc>
          <w:tcPr>
            <w:tcW w:type="dxa" w:w="2448"/>
          </w:tcPr>
          <w:p>
            <w:r/>
            <w:r>
              <w:rPr>
                <w:b w:val="0"/>
                <w:sz w:val="17"/>
              </w:rPr>
              <w:t>Se il servizio msAuth della libreria Angular sia la stessa identità del portale</w:t>
            </w:r>
          </w:p>
        </w:tc>
        <w:tc>
          <w:tcPr>
            <w:tcW w:type="dxa" w:w="4320"/>
          </w:tcPr>
          <w:p>
            <w:r/>
            <w:r>
              <w:rPr>
                <w:b w:val="0"/>
                <w:sz w:val="17"/>
              </w:rPr>
              <w:t>La libreria condivisa reindirizza a /msAuth/api/v1/autenticazione/loginIAM (authentication-iam.guard.ts:20), che non compare in alcun sorgente di SIPO. Non è accertabile dal codice se dietro vi sia lo stesso fornitore di identità del portale o un secondo impianto.</w:t>
            </w:r>
          </w:p>
        </w:tc>
        <w:tc>
          <w:tcPr>
            <w:tcW w:type="dxa" w:w="1584"/>
          </w:tcPr>
          <w:p>
            <w:r/>
            <w:r>
              <w:rPr>
                <w:b w:val="0"/>
                <w:sz w:val="17"/>
              </w:rPr>
              <w:t>Analisi / Cliente</w:t>
            </w:r>
          </w:p>
        </w:tc>
      </w:tr>
      <w:tr>
        <w:tc>
          <w:tcPr>
            <w:tcW w:type="dxa" w:w="720"/>
          </w:tcPr>
          <w:p>
            <w:r/>
            <w:r>
              <w:rPr>
                <w:b w:val="0"/>
                <w:sz w:val="17"/>
              </w:rPr>
              <w:t>PA-4</w:t>
            </w:r>
          </w:p>
        </w:tc>
        <w:tc>
          <w:tcPr>
            <w:tcW w:type="dxa" w:w="2448"/>
          </w:tcPr>
          <w:p>
            <w:r/>
            <w:r>
              <w:rPr>
                <w:b w:val="0"/>
                <w:sz w:val="17"/>
              </w:rPr>
              <w:t>Quale sia la forma completa del profilo restituito da msAuth</w:t>
            </w:r>
          </w:p>
        </w:tc>
        <w:tc>
          <w:tcPr>
            <w:tcW w:type="dxa" w:w="4320"/>
          </w:tcPr>
          <w:p>
            <w:r/>
            <w:r>
              <w:rPr>
                <w:b w:val="0"/>
                <w:sz w:val="17"/>
              </w:rPr>
              <w:t>Il tipo AuthData proviene dal pacchetto privato test-library-frankmd93, risolto da un registro interno e non presente nel workspace. Del profilo si conoscono solo i campi effettivamente letti dal codice: token, user.abilitazioni, struttura, ufficio, tributo.</w:t>
            </w:r>
          </w:p>
        </w:tc>
        <w:tc>
          <w:tcPr>
            <w:tcW w:type="dxa" w:w="1584"/>
          </w:tcPr>
          <w:p>
            <w:r/>
            <w:r>
              <w:rPr>
                <w:b w:val="0"/>
                <w:sz w:val="17"/>
              </w:rPr>
              <w:t>Analisi / Fornitore</w:t>
            </w:r>
          </w:p>
        </w:tc>
      </w:tr>
      <w:tr>
        <w:tc>
          <w:tcPr>
            <w:tcW w:type="dxa" w:w="720"/>
          </w:tcPr>
          <w:p>
            <w:r/>
            <w:r>
              <w:rPr>
                <w:b w:val="0"/>
                <w:sz w:val="17"/>
              </w:rPr>
              <w:t>PA-5</w:t>
            </w:r>
          </w:p>
        </w:tc>
        <w:tc>
          <w:tcPr>
            <w:tcW w:type="dxa" w:w="2448"/>
          </w:tcPr>
          <w:p>
            <w:r/>
            <w:r>
              <w:rPr>
                <w:b w:val="0"/>
                <w:sz w:val="17"/>
              </w:rPr>
              <w:t>Dove il token venga agganciato alle chiamate HTTP della libreria</w:t>
            </w:r>
          </w:p>
        </w:tc>
        <w:tc>
          <w:tcPr>
            <w:tcW w:type="dxa" w:w="4320"/>
          </w:tcPr>
          <w:p>
            <w:r/>
            <w:r>
              <w:rPr>
                <w:b w:val="0"/>
                <w:sz w:val="17"/>
              </w:rPr>
              <w:t>L’intercettore di autenticazione (authentication.interceptor.ts:10-14) non modifica la richiesta, e il segnaposto SHOULD_SKIP_TOKEN_HANDLER non è consumato da alcun intercettore. La costruzione degli header avviene in una classe del pacchetto esterno, non ispezionabile.</w:t>
            </w:r>
          </w:p>
        </w:tc>
        <w:tc>
          <w:tcPr>
            <w:tcW w:type="dxa" w:w="1584"/>
          </w:tcPr>
          <w:p>
            <w:r/>
            <w:r>
              <w:rPr>
                <w:b w:val="0"/>
                <w:sz w:val="17"/>
              </w:rPr>
              <w:t>Analisi / Fornitore</w:t>
            </w:r>
          </w:p>
        </w:tc>
      </w:tr>
      <w:tr>
        <w:tc>
          <w:tcPr>
            <w:tcW w:type="dxa" w:w="720"/>
          </w:tcPr>
          <w:p>
            <w:r/>
            <w:r>
              <w:rPr>
                <w:b w:val="0"/>
                <w:sz w:val="17"/>
              </w:rPr>
              <w:t>PA-6</w:t>
            </w:r>
          </w:p>
        </w:tc>
        <w:tc>
          <w:tcPr>
            <w:tcW w:type="dxa" w:w="2448"/>
          </w:tcPr>
          <w:p>
            <w:r/>
            <w:r>
              <w:rPr>
                <w:b w:val="0"/>
                <w:sz w:val="17"/>
              </w:rPr>
              <w:t>Quale sia il vocabolario delle abilitazioni dello stato civile</w:t>
            </w:r>
          </w:p>
        </w:tc>
        <w:tc>
          <w:tcPr>
            <w:tcW w:type="dxa" w:w="4320"/>
          </w:tcPr>
          <w:p>
            <w:r/>
            <w:r>
              <w:rPr>
                <w:b w:val="0"/>
                <w:sz w:val="17"/>
              </w:rPr>
              <w:t>Il meccanismo esiste nella libreria, l’elenco no. CONF_FUNZIONALITA è l’unico catalogo di azioni presente nel sistema attuale, ma è costruito su indirizzi di pagina del front-end esistente.</w:t>
            </w:r>
          </w:p>
        </w:tc>
        <w:tc>
          <w:tcPr>
            <w:tcW w:type="dxa" w:w="1584"/>
          </w:tcPr>
          <w:p>
            <w:r/>
            <w:r>
              <w:rPr>
                <w:b w:val="0"/>
                <w:sz w:val="17"/>
              </w:rPr>
              <w:t>Analisi / Cliente</w:t>
            </w:r>
          </w:p>
        </w:tc>
      </w:tr>
      <w:tr>
        <w:tc>
          <w:tcPr>
            <w:tcW w:type="dxa" w:w="720"/>
          </w:tcPr>
          <w:p>
            <w:r/>
            <w:r>
              <w:rPr>
                <w:b w:val="0"/>
                <w:sz w:val="17"/>
              </w:rPr>
              <w:t>PA-7</w:t>
            </w:r>
          </w:p>
        </w:tc>
        <w:tc>
          <w:tcPr>
            <w:tcW w:type="dxa" w:w="2448"/>
          </w:tcPr>
          <w:p>
            <w:r/>
            <w:r>
              <w:rPr>
                <w:b w:val="0"/>
                <w:sz w:val="17"/>
              </w:rPr>
              <w:t>Se l’ambito organizzativo debba diventare parte del profilo</w:t>
            </w:r>
          </w:p>
        </w:tc>
        <w:tc>
          <w:tcPr>
            <w:tcW w:type="dxa" w:w="4320"/>
          </w:tcPr>
          <w:p>
            <w:r/>
            <w:r>
              <w:rPr>
                <w:b w:val="0"/>
                <w:sz w:val="17"/>
              </w:rPr>
              <w:t>Nella libreria il profilo porta struttura, ufficio e tributo; in SIPO l’ambito è ID_ORGANIZZAZIONE e ID_SEDE_MUNICIPIO, oggi propagati come parametro dal chiamante. Se le due nozioni coincidano non è accertabile dalle fonti.</w:t>
            </w:r>
          </w:p>
        </w:tc>
        <w:tc>
          <w:tcPr>
            <w:tcW w:type="dxa" w:w="1584"/>
          </w:tcPr>
          <w:p>
            <w:r/>
            <w:r>
              <w:rPr>
                <w:b w:val="0"/>
                <w:sz w:val="17"/>
              </w:rPr>
              <w:t>Analisi / Cliente</w:t>
            </w:r>
          </w:p>
        </w:tc>
      </w:tr>
      <w:tr>
        <w:tc>
          <w:tcPr>
            <w:tcW w:type="dxa" w:w="720"/>
          </w:tcPr>
          <w:p>
            <w:r/>
            <w:r>
              <w:rPr>
                <w:b w:val="0"/>
                <w:sz w:val="17"/>
              </w:rPr>
              <w:t>PA-8</w:t>
            </w:r>
          </w:p>
        </w:tc>
        <w:tc>
          <w:tcPr>
            <w:tcW w:type="dxa" w:w="2448"/>
          </w:tcPr>
          <w:p>
            <w:r/>
            <w:r>
              <w:rPr>
                <w:b w:val="0"/>
                <w:sz w:val="17"/>
              </w:rPr>
              <w:t>Quale sia il criterio di conservazione dei dati di accesso</w:t>
            </w:r>
          </w:p>
        </w:tc>
        <w:tc>
          <w:tcPr>
            <w:tcW w:type="dxa" w:w="4320"/>
          </w:tcPr>
          <w:p>
            <w:r/>
            <w:r>
              <w:rPr>
                <w:b w:val="0"/>
                <w:sz w:val="17"/>
              </w:rPr>
              <w:t>L’unica traccia sistematica degli accessi è una riga di registro applicativo (CdRLoginFilter.java:234-236). Non è documentato per quanto tempo i registri siano conservati né chi possa consultarli.</w:t>
            </w:r>
          </w:p>
        </w:tc>
        <w:tc>
          <w:tcPr>
            <w:tcW w:type="dxa" w:w="1584"/>
          </w:tcPr>
          <w:p>
            <w:r/>
            <w:r>
              <w:rPr>
                <w:b w:val="0"/>
                <w:sz w:val="17"/>
              </w:rPr>
              <w:t>Organizzazione / Privacy</w:t>
            </w:r>
          </w:p>
        </w:tc>
      </w:tr>
    </w:tbl>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image" Target="media/image5.png"/><Relationship Id="rId19"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