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w:t>
      </w:r>
    </w:p>
    <w:p w14:paraId="71440EED" w14:textId="3A30D41E" w:rsidR="006116EA" w:rsidRDefault="006116EA" w:rsidP="006116EA">
      <w:pPr>
        <w:pStyle w:val="Title"/>
        <w:jc w:val="center"/>
        <w:rPr>
          <w:lang w:val="it-IT"/>
        </w:rPr>
      </w:pPr>
      <w:r>
        <w:rPr>
          <w:lang w:val="it-IT"/>
        </w:rPr>
        <w:t>“Decessi —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Analisi del divario fra il modello dati di SIPO e i dati obbligatori dei servizi di inserimento eventi ANSC — dominio dei decessi</w:t>
      </w:r>
      <w:r w:rsidR="00E260B4">
        <w:rPr>
          <w:lang w:val="it-IT"/>
        </w:rPr>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 – Roma Capitale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[DA VERIFICARE: RTI di riferimento]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[DA VERIFICARE: società redattrice]</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[DA VERIFICARE: estremi del contratto esecutivo]</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[DA VERIFICARE: accordo quadro di riferimento]</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Area Stato Civile – Adesione ad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16/07/2026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Gap analysis SIPO / ANSC – Dominio decessi</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r>
              <w:t>[DA VERIFICARE: da aggiornare a impaginazione definitiva]</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[DA VERIFICARE: codice area applicativa]</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VERIFICARE: codice asset]</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r>
              <w:t>[DA VERIFICARE: nome redattore]</w:t>
            </w: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r>
              <w:t>[DA VERIFICARE: nome validatore]</w:t>
            </w: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r>
              <w:t>[DA VERIFICARE: nome approvatore]</w:t>
            </w: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16/07/2026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emissione. Gap analysis limitata al dominio dei decessi.</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r>
            <w:fldChar w:fldCharType="begin" w:dirty="true"/>
          </w:r>
          <w:r>
            <w:instrText xml:space="preserve"> TOC \o "1-3" \z \u \h </w:instrText>
          </w:r>
          <w:r>
            <w:fldChar w:fldCharType="separate"/>
          </w:r>
          <w:r>
            <w:t>Aggiornare il sommario: selezionare e premere F9.</w:t>
          </w: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jc w:val="both"/>
      </w:pPr>
      <w:r>
        <w:t>Il presente documento espone l’analisi del divario (gap analysis) fra il modello dati del sistema SIPO e i dati richiesti dai servizi di inserimento eventi dell’Archivio Nazionale dello Stato Civile (ANSC), limitatamente al dominio dei decessi.</w:t>
      </w:r>
    </w:p>
    <w:p>
      <w:pPr>
        <w:jc w:val="both"/>
      </w:pPr>
      <w:r>
        <w:t>L’analisi risponde a una richiesta formulata nei termini seguenti: identificare i campi mancanti in SIPO rispetto ai dati obbligatori del JSON dei servizi di inserimento eventi. Come esposto al § 3, la richiesta non è eseguibile nei termini in cui è posta, poiché il contratto JSON di ANSC non dichiara alcun campo obbligatorio. Il documento illustra dove l’obbligatorietà sia effettivamente definita e conduce l’analisi su tale base.</w:t>
      </w:r>
    </w:p>
    <w:p>
      <w:pPr>
        <w:jc w:val="both"/>
      </w:pPr>
      <w:r>
        <w:t>Il perimetro è circoscritto alle sole attività inerenti i decessi, in conformità alla richiesta. Le conclusioni non sono estensibili agli altri domini dello stato civile senza una analisi dedicata.</w:t>
      </w:r>
    </w:p>
    <w:p>
      <w:pPr>
        <w:jc w:val="both"/>
      </w:pPr>
      <w:r>
        <w:t>Il documento è corredato dall’allegato operativo GAP_Decessi_SIPO-ANSC_v0.1.xlsx, che riporta l’elenco puntuale degli obblighi non censiti in forma utilizzabile da chi ne curerà la realizzazione.</w:t>
      </w:r>
    </w:p>
    <w:p>
      <w:pPr>
        <w:pStyle w:val="Heading2"/>
      </w:pPr>
      <w:r>
        <w:t>Glossario</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Acronimo</w:t>
            </w:r>
          </w:p>
        </w:tc>
        <w:tc>
          <w:tcPr>
            <w:tcW w:type="dxa" w:w="3120"/>
          </w:tcPr>
          <w:p>
            <w:r/>
            <w:r>
              <w:rPr>
                <w:b/>
              </w:rPr>
              <w:t>Significato</w:t>
            </w:r>
          </w:p>
        </w:tc>
        <w:tc>
          <w:tcPr>
            <w:tcW w:type="dxa" w:w="3120"/>
          </w:tcPr>
          <w:p>
            <w:r/>
            <w:r>
              <w:rPr>
                <w:b/>
              </w:rPr>
              <w:t>Descrizione</w:t>
            </w:r>
          </w:p>
        </w:tc>
      </w:tr>
      <w:tr>
        <w:tc>
          <w:tcPr>
            <w:tcW w:type="dxa" w:w="3120"/>
          </w:tcPr>
          <w:p>
            <w:r/>
            <w:r>
              <w:t>ANSC</w:t>
            </w:r>
          </w:p>
        </w:tc>
        <w:tc>
          <w:tcPr>
            <w:tcW w:type="dxa" w:w="3120"/>
          </w:tcPr>
          <w:p>
            <w:r/>
            <w:r>
              <w:t>Archivio Nazionale dello Stato Civile</w:t>
            </w:r>
          </w:p>
        </w:tc>
        <w:tc>
          <w:tcPr>
            <w:tcW w:type="dxa" w:w="3120"/>
          </w:tcPr>
          <w:p>
            <w:r/>
            <w:r>
              <w:t>Archivio nazionale degli atti di stato civile, gestito nell’ambito ANPR.</w:t>
            </w:r>
          </w:p>
        </w:tc>
      </w:tr>
      <w:tr>
        <w:tc>
          <w:tcPr>
            <w:tcW w:type="dxa" w:w="3120"/>
          </w:tcPr>
          <w:p>
            <w:r/>
            <w:r>
              <w:t>SIPO</w:t>
            </w:r>
          </w:p>
        </w:tc>
        <w:tc>
          <w:tcPr>
            <w:tcW w:type="dxa" w:w="3120"/>
          </w:tcPr>
          <w:p>
            <w:r/>
            <w:r>
              <w:t>Sistema Informativo Popolazione</w:t>
            </w:r>
          </w:p>
        </w:tc>
        <w:tc>
          <w:tcPr>
            <w:tcW w:type="dxa" w:w="3120"/>
          </w:tcPr>
          <w:p>
            <w:r/>
            <w:r>
              <w:t>Suite applicativa dei servizi demografici di Roma Capitale.</w:t>
            </w:r>
          </w:p>
        </w:tc>
      </w:tr>
      <w:tr>
        <w:tc>
          <w:tcPr>
            <w:tcW w:type="dxa" w:w="3120"/>
          </w:tcPr>
          <w:p>
            <w:r/>
            <w:r>
              <w:t>Caso d’uso</w:t>
            </w:r>
          </w:p>
        </w:tc>
        <w:tc>
          <w:tcPr>
            <w:tcW w:type="dxa" w:w="3120"/>
          </w:tcPr>
          <w:p>
            <w:r/>
            <w:r>
              <w:t>Caso d’uso ANSC</w:t>
            </w:r>
          </w:p>
        </w:tc>
        <w:tc>
          <w:tcPr>
            <w:tcW w:type="dxa" w:w="3120"/>
          </w:tcPr>
          <w:p>
            <w:r/>
            <w:r>
              <w:t>Scenario di formazione dell’atto (es. Morte_001 = decesso in abitazione). ANSC ne pubblica il mapping dei campi.</w:t>
            </w:r>
          </w:p>
        </w:tc>
      </w:tr>
      <w:tr>
        <w:tc>
          <w:tcPr>
            <w:tcW w:type="dxa" w:w="3120"/>
          </w:tcPr>
          <w:p>
            <w:r/>
            <w:r>
              <w:t>Codice Motore</w:t>
            </w:r>
          </w:p>
        </w:tc>
        <w:tc>
          <w:tcPr>
            <w:tcW w:type="dxa" w:w="3120"/>
          </w:tcPr>
          <w:p>
            <w:r/>
            <w:r>
              <w:t>Identificativo del caso d’uso</w:t>
            </w:r>
          </w:p>
        </w:tc>
        <w:tc>
          <w:tcPr>
            <w:tcW w:type="dxa" w:w="3120"/>
          </w:tcPr>
          <w:p>
            <w:r/>
            <w:r>
              <w:t>Riferimento con cui il mapping SIPO richiama il caso d’uso ANSC (es. Morte_001).</w:t>
            </w:r>
          </w:p>
        </w:tc>
      </w:tr>
      <w:tr>
        <w:tc>
          <w:tcPr>
            <w:tcW w:type="dxa" w:w="3120"/>
          </w:tcPr>
          <w:p>
            <w:r/>
            <w:r>
              <w:t>Binding Object / Field</w:t>
            </w:r>
          </w:p>
        </w:tc>
        <w:tc>
          <w:tcPr>
            <w:tcW w:type="dxa" w:w="3120"/>
          </w:tcPr>
          <w:p>
            <w:r/>
            <w:r>
              <w:t>Associazione al payload</w:t>
            </w:r>
          </w:p>
        </w:tc>
        <w:tc>
          <w:tcPr>
            <w:tcW w:type="dxa" w:w="3120"/>
          </w:tcPr>
          <w:p>
            <w:r/>
            <w:r>
              <w:t>Percorso e nome del campo nel JSON dell’evento (es. evento.intestatari[0] / cognome).</w:t>
            </w:r>
          </w:p>
        </w:tc>
      </w:tr>
      <w:tr>
        <w:tc>
          <w:tcPr>
            <w:tcW w:type="dxa" w:w="3120"/>
          </w:tcPr>
          <w:p>
            <w:r/>
            <w:r>
              <w:t>DMNM</w:t>
            </w:r>
          </w:p>
        </w:tc>
        <w:tc>
          <w:tcPr>
            <w:tcW w:type="dxa" w:w="3120"/>
          </w:tcPr>
          <w:p>
            <w:r/>
            <w:r>
              <w:t>Denuncia di Morte / Necroscopica</w:t>
            </w:r>
          </w:p>
        </w:tc>
        <w:tc>
          <w:tcPr>
            <w:tcW w:type="dxa" w:w="3120"/>
          </w:tcPr>
          <w:p>
            <w:r/>
            <w:r>
              <w:t>Dominio ANSC afferente alla denuncia di morte.</w:t>
            </w:r>
          </w:p>
        </w:tc>
      </w:tr>
      <w:tr>
        <w:tc>
          <w:tcPr>
            <w:tcW w:type="dxa" w:w="3120"/>
          </w:tcPr>
          <w:p>
            <w:r/>
            <w:r>
              <w:t>Obbligo condizionale</w:t>
            </w:r>
          </w:p>
        </w:tc>
        <w:tc>
          <w:tcPr>
            <w:tcW w:type="dxa" w:w="3120"/>
          </w:tcPr>
          <w:p>
            <w:r/>
            <w:r>
              <w:t>Obbligatorietà condizionata</w:t>
            </w:r>
          </w:p>
        </w:tc>
        <w:tc>
          <w:tcPr>
            <w:tcW w:type="dxa" w:w="3120"/>
          </w:tcPr>
          <w:p>
            <w:r/>
            <w:r>
              <w:t>Obbligo subordinato a una condizione sul contenuto dell’evento.</w:t>
            </w:r>
          </w:p>
        </w:tc>
      </w:tr>
    </w:tbl>
    <w:p>
      <w:pPr>
        <w:pStyle w:val="Heading2"/>
      </w:pPr>
      <w:r>
        <w:t>Riferimenti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Documento</w:t>
            </w:r>
          </w:p>
        </w:tc>
        <w:tc>
          <w:tcPr>
            <w:tcW w:type="dxa" w:w="3120"/>
          </w:tcPr>
          <w:p>
            <w:r/>
            <w:r>
              <w:rPr>
                <w:b/>
              </w:rPr>
              <w:t>Descrizione</w:t>
            </w:r>
          </w:p>
        </w:tc>
      </w:tr>
      <w:tr>
        <w:tc>
          <w:tcPr>
            <w:tcW w:type="dxa" w:w="3120"/>
          </w:tcPr>
          <w:p>
            <w:r/>
            <w:r>
              <w:t>[R1]</w:t>
            </w:r>
          </w:p>
        </w:tc>
        <w:tc>
          <w:tcPr>
            <w:tcW w:type="dxa" w:w="3120"/>
          </w:tcPr>
          <w:p>
            <w:r/>
            <w:r>
              <w:t>ansc/docs/Mapping_casi_uso/morte/ (25 file Morte_*.csv)</w:t>
            </w:r>
          </w:p>
        </w:tc>
        <w:tc>
          <w:tcPr>
            <w:tcW w:type="dxa" w:w="3120"/>
          </w:tcPr>
          <w:p>
            <w:r/>
            <w:r>
              <w:t>Mapping dei casi d’uso del dominio morte pubblicati da ANSC. Sorgente dell’obbligatorietà. È la fonte primaria della presente analisi.</w:t>
            </w:r>
          </w:p>
        </w:tc>
      </w:tr>
      <w:tr>
        <w:tc>
          <w:tcPr>
            <w:tcW w:type="dxa" w:w="3120"/>
          </w:tcPr>
          <w:p>
            <w:r/>
            <w:r>
              <w:t>[R2]</w:t>
            </w:r>
          </w:p>
        </w:tc>
        <w:tc>
          <w:tcPr>
            <w:tcW w:type="dxa" w:w="3120"/>
          </w:tcPr>
          <w:p>
            <w:r/>
            <w:r>
              <w:t>ansc/docs/openapi/model_evento.yaml</w:t>
            </w:r>
          </w:p>
        </w:tc>
        <w:tc>
          <w:tcPr>
            <w:tcW w:type="dxa" w:w="3120"/>
          </w:tcPr>
          <w:p>
            <w:r/>
            <w:r>
              <w:t>Modello dati dell’evento ANSC: 90 schemi, 916 proprietà.</w:t>
            </w:r>
          </w:p>
        </w:tc>
      </w:tr>
      <w:tr>
        <w:tc>
          <w:tcPr>
            <w:tcW w:type="dxa" w:w="3120"/>
          </w:tcPr>
          <w:p>
            <w:r/>
            <w:r>
              <w:t>[R3]</w:t>
            </w:r>
          </w:p>
        </w:tc>
        <w:tc>
          <w:tcPr>
            <w:tcW w:type="dxa" w:w="3120"/>
          </w:tcPr>
          <w:p>
            <w:r/>
            <w:r>
              <w:t>ansc/docs/openapi/R009_validazione.yaml</w:t>
            </w:r>
          </w:p>
        </w:tc>
        <w:tc>
          <w:tcPr>
            <w:tcW w:type="dxa" w:w="3120"/>
          </w:tcPr>
          <w:p>
            <w:r/>
            <w:r>
              <w:t>Servizio di validazione dell’evento.</w:t>
            </w:r>
          </w:p>
        </w:tc>
      </w:tr>
      <w:tr>
        <w:tc>
          <w:tcPr>
            <w:tcW w:type="dxa" w:w="3120"/>
          </w:tcPr>
          <w:p>
            <w:r/>
            <w:r>
              <w:t>[R4]</w:t>
            </w:r>
          </w:p>
        </w:tc>
        <w:tc>
          <w:tcPr>
            <w:tcW w:type="dxa" w:w="3120"/>
          </w:tcPr>
          <w:p>
            <w:r/>
            <w:r>
              <w:t>ansc/docs/openapi/R023_dmnm_validazione.yaml</w:t>
            </w:r>
          </w:p>
        </w:tc>
        <w:tc>
          <w:tcPr>
            <w:tcW w:type="dxa" w:w="3120"/>
          </w:tcPr>
          <w:p>
            <w:r/>
            <w:r>
              <w:t>Servizio di validazione DMNM.</w:t>
            </w:r>
          </w:p>
        </w:tc>
      </w:tr>
      <w:tr>
        <w:tc>
          <w:tcPr>
            <w:tcW w:type="dxa" w:w="3120"/>
          </w:tcPr>
          <w:p>
            <w:r/>
            <w:r>
              <w:t>[R5]</w:t>
            </w:r>
          </w:p>
        </w:tc>
        <w:tc>
          <w:tcPr>
            <w:tcW w:type="dxa" w:w="3120"/>
          </w:tcPr>
          <w:p>
            <w:r/>
            <w:r>
              <w:t>Sorgenti Documentali/Decessi_ANSC.xlsx</w:t>
            </w:r>
          </w:p>
        </w:tc>
        <w:tc>
          <w:tcPr>
            <w:tcW w:type="dxa" w:w="3120"/>
          </w:tcPr>
          <w:p>
            <w:r/>
            <w:r>
              <w:t>Mapping SIPO ↔ ANSC per il dominio decessi: 10 fogli, uno per tipo di atto.</w:t>
            </w:r>
          </w:p>
        </w:tc>
      </w:tr>
      <w:tr>
        <w:tc>
          <w:tcPr>
            <w:tcW w:type="dxa" w:w="3120"/>
          </w:tcPr>
          <w:p>
            <w:r/>
            <w:r>
              <w:t>[R6]</w:t>
            </w:r>
          </w:p>
        </w:tc>
        <w:tc>
          <w:tcPr>
            <w:tcW w:type="dxa" w:w="3120"/>
          </w:tcPr>
          <w:p>
            <w:r/>
            <w:r>
              <w:t>Documenti finali/GAP_Decessi_SIPO-ANSC_v0.1.xlsx</w:t>
            </w:r>
          </w:p>
        </w:tc>
        <w:tc>
          <w:tcPr>
            <w:tcW w:type="dxa" w:w="3120"/>
          </w:tcPr>
          <w:p>
            <w:r/>
            <w:r>
              <w:t>Allegato operativo del presente documento.</w:t>
            </w:r>
          </w:p>
        </w:tc>
      </w:tr>
      <w:tr>
        <w:tc>
          <w:tcPr>
            <w:tcW w:type="dxa" w:w="3120"/>
          </w:tcPr>
          <w:p>
            <w:r/>
            <w:r>
              <w:t>[R7]</w:t>
            </w:r>
          </w:p>
        </w:tc>
        <w:tc>
          <w:tcPr>
            <w:tcW w:type="dxa" w:w="3120"/>
          </w:tcPr>
          <w:p>
            <w:r/>
            <w:r>
              <w:t>Documenti finali/STUDIO_Decodifiche-ANSC_v0.3.docx</w:t>
            </w:r>
          </w:p>
        </w:tc>
        <w:tc>
          <w:tcPr>
            <w:tcW w:type="dxa" w:w="3120"/>
          </w:tcPr>
          <w:p>
            <w:r/>
            <w:r>
              <w:t>Studio sulla distribuzione delle decodifiche ANSC. Correlato: cfr. § 8.3.</w:t>
            </w:r>
          </w:p>
        </w:tc>
      </w:tr>
    </w:tbl>
    <w:p>
      <w:r>
        <w:br w:type="page"/>
      </w:r>
    </w:p>
    <w:p>
      <w:pPr>
        <w:pStyle w:val="Heading1"/>
      </w:pPr>
      <w:r>
        <w:t>Contesto e perimetro</w:t>
      </w:r>
    </w:p>
    <w:p>
      <w:pPr>
        <w:jc w:val="both"/>
      </w:pPr>
      <w:r>
        <w:t>L’adesione di Roma Capitale ad ANSC comporta che gli eventi di stato civile formati in SIPO siano trasmessi ad ANSC nel formato da questa previsto. Presupposto della trasmissione è che SIPO disponga di tutti i dati che ANSC richiede.</w:t>
      </w:r>
    </w:p>
    <w:p>
      <w:pPr>
        <w:jc w:val="both"/>
      </w:pPr>
      <w:r>
        <w:t>Si segnala, quale elemento di contesto rilevante, che allo stato SIPO non dialoga con ANSC: l’analisi dei sorgenti applicativi non ha rilevato alcun client, alcun riferimento agli endpoint ANSC né ai codici dei servizi. L’identificativo dell’atto ANSC è oggi digitato manualmente dall’operatore e validato in locale. L’intervento configura pertanto una realizzazione ex novo. La circostanza è documentata nello studio [R7], § 4.4.</w:t>
      </w:r>
    </w:p>
    <w:p>
      <w:pPr>
        <w:jc w:val="both"/>
      </w:pPr>
      <w:r>
        <w:t>Il perimetro della presente analisi è limitato ai decessi. ANSC pubblica per tale dominio 25 casi d’uso [R1], da Morte_001 a Morte_020, oltre alle fattispecie 998, 999 e all’annotazione automatica.</w:t>
      </w:r>
    </w:p>
    <w:p>
      <w:r>
        <w:br w:type="page"/>
      </w:r>
    </w:p>
    <w:p>
      <w:pPr>
        <w:pStyle w:val="Heading1"/>
      </w:pPr>
      <w:r>
        <w:t>Premessa metodologica: l’obbligatorietà non è nel JSON</w:t>
      </w:r>
    </w:p>
    <w:p>
      <w:pPr>
        <w:jc w:val="both"/>
      </w:pPr>
      <w:r>
        <w:t>La richiesta domandava i campi mancanti rispetto ai dati obbligatori del JSON dei servizi di inserimento eventi. La verifica condotta sui contratti di interfaccia ha dato esito negativo: nel JSON di ANSC nessun campo dell’evento è dichiarato obbligatorio.</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Sorgente</w:t>
            </w:r>
          </w:p>
        </w:tc>
        <w:tc>
          <w:tcPr>
            <w:tcW w:type="dxa" w:w="4680"/>
          </w:tcPr>
          <w:p>
            <w:r/>
            <w:r>
              <w:rPr>
                <w:b/>
              </w:rPr>
              <w:t>Campi dichiarati obbligatori nel payload</w:t>
            </w:r>
          </w:p>
        </w:tc>
      </w:tr>
      <w:tr>
        <w:tc>
          <w:tcPr>
            <w:tcW w:type="dxa" w:w="4680"/>
          </w:tcPr>
          <w:p>
            <w:r/>
            <w:r>
              <w:t>model_evento.yaml [R2] — 90 schemi, 916 proprietà</w:t>
            </w:r>
          </w:p>
        </w:tc>
        <w:tc>
          <w:tcPr>
            <w:tcW w:type="dxa" w:w="4680"/>
          </w:tcPr>
          <w:p>
            <w:r/>
            <w:r>
              <w:t>Nessuno. Non una sola clausola required sull’intero modello.</w:t>
            </w:r>
          </w:p>
        </w:tc>
      </w:tr>
      <w:tr>
        <w:tc>
          <w:tcPr>
            <w:tcW w:type="dxa" w:w="4680"/>
          </w:tcPr>
          <w:p>
            <w:r/>
            <w:r>
              <w:t>R009_validazione [R3] — validazione dell’evento</w:t>
            </w:r>
          </w:p>
        </w:tc>
        <w:tc>
          <w:tcPr>
            <w:tcW w:type="dxa" w:w="4680"/>
          </w:tcPr>
          <w:p>
            <w:r/>
            <w:r>
              <w:t>Il solo campo «evento», ossia la presenza del body della richiesta.</w:t>
            </w:r>
          </w:p>
        </w:tc>
      </w:tr>
      <w:tr>
        <w:tc>
          <w:tcPr>
            <w:tcW w:type="dxa" w:w="4680"/>
          </w:tcPr>
          <w:p>
            <w:r/>
            <w:r>
              <w:t>R023_dmnm_validazione [R4]</w:t>
            </w:r>
          </w:p>
        </w:tc>
        <w:tc>
          <w:tcPr>
            <w:tcW w:type="dxa" w:w="4680"/>
          </w:tcPr>
          <w:p>
            <w:r/>
            <w:r>
              <w:t>Tre campi di trasporto: numeroRicezione, idTipodocumento, sezioneUfficialeStatoCivile. Nessun dato di merito dell’atto.</w:t>
            </w:r>
          </w:p>
        </w:tc>
      </w:tr>
    </w:tbl>
    <w:p>
      <w:pPr>
        <w:pStyle w:val="Caption"/>
      </w:pPr>
      <w:r>
        <w:t>Tabella 1 – Obbligatorietà dichiarata nei contratti JSON di ANSC (fonti: [R2], [R3], [R4])</w:t>
      </w:r>
    </w:p>
    <w:p>
      <w:pPr>
        <w:jc w:val="both"/>
      </w:pPr>
      <w:r>
        <w:t>Un confronto condotto rispetto al JSON restituirebbe pertanto un insieme vuoto, e ciò non perché SIPO sia completo, ma perché il contratto non esprime l’obbligo. Il dato è di rilievo anche per il disegno dell’integrazione: la validazione non è ottenibile per schema, ma richiede l’invocazione dei servizi di validazione di ANSC, i quali applicano regole non desumibili dal contratto.</w:t>
      </w:r>
    </w:p>
    <w:p>
      <w:pPr>
        <w:jc w:val="both"/>
      </w:pPr>
      <w:r>
        <w:t>L’obbligatorietà è definita altrove, ossia nei mapping per caso d’uso pubblicati da ANSC [R1]. Ciascuno dei 25 casi d’uso del dominio morte è corredato da un file che, per ogni campo, riporta Sezione, Campo, Obbligatorio, Binding Object, Binding Field, le note di obbligatorietà e le condizioni di obbligatorietà. Su tale base è condotta l’analisi.</w:t>
      </w:r>
    </w:p>
    <w:p>
      <w:pPr>
        <w:jc w:val="both"/>
      </w:pPr>
      <w:r>
        <w:t>I campi obbligatori distinti sull’insieme dei casi d’uso del dominio morte sono 179.</w:t>
      </w:r>
    </w:p>
    <w:p>
      <w:pPr>
        <w:pStyle w:val="Heading2"/>
      </w:pPr>
      <w:r>
        <w:t>L’obbligo è quasi sempre condizionale</w:t>
      </w:r>
    </w:p>
    <w:p>
      <w:pPr>
        <w:jc w:val="both"/>
      </w:pPr>
      <w:r>
        <w:t>Una seconda caratteristica incide sul metodo e sulla stima dell’impegno: l’obbligatorietà non è assoluta ma dipende dallo scenario. Nel caso d’uso Morte_001, su 219 campi complessivi ben 211 recano una condizione di obbligatorietà.</w:t>
      </w:r>
    </w:p>
    <w:p>
      <w:pPr>
        <w:jc w:val="both"/>
      </w:pPr>
      <w:r>
        <w:t>Le condizioni sono espresse in forma di predicato sul contenuto dell’evento: a titolo esemplificativo, evento.datiEventoMorte.numeroComparenti riferito al numero dei comparenti, ovvero evento.ausilioInterprete per i campi afferenti al soggetto intervenuto. Ne consegue che l’obbligo non è una lista piatta di campi, bensì un albero di regole per scenario.</w:t>
      </w:r>
    </w:p>
    <w:p>
      <w:pPr>
        <w:jc w:val="both"/>
      </w:pPr>
      <w:r>
        <w:t>La distinzione è stata mantenuta nell’allegato [R6], che qualifica ciascun obbligo come incondizionato ovvero condizionale, riportandone in tal caso la condizione.</w:t>
      </w:r>
    </w:p>
    <w:p>
      <w:r>
        <w:br w:type="page"/>
      </w:r>
    </w:p>
    <w:p>
      <w:pPr>
        <w:pStyle w:val="Heading1"/>
      </w:pPr>
      <w:r>
        <w:t>Il mapping SIPO esistente</w:t>
      </w:r>
    </w:p>
    <w:p>
      <w:pPr>
        <w:jc w:val="both"/>
      </w:pPr>
      <w:r>
        <w:t>Il file [R5] costituisce il mapping fra i campi di SIPO e quelli di ANSC per il dominio decessi. Consta di dieci fogli, uno per tipologia di atto di morte, oltre a un foglio di sintesi.</w:t>
      </w:r>
    </w:p>
    <w:p>
      <w:pPr>
        <w:jc w:val="both"/>
      </w:pPr>
      <w:r>
        <w:t>Il file non è una tabella unica: è organizzato in blocchi, ciascuno introdotto da un marcatore. La struttura è ricorrente su tutti i fogli e reca una classificazione deliberata, della quale occorre tenere conto per non riportare quali gap elementi già censiti.</w:t>
      </w:r>
    </w:p>
    <w:tbl>
      <w:tblPr>
        <w:tblStyle w:val="GridTable1Light"/>
        <w:tblW w:type="auto" w:w="0"/>
        <w:tblLook w:firstColumn="1" w:firstRow="1" w:lastColumn="0" w:lastRow="0" w:noHBand="0" w:noVBand="1" w:val="04A0"/>
      </w:tblPr>
      <w:tblGrid>
        <w:gridCol w:w="4680"/>
        <w:gridCol w:w="4680"/>
      </w:tblGrid>
      <w:tr>
        <w:tc>
          <w:tcPr>
            <w:tcW w:type="dxa" w:w="4680"/>
          </w:tcPr>
          <w:p>
            <w:r/>
            <w:r>
              <w:rPr>
                <w:b/>
              </w:rPr>
              <w:t>Blocco</w:t>
            </w:r>
          </w:p>
        </w:tc>
        <w:tc>
          <w:tcPr>
            <w:tcW w:type="dxa" w:w="4680"/>
          </w:tcPr>
          <w:p>
            <w:r/>
            <w:r>
              <w:rPr>
                <w:b/>
              </w:rPr>
              <w:t>Contenuto</w:t>
            </w:r>
          </w:p>
        </w:tc>
      </w:tr>
      <w:tr>
        <w:tc>
          <w:tcPr>
            <w:tcW w:type="dxa" w:w="4680"/>
          </w:tcPr>
          <w:p>
            <w:r/>
            <w:r>
              <w:t>MAPPING (intestazione AREA)</w:t>
            </w:r>
          </w:p>
        </w:tc>
        <w:tc>
          <w:tcPr>
            <w:tcW w:type="dxa" w:w="4680"/>
          </w:tcPr>
          <w:p>
            <w:r/>
            <w:r>
              <w:t>Blocco principale: pone in corrispondenza il campo SIPO (area, gruppo, nome, obbligatorietà) con il campo ANSC (sezione, campo, obbligatorietà, binding).</w:t>
            </w:r>
          </w:p>
        </w:tc>
      </w:tr>
      <w:tr>
        <w:tc>
          <w:tcPr>
            <w:tcW w:type="dxa" w:w="4680"/>
          </w:tcPr>
          <w:p>
            <w:r/>
            <w:r>
              <w:t>ANNOTAZIONI CONTESTUALI</w:t>
            </w:r>
          </w:p>
        </w:tc>
        <w:tc>
          <w:tcPr>
            <w:tcW w:type="dxa" w:w="4680"/>
          </w:tcPr>
          <w:p>
            <w:r/>
            <w:r>
              <w:t>Annotazioni contestuali all’atto.</w:t>
            </w:r>
          </w:p>
        </w:tc>
      </w:tr>
      <w:tr>
        <w:tc>
          <w:tcPr>
            <w:tcW w:type="dxa" w:w="4680"/>
          </w:tcPr>
          <w:p>
            <w:r/>
            <w:r>
              <w:t>DA GESTIRE</w:t>
            </w:r>
          </w:p>
        </w:tc>
        <w:tc>
          <w:tcPr>
            <w:tcW w:type="dxa" w:w="4680"/>
          </w:tcPr>
          <w:p>
            <w:r/>
            <w:r>
              <w:t>Campi ANSC da realizzare: gap già individuati.</w:t>
            </w:r>
          </w:p>
        </w:tc>
      </w:tr>
      <w:tr>
        <w:tc>
          <w:tcPr>
            <w:tcW w:type="dxa" w:w="4680"/>
          </w:tcPr>
          <w:p>
            <w:r/>
            <w:r>
              <w:t>AGGIUNTIVI</w:t>
            </w:r>
          </w:p>
        </w:tc>
        <w:tc>
          <w:tcPr>
            <w:tcW w:type="dxa" w:w="4680"/>
          </w:tcPr>
          <w:p>
            <w:r/>
            <w:r>
              <w:t>Campi ANSC aggiuntivi rispetto al mapping principale.</w:t>
            </w:r>
          </w:p>
        </w:tc>
      </w:tr>
      <w:tr>
        <w:tc>
          <w:tcPr>
            <w:tcW w:type="dxa" w:w="4680"/>
          </w:tcPr>
          <w:p>
            <w:r/>
            <w:r>
              <w:t>DERIVABILI</w:t>
            </w:r>
          </w:p>
        </w:tc>
        <w:tc>
          <w:tcPr>
            <w:tcW w:type="dxa" w:w="4680"/>
          </w:tcPr>
          <w:p>
            <w:r/>
            <w:r>
              <w:t>Campi ANSC ricavabili da altri dati già presenti.</w:t>
            </w:r>
          </w:p>
        </w:tc>
      </w:tr>
      <w:tr>
        <w:tc>
          <w:tcPr>
            <w:tcW w:type="dxa" w:w="4680"/>
          </w:tcPr>
          <w:p>
            <w:r/>
            <w:r>
              <w:t>DA VALUTARE</w:t>
            </w:r>
          </w:p>
        </w:tc>
        <w:tc>
          <w:tcPr>
            <w:tcW w:type="dxa" w:w="4680"/>
          </w:tcPr>
          <w:p>
            <w:r/>
            <w:r>
              <w:t>Campi ANSC la cui gestione è da valutare.</w:t>
            </w:r>
          </w:p>
        </w:tc>
      </w:tr>
    </w:tbl>
    <w:p>
      <w:pPr>
        <w:pStyle w:val="Caption"/>
      </w:pPr>
      <w:r>
        <w:t>Tabella 2 – Struttura a blocchi del mapping SIPO (fonte: [R5])</w:t>
      </w:r>
    </w:p>
    <w:p>
      <w:pPr>
        <w:jc w:val="both"/>
      </w:pPr>
      <w:r>
        <w:t>I blocchi DA GESTIRE, DERIVABILI e DA VALUTARE testimoniano che un’attività di ricognizione è già stata svolta. La presente analisi non la duplica: assume quali «noti» i campi censiti in un qualsiasi blocco e si concentra su quanto non risulta censito in alcuno di essi.</w:t>
      </w:r>
    </w:p>
    <w:p>
      <w:r>
        <w:br w:type="page"/>
      </w:r>
    </w:p>
    <w:p>
      <w:pPr>
        <w:pStyle w:val="Heading1"/>
      </w:pPr>
      <w:r>
        <w:t>Metodo del confronto</w:t>
      </w:r>
    </w:p>
    <w:p>
      <w:pPr>
        <w:jc w:val="both"/>
      </w:pPr>
      <w:r>
        <w:t>Il confronto è stato condotto secondo i passi seguenti.</w:t>
      </w:r>
    </w:p>
    <w:p>
      <w:pPr>
        <w:pStyle w:val="ListParagraph"/>
        <w:jc w:val="both"/>
      </w:pPr>
      <w:r>
        <w:t>•</w:t>
        <w:tab/>
        <w:t>Acquisizione, per ciascuno dei 25 casi d’uso del dominio morte [R1], dei campi obbligatori con il relativo binding e le condizioni di obbligatorietà.</w:t>
      </w:r>
    </w:p>
    <w:p>
      <w:pPr>
        <w:pStyle w:val="ListParagraph"/>
        <w:jc w:val="both"/>
      </w:pPr>
      <w:r>
        <w:t>•</w:t>
        <w:tab/>
        <w:t>Acquisizione, per ciascuno dei dieci fogli del mapping [R5], dei campi ANSC censiti in un qualsiasi blocco, previo riconoscimento della struttura a blocchi.</w:t>
      </w:r>
    </w:p>
    <w:p>
      <w:pPr>
        <w:pStyle w:val="ListParagraph"/>
        <w:jc w:val="both"/>
      </w:pPr>
      <w:r>
        <w:t>•</w:t>
        <w:tab/>
        <w:t>Associazione di ciascun foglio ai casi d’uso pertinenti mediante il Codice Motore ivi riportato.</w:t>
      </w:r>
    </w:p>
    <w:p>
      <w:pPr>
        <w:pStyle w:val="ListParagraph"/>
        <w:jc w:val="both"/>
      </w:pPr>
      <w:r>
        <w:t>•</w:t>
        <w:tab/>
        <w:t>Individuazione dei campi obbligatori del caso d’uso non presenti in alcun blocco del foglio corrispondente.</w:t>
      </w:r>
    </w:p>
    <w:p>
      <w:pPr>
        <w:pStyle w:val="ListParagraph"/>
        <w:jc w:val="both"/>
      </w:pPr>
      <w:r>
        <w:t>•</w:t>
        <w:tab/>
        <w:t>Qualificazione di ciascun obbligo residuo per natura, obbligatorietà e sezione.</w:t>
      </w:r>
    </w:p>
    <w:p>
      <w:pPr>
        <w:pStyle w:val="Heading2"/>
      </w:pPr>
      <w:r>
        <w:t>Avvertenze sul criterio di accoppiamento</w:t>
      </w:r>
    </w:p>
    <w:p>
      <w:pPr>
        <w:jc w:val="both"/>
      </w:pPr>
      <w:r>
        <w:t>L’accoppiamento avviene per nome, mediante la coppia (Sezione, Campo), e non per binding. Il criterio è indiziario e non probatorio: se ne dà conto affinché i risultati siano letti con la cautela dovuta.</w:t>
      </w:r>
    </w:p>
    <w:p>
      <w:pPr>
        <w:jc w:val="both"/>
      </w:pPr>
      <w:r>
        <w:t>Due correzioni si sono rese necessarie in corso di analisi, entrambe rilevanti perché incidevano sull’ordine di grandezza del risultato.</w:t>
      </w:r>
    </w:p>
    <w:p>
      <w:pPr>
        <w:pStyle w:val="ListParagraph"/>
        <w:jc w:val="both"/>
      </w:pPr>
      <w:r>
        <w:t>•</w:t>
        <w:tab/>
        <w:t>Celle accorpate. Il mapping [R5] accorpa in un’unica cella più campi ANSC, ad esempio «Ora formazione/Minuti formazione» a fronte di due campi distinti in ANSC. Il confronto per corrispondenza esatta li segnalava entrambi come mancanti, erroneamente.</w:t>
      </w:r>
    </w:p>
    <w:p>
      <w:pPr>
        <w:pStyle w:val="ListParagraph"/>
        <w:jc w:val="both"/>
      </w:pPr>
      <w:r>
        <w:t>•</w:t>
        <w:tab/>
        <w:t>Struttura a blocchi. Un primo confronto assumeva il foglio quale tabella unica, leggendo i blocchi successivi con la disposizione di colonne del primo. Ne derivavano accostamenti privi di senso.</w:t>
      </w:r>
    </w:p>
    <w:p>
      <w:pPr>
        <w:jc w:val="both"/>
      </w:pPr>
      <w:r>
        <w:t>Applicate le correzioni, gli obblighi segnalati come non censiti sono passati da 158 a 37. Il dato è riportato per rendere conto dell’affidabilità del risultato: un confronto automatico condotto senza tali accorgimenti sovrastima il divario di oltre quattro volte.</w:t>
      </w:r>
    </w:p>
    <w:p>
      <w:pPr>
        <w:jc w:val="both"/>
      </w:pPr>
      <w:r>
        <w:t>Permane una categoria di casi non risolvibili in via automatica: i campi il cui nome ricorre in una sezione diversa da quella attesa. Sono trattati al § 8.2.</w:t>
      </w:r>
    </w:p>
    <w:p>
      <w:r>
        <w:br w:type="page"/>
      </w:r>
    </w:p>
    <w:p>
      <w:pPr>
        <w:pStyle w:val="Heading1"/>
      </w:pPr>
      <w:r>
        <w:t>Copertura per caso d’uso</w:t>
      </w:r>
    </w:p>
    <w:p>
      <w:pPr>
        <w:jc w:val="both"/>
      </w:pPr>
      <w:r>
        <w:t>La tabella che segue riporta, per ciascun caso d’uso, i campi obbligatori previsti da ANSC e quelli non censiti in alcun blocco del mapping SIPO.</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Foglio SIPO</w:t>
            </w:r>
          </w:p>
        </w:tc>
        <w:tc>
          <w:tcPr>
            <w:tcW w:type="dxa" w:w="1872"/>
          </w:tcPr>
          <w:p>
            <w:r/>
            <w:r>
              <w:rPr>
                <w:b/>
              </w:rPr>
              <w:t>Caso d’uso</w:t>
            </w:r>
          </w:p>
        </w:tc>
        <w:tc>
          <w:tcPr>
            <w:tcW w:type="dxa" w:w="1872"/>
          </w:tcPr>
          <w:p>
            <w:r/>
            <w:r>
              <w:rPr>
                <w:b/>
              </w:rPr>
              <w:t>Campi obbl.</w:t>
            </w:r>
          </w:p>
        </w:tc>
        <w:tc>
          <w:tcPr>
            <w:tcW w:type="dxa" w:w="1872"/>
          </w:tcPr>
          <w:p>
            <w:r/>
            <w:r>
              <w:rPr>
                <w:b/>
              </w:rPr>
              <w:t>Non censiti</w:t>
            </w:r>
          </w:p>
        </w:tc>
        <w:tc>
          <w:tcPr>
            <w:tcW w:type="dxa" w:w="1872"/>
          </w:tcPr>
          <w:p>
            <w:r/>
            <w:r>
              <w:rPr>
                <w:b/>
              </w:rPr>
              <w:t>Copertura</w:t>
            </w:r>
          </w:p>
        </w:tc>
      </w:tr>
      <w:tr>
        <w:tc>
          <w:tcPr>
            <w:tcW w:type="dxa" w:w="1872"/>
          </w:tcPr>
          <w:p>
            <w:r/>
            <w:r>
              <w:t>Atto di Morte fuori Roma - Auto</w:t>
            </w:r>
          </w:p>
        </w:tc>
        <w:tc>
          <w:tcPr>
            <w:tcW w:type="dxa" w:w="1872"/>
          </w:tcPr>
          <w:p>
            <w:r/>
            <w:r>
              <w:t>Morte_009</w:t>
            </w:r>
          </w:p>
        </w:tc>
        <w:tc>
          <w:tcPr>
            <w:tcW w:type="dxa" w:w="1872"/>
          </w:tcPr>
          <w:p>
            <w:r/>
            <w:r>
              <w:t>28</w:t>
            </w:r>
          </w:p>
        </w:tc>
        <w:tc>
          <w:tcPr>
            <w:tcW w:type="dxa" w:w="1872"/>
          </w:tcPr>
          <w:p>
            <w:r/>
            <w:r>
              <w:t>15</w:t>
            </w:r>
          </w:p>
        </w:tc>
        <w:tc>
          <w:tcPr>
            <w:tcW w:type="dxa" w:w="1872"/>
          </w:tcPr>
          <w:p>
            <w:r/>
            <w:r>
              <w:t>46% – Critica</w:t>
            </w:r>
          </w:p>
        </w:tc>
      </w:tr>
      <w:tr>
        <w:tc>
          <w:tcPr>
            <w:tcW w:type="dxa" w:w="1872"/>
          </w:tcPr>
          <w:p>
            <w:r/>
            <w:r>
              <w:t>Atto di Morte fuori Roma - Auto</w:t>
            </w:r>
          </w:p>
        </w:tc>
        <w:tc>
          <w:tcPr>
            <w:tcW w:type="dxa" w:w="1872"/>
          </w:tcPr>
          <w:p>
            <w:r/>
            <w:r>
              <w:t>Morte_020</w:t>
            </w:r>
          </w:p>
        </w:tc>
        <w:tc>
          <w:tcPr>
            <w:tcW w:type="dxa" w:w="1872"/>
          </w:tcPr>
          <w:p>
            <w:r/>
            <w:r>
              <w:t>26</w:t>
            </w:r>
          </w:p>
        </w:tc>
        <w:tc>
          <w:tcPr>
            <w:tcW w:type="dxa" w:w="1872"/>
          </w:tcPr>
          <w:p>
            <w:r/>
            <w:r>
              <w:t>13</w:t>
            </w:r>
          </w:p>
        </w:tc>
        <w:tc>
          <w:tcPr>
            <w:tcW w:type="dxa" w:w="1872"/>
          </w:tcPr>
          <w:p>
            <w:r/>
            <w:r>
              <w:t>50% – Critica</w:t>
            </w:r>
          </w:p>
        </w:tc>
      </w:tr>
      <w:tr>
        <w:tc>
          <w:tcPr>
            <w:tcW w:type="dxa" w:w="1872"/>
          </w:tcPr>
          <w:p>
            <w:r/>
            <w:r>
              <w:t>Atto di Morte a Roma - Presunta</w:t>
            </w:r>
          </w:p>
        </w:tc>
        <w:tc>
          <w:tcPr>
            <w:tcW w:type="dxa" w:w="1872"/>
          </w:tcPr>
          <w:p>
            <w:r/>
            <w:r>
              <w:t>Morte_018</w:t>
            </w:r>
          </w:p>
        </w:tc>
        <w:tc>
          <w:tcPr>
            <w:tcW w:type="dxa" w:w="1872"/>
          </w:tcPr>
          <w:p>
            <w:r/>
            <w:r>
              <w:t>25</w:t>
            </w:r>
          </w:p>
        </w:tc>
        <w:tc>
          <w:tcPr>
            <w:tcW w:type="dxa" w:w="1872"/>
          </w:tcPr>
          <w:p>
            <w:r/>
            <w:r>
              <w:t>6</w:t>
            </w:r>
          </w:p>
        </w:tc>
        <w:tc>
          <w:tcPr>
            <w:tcW w:type="dxa" w:w="1872"/>
          </w:tcPr>
          <w:p>
            <w:r/>
            <w:r>
              <w:t>76% – Da completare</w:t>
            </w:r>
          </w:p>
        </w:tc>
      </w:tr>
      <w:tr>
        <w:tc>
          <w:tcPr>
            <w:tcW w:type="dxa" w:w="1872"/>
          </w:tcPr>
          <w:p>
            <w:r/>
            <w:r>
              <w:t>Atto di Morte a Roma - Presunta</w:t>
            </w:r>
          </w:p>
        </w:tc>
        <w:tc>
          <w:tcPr>
            <w:tcW w:type="dxa" w:w="1872"/>
          </w:tcPr>
          <w:p>
            <w:r/>
            <w:r>
              <w:t>Morte_011</w:t>
            </w:r>
          </w:p>
        </w:tc>
        <w:tc>
          <w:tcPr>
            <w:tcW w:type="dxa" w:w="1872"/>
          </w:tcPr>
          <w:p>
            <w:r/>
            <w:r>
              <w:t>40</w:t>
            </w:r>
          </w:p>
        </w:tc>
        <w:tc>
          <w:tcPr>
            <w:tcW w:type="dxa" w:w="1872"/>
          </w:tcPr>
          <w:p>
            <w:r/>
            <w:r>
              <w:t>8</w:t>
            </w:r>
          </w:p>
        </w:tc>
        <w:tc>
          <w:tcPr>
            <w:tcW w:type="dxa" w:w="1872"/>
          </w:tcPr>
          <w:p>
            <w:r/>
            <w:r>
              <w:t>80% – Da completare</w:t>
            </w:r>
          </w:p>
        </w:tc>
      </w:tr>
      <w:tr>
        <w:tc>
          <w:tcPr>
            <w:tcW w:type="dxa" w:w="1872"/>
          </w:tcPr>
          <w:p>
            <w:r/>
            <w:r>
              <w:t>Atto di Morte a Roma - Avviso d</w:t>
            </w:r>
          </w:p>
        </w:tc>
        <w:tc>
          <w:tcPr>
            <w:tcW w:type="dxa" w:w="1872"/>
          </w:tcPr>
          <w:p>
            <w:r/>
            <w:r>
              <w:t>Morte_019</w:t>
            </w:r>
          </w:p>
        </w:tc>
        <w:tc>
          <w:tcPr>
            <w:tcW w:type="dxa" w:w="1872"/>
          </w:tcPr>
          <w:p>
            <w:r/>
            <w:r>
              <w:t>18</w:t>
            </w:r>
          </w:p>
        </w:tc>
        <w:tc>
          <w:tcPr>
            <w:tcW w:type="dxa" w:w="1872"/>
          </w:tcPr>
          <w:p>
            <w:r/>
            <w:r>
              <w:t>3</w:t>
            </w:r>
          </w:p>
        </w:tc>
        <w:tc>
          <w:tcPr>
            <w:tcW w:type="dxa" w:w="1872"/>
          </w:tcPr>
          <w:p>
            <w:r/>
            <w:r>
              <w:t>83% – Da completare</w:t>
            </w:r>
          </w:p>
        </w:tc>
      </w:tr>
      <w:tr>
        <w:tc>
          <w:tcPr>
            <w:tcW w:type="dxa" w:w="1872"/>
          </w:tcPr>
          <w:p>
            <w:r/>
            <w:r>
              <w:t>Atto di Morte a Roma - Presunta</w:t>
            </w:r>
          </w:p>
        </w:tc>
        <w:tc>
          <w:tcPr>
            <w:tcW w:type="dxa" w:w="1872"/>
          </w:tcPr>
          <w:p>
            <w:r/>
            <w:r>
              <w:t>Morte_015</w:t>
            </w:r>
          </w:p>
        </w:tc>
        <w:tc>
          <w:tcPr>
            <w:tcW w:type="dxa" w:w="1872"/>
          </w:tcPr>
          <w:p>
            <w:r/>
            <w:r>
              <w:t>19</w:t>
            </w:r>
          </w:p>
        </w:tc>
        <w:tc>
          <w:tcPr>
            <w:tcW w:type="dxa" w:w="1872"/>
          </w:tcPr>
          <w:p>
            <w:r/>
            <w:r>
              <w:t>3</w:t>
            </w:r>
          </w:p>
        </w:tc>
        <w:tc>
          <w:tcPr>
            <w:tcW w:type="dxa" w:w="1872"/>
          </w:tcPr>
          <w:p>
            <w:r/>
            <w:r>
              <w:t>84% – Da completare</w:t>
            </w:r>
          </w:p>
        </w:tc>
      </w:tr>
      <w:tr>
        <w:tc>
          <w:tcPr>
            <w:tcW w:type="dxa" w:w="1872"/>
          </w:tcPr>
          <w:p>
            <w:r/>
            <w:r>
              <w:t>Atto di Morte a Roma - Presunta</w:t>
            </w:r>
          </w:p>
        </w:tc>
        <w:tc>
          <w:tcPr>
            <w:tcW w:type="dxa" w:w="1872"/>
          </w:tcPr>
          <w:p>
            <w:r/>
            <w:r>
              <w:t>Morte_008</w:t>
            </w:r>
          </w:p>
        </w:tc>
        <w:tc>
          <w:tcPr>
            <w:tcW w:type="dxa" w:w="1872"/>
          </w:tcPr>
          <w:p>
            <w:r/>
            <w:r>
              <w:t>23</w:t>
            </w:r>
          </w:p>
        </w:tc>
        <w:tc>
          <w:tcPr>
            <w:tcW w:type="dxa" w:w="1872"/>
          </w:tcPr>
          <w:p>
            <w:r/>
            <w:r>
              <w:t>3</w:t>
            </w:r>
          </w:p>
        </w:tc>
        <w:tc>
          <w:tcPr>
            <w:tcW w:type="dxa" w:w="1872"/>
          </w:tcPr>
          <w:p>
            <w:r/>
            <w:r>
              <w:t>87% – Da completare</w:t>
            </w:r>
          </w:p>
        </w:tc>
      </w:tr>
      <w:tr>
        <w:tc>
          <w:tcPr>
            <w:tcW w:type="dxa" w:w="1872"/>
          </w:tcPr>
          <w:p>
            <w:r/>
            <w:r>
              <w:t>Atto di Morte a Roma - Struttur</w:t>
            </w:r>
          </w:p>
        </w:tc>
        <w:tc>
          <w:tcPr>
            <w:tcW w:type="dxa" w:w="1872"/>
          </w:tcPr>
          <w:p>
            <w:r/>
            <w:r>
              <w:t>Morte_017</w:t>
            </w:r>
          </w:p>
        </w:tc>
        <w:tc>
          <w:tcPr>
            <w:tcW w:type="dxa" w:w="1872"/>
          </w:tcPr>
          <w:p>
            <w:r/>
            <w:r>
              <w:t>17</w:t>
            </w:r>
          </w:p>
        </w:tc>
        <w:tc>
          <w:tcPr>
            <w:tcW w:type="dxa" w:w="1872"/>
          </w:tcPr>
          <w:p>
            <w:r/>
            <w:r>
              <w:t>1</w:t>
            </w:r>
          </w:p>
        </w:tc>
        <w:tc>
          <w:tcPr>
            <w:tcW w:type="dxa" w:w="1872"/>
          </w:tcPr>
          <w:p>
            <w:r/>
            <w:r>
              <w:t>94% – Da completare</w:t>
            </w:r>
          </w:p>
        </w:tc>
      </w:tr>
      <w:tr>
        <w:tc>
          <w:tcPr>
            <w:tcW w:type="dxa" w:w="1872"/>
          </w:tcPr>
          <w:p>
            <w:r/>
            <w:r>
              <w:t>Atto di Morte a Roma - Avviso d</w:t>
            </w:r>
          </w:p>
        </w:tc>
        <w:tc>
          <w:tcPr>
            <w:tcW w:type="dxa" w:w="1872"/>
          </w:tcPr>
          <w:p>
            <w:r/>
            <w:r>
              <w:t>Morte_003</w:t>
            </w:r>
          </w:p>
        </w:tc>
        <w:tc>
          <w:tcPr>
            <w:tcW w:type="dxa" w:w="1872"/>
          </w:tcPr>
          <w:p>
            <w:r/>
            <w:r>
              <w:t>17</w:t>
            </w:r>
          </w:p>
        </w:tc>
        <w:tc>
          <w:tcPr>
            <w:tcW w:type="dxa" w:w="1872"/>
          </w:tcPr>
          <w:p>
            <w:r/>
            <w:r>
              <w:t>1</w:t>
            </w:r>
          </w:p>
        </w:tc>
        <w:tc>
          <w:tcPr>
            <w:tcW w:type="dxa" w:w="1872"/>
          </w:tcPr>
          <w:p>
            <w:r/>
            <w:r>
              <w:t>94% – Da completare</w:t>
            </w:r>
          </w:p>
        </w:tc>
      </w:tr>
      <w:tr>
        <w:tc>
          <w:tcPr>
            <w:tcW w:type="dxa" w:w="1872"/>
          </w:tcPr>
          <w:p>
            <w:r/>
            <w:r>
              <w:t>Atto di Morte a Roma - Abitazio</w:t>
            </w:r>
          </w:p>
        </w:tc>
        <w:tc>
          <w:tcPr>
            <w:tcW w:type="dxa" w:w="1872"/>
          </w:tcPr>
          <w:p>
            <w:r/>
            <w:r>
              <w:t>Morte_016</w:t>
            </w:r>
          </w:p>
        </w:tc>
        <w:tc>
          <w:tcPr>
            <w:tcW w:type="dxa" w:w="1872"/>
          </w:tcPr>
          <w:p>
            <w:r/>
            <w:r>
              <w:t>41</w:t>
            </w:r>
          </w:p>
        </w:tc>
        <w:tc>
          <w:tcPr>
            <w:tcW w:type="dxa" w:w="1872"/>
          </w:tcPr>
          <w:p>
            <w:r/>
            <w:r>
              <w:t>2</w:t>
            </w:r>
          </w:p>
        </w:tc>
        <w:tc>
          <w:tcPr>
            <w:tcW w:type="dxa" w:w="1872"/>
          </w:tcPr>
          <w:p>
            <w:r/>
            <w:r>
              <w:t>95% – Da completare</w:t>
            </w:r>
          </w:p>
        </w:tc>
      </w:tr>
      <w:tr>
        <w:tc>
          <w:tcPr>
            <w:tcW w:type="dxa" w:w="1872"/>
          </w:tcPr>
          <w:p>
            <w:r/>
            <w:r>
              <w:t>Atto di Morte a Roma - Abitazio</w:t>
            </w:r>
          </w:p>
        </w:tc>
        <w:tc>
          <w:tcPr>
            <w:tcW w:type="dxa" w:w="1872"/>
          </w:tcPr>
          <w:p>
            <w:r/>
            <w:r>
              <w:t>Morte_001</w:t>
            </w:r>
          </w:p>
        </w:tc>
        <w:tc>
          <w:tcPr>
            <w:tcW w:type="dxa" w:w="1872"/>
          </w:tcPr>
          <w:p>
            <w:r/>
            <w:r>
              <w:t>38</w:t>
            </w:r>
          </w:p>
        </w:tc>
        <w:tc>
          <w:tcPr>
            <w:tcW w:type="dxa" w:w="1872"/>
          </w:tcPr>
          <w:p>
            <w:r/>
            <w:r>
              <w:t>1</w:t>
            </w:r>
          </w:p>
        </w:tc>
        <w:tc>
          <w:tcPr>
            <w:tcW w:type="dxa" w:w="1872"/>
          </w:tcPr>
          <w:p>
            <w:r/>
            <w:r>
              <w:t>97% – Da completare</w:t>
            </w:r>
          </w:p>
        </w:tc>
      </w:tr>
      <w:tr>
        <w:tc>
          <w:tcPr>
            <w:tcW w:type="dxa" w:w="1872"/>
          </w:tcPr>
          <w:p>
            <w:r/>
            <w:r>
              <w:t>Atto di Morte a Roma - Struttur</w:t>
            </w:r>
          </w:p>
        </w:tc>
        <w:tc>
          <w:tcPr>
            <w:tcW w:type="dxa" w:w="1872"/>
          </w:tcPr>
          <w:p>
            <w:r/>
            <w:r>
              <w:t>Morte_002</w:t>
            </w:r>
          </w:p>
        </w:tc>
        <w:tc>
          <w:tcPr>
            <w:tcW w:type="dxa" w:w="1872"/>
          </w:tcPr>
          <w:p>
            <w:r/>
            <w:r>
              <w:t>17</w:t>
            </w:r>
          </w:p>
        </w:tc>
        <w:tc>
          <w:tcPr>
            <w:tcW w:type="dxa" w:w="1872"/>
          </w:tcPr>
          <w:p>
            <w:r/>
            <w:r>
              <w:t>0</w:t>
            </w:r>
          </w:p>
        </w:tc>
        <w:tc>
          <w:tcPr>
            <w:tcW w:type="dxa" w:w="1872"/>
          </w:tcPr>
          <w:p>
            <w:r/>
            <w:r>
              <w:t>100% – Completa</w:t>
            </w:r>
          </w:p>
        </w:tc>
      </w:tr>
      <w:tr>
        <w:tc>
          <w:tcPr>
            <w:tcW w:type="dxa" w:w="1872"/>
          </w:tcPr>
          <w:p>
            <w:r/>
            <w:r>
              <w:t>Atto di Morte a Roma - MORTE DI</w:t>
            </w:r>
          </w:p>
        </w:tc>
        <w:tc>
          <w:tcPr>
            <w:tcW w:type="dxa" w:w="1872"/>
          </w:tcPr>
          <w:p>
            <w:r/>
            <w:r>
              <w:t>Morte_004</w:t>
            </w:r>
          </w:p>
        </w:tc>
        <w:tc>
          <w:tcPr>
            <w:tcW w:type="dxa" w:w="1872"/>
          </w:tcPr>
          <w:p>
            <w:r/>
            <w:r>
              <w:t>10</w:t>
            </w:r>
          </w:p>
        </w:tc>
        <w:tc>
          <w:tcPr>
            <w:tcW w:type="dxa" w:w="1872"/>
          </w:tcPr>
          <w:p>
            <w:r/>
            <w:r>
              <w:t>0</w:t>
            </w:r>
          </w:p>
        </w:tc>
        <w:tc>
          <w:tcPr>
            <w:tcW w:type="dxa" w:w="1872"/>
          </w:tcPr>
          <w:p>
            <w:r/>
            <w:r>
              <w:t>100% – Completa</w:t>
            </w:r>
          </w:p>
        </w:tc>
      </w:tr>
      <w:tr>
        <w:tc>
          <w:tcPr>
            <w:tcW w:type="dxa" w:w="1872"/>
          </w:tcPr>
          <w:p>
            <w:r/>
            <w:r>
              <w:t>Atto di Morte In Viaggio</w:t>
            </w:r>
          </w:p>
        </w:tc>
        <w:tc>
          <w:tcPr>
            <w:tcW w:type="dxa" w:w="1872"/>
          </w:tcPr>
          <w:p>
            <w:r/>
            <w:r>
              <w:t>Morte_005</w:t>
            </w:r>
          </w:p>
        </w:tc>
        <w:tc>
          <w:tcPr>
            <w:tcW w:type="dxa" w:w="1872"/>
          </w:tcPr>
          <w:p>
            <w:r/>
            <w:r>
              <w:t>25</w:t>
            </w:r>
          </w:p>
        </w:tc>
        <w:tc>
          <w:tcPr>
            <w:tcW w:type="dxa" w:w="1872"/>
          </w:tcPr>
          <w:p>
            <w:r/>
            <w:r>
              <w:t>0</w:t>
            </w:r>
          </w:p>
        </w:tc>
        <w:tc>
          <w:tcPr>
            <w:tcW w:type="dxa" w:w="1872"/>
          </w:tcPr>
          <w:p>
            <w:r/>
            <w:r>
              <w:t>100% – Completa</w:t>
            </w:r>
          </w:p>
        </w:tc>
      </w:tr>
      <w:tr>
        <w:tc>
          <w:tcPr>
            <w:tcW w:type="dxa" w:w="1872"/>
          </w:tcPr>
          <w:p>
            <w:r/>
            <w:r>
              <w:t>Atto di Morte fuori Roma - Mort</w:t>
            </w:r>
          </w:p>
        </w:tc>
        <w:tc>
          <w:tcPr>
            <w:tcW w:type="dxa" w:w="1872"/>
          </w:tcPr>
          <w:p>
            <w:r/>
            <w:r>
              <w:t>— assente —</w:t>
            </w:r>
          </w:p>
        </w:tc>
        <w:tc>
          <w:tcPr>
            <w:tcW w:type="dxa" w:w="1872"/>
          </w:tcPr>
          <w:p>
            <w:r/>
            <w:r>
              <w:t>n.d.</w:t>
            </w:r>
          </w:p>
        </w:tc>
        <w:tc>
          <w:tcPr>
            <w:tcW w:type="dxa" w:w="1872"/>
          </w:tcPr>
          <w:p>
            <w:r/>
            <w:r>
              <w:t>n.d.</w:t>
            </w:r>
          </w:p>
        </w:tc>
        <w:tc>
          <w:tcPr>
            <w:tcW w:type="dxa" w:w="1872"/>
          </w:tcPr>
          <w:p>
            <w:r/>
            <w:r>
              <w:t>Non valutabile</w:t>
            </w:r>
          </w:p>
        </w:tc>
      </w:tr>
      <w:tr>
        <w:tc>
          <w:tcPr>
            <w:tcW w:type="dxa" w:w="1872"/>
          </w:tcPr>
          <w:p>
            <w:r/>
            <w:r>
              <w:t>Atto di Morte fuori Roma - Stru</w:t>
            </w:r>
          </w:p>
        </w:tc>
        <w:tc>
          <w:tcPr>
            <w:tcW w:type="dxa" w:w="1872"/>
          </w:tcPr>
          <w:p>
            <w:r/>
            <w:r>
              <w:t>— assente —</w:t>
            </w:r>
          </w:p>
        </w:tc>
        <w:tc>
          <w:tcPr>
            <w:tcW w:type="dxa" w:w="1872"/>
          </w:tcPr>
          <w:p>
            <w:r/>
            <w:r>
              <w:t>n.d.</w:t>
            </w:r>
          </w:p>
        </w:tc>
        <w:tc>
          <w:tcPr>
            <w:tcW w:type="dxa" w:w="1872"/>
          </w:tcPr>
          <w:p>
            <w:r/>
            <w:r>
              <w:t>n.d.</w:t>
            </w:r>
          </w:p>
        </w:tc>
        <w:tc>
          <w:tcPr>
            <w:tcW w:type="dxa" w:w="1872"/>
          </w:tcPr>
          <w:p>
            <w:r/>
            <w:r>
              <w:t>Non valutabile</w:t>
            </w:r>
          </w:p>
        </w:tc>
      </w:tr>
      <w:tr>
        <w:tc>
          <w:tcPr>
            <w:tcW w:type="dxa" w:w="1872"/>
          </w:tcPr>
          <w:p>
            <w:r/>
            <w:r>
              <w:t>Atto di Morte fuori Roma - Avvi</w:t>
            </w:r>
          </w:p>
        </w:tc>
        <w:tc>
          <w:tcPr>
            <w:tcW w:type="dxa" w:w="1872"/>
          </w:tcPr>
          <w:p>
            <w:r/>
            <w:r>
              <w:t>— assente —</w:t>
            </w:r>
          </w:p>
        </w:tc>
        <w:tc>
          <w:tcPr>
            <w:tcW w:type="dxa" w:w="1872"/>
          </w:tcPr>
          <w:p>
            <w:r/>
            <w:r>
              <w:t>n.d.</w:t>
            </w:r>
          </w:p>
        </w:tc>
        <w:tc>
          <w:tcPr>
            <w:tcW w:type="dxa" w:w="1872"/>
          </w:tcPr>
          <w:p>
            <w:r/>
            <w:r>
              <w:t>n.d.</w:t>
            </w:r>
          </w:p>
        </w:tc>
        <w:tc>
          <w:tcPr>
            <w:tcW w:type="dxa" w:w="1872"/>
          </w:tcPr>
          <w:p>
            <w:r/>
            <w:r>
              <w:t>Non valutabile</w:t>
            </w:r>
          </w:p>
        </w:tc>
      </w:tr>
    </w:tbl>
    <w:p>
      <w:pPr>
        <w:pStyle w:val="Caption"/>
      </w:pPr>
      <w:r>
        <w:t>Tabella 3 – Copertura dei campi obbligatori ANSC per caso d’uso (fonti: [R1], [R5])</w:t>
      </w:r>
    </w:p>
    <w:p>
      <w:pPr>
        <w:jc w:val="both"/>
      </w:pPr>
      <w:r>
        <w:t>La lettura d’insieme è che la copertura sia fortemente disomogenea, e che la disomogeneità segua un criterio preciso: il mapping copre l’atto di morte ordinario e non copre le fattispecie specializzate.</w:t>
      </w:r>
    </w:p>
    <w:p>
      <w:pPr>
        <w:jc w:val="both"/>
      </w:pPr>
      <w:r>
        <w:t>Risultano integralmente coperti i casi d’uso relativi al decesso in struttura sanitaria, al cadavere non identificato e alla morte in viaggio. Risultano invece scoperti in misura rilevante i casi d’uso afferenti alla trascrizione di sentenze — morte presunta, sentenza estera, trasmissione da autorità — che sono per l’appunto le fattispecie meno frequenti e più complesse.</w:t>
      </w:r>
    </w:p>
    <w:p>
      <w:pPr>
        <w:pStyle w:val="Heading2"/>
      </w:pPr>
      <w:r>
        <w:t>Fogli non valutabili</w:t>
      </w:r>
    </w:p>
    <w:p>
      <w:pPr>
        <w:jc w:val="both"/>
      </w:pPr>
      <w:r>
        <w:t>Tre fogli del mapping [R5] — «Atto di Morte fuori Roma - Morte», «- Struttura» e «- Avviso» — recano righe di mappatura ma non indicano alcun Codice Motore. Non essendo associati ad alcun caso d’uso ANSC, la loro copertura non è determinabile.</w:t>
      </w:r>
    </w:p>
    <w:p>
      <w:pPr>
        <w:jc w:val="both"/>
      </w:pPr>
      <w:r>
        <w:t>La circostanza costituisce essa stessa un divario, di natura documentale anziché applicativa, e va sanata prima di poter dire conclusa la ricognizione: allo stato, tre tipologie di atto su dieci non sono verificabili.</w:t>
      </w:r>
    </w:p>
    <w:p>
      <w:r>
        <w:br w:type="page"/>
      </w:r>
    </w:p>
    <w:p>
      <w:pPr>
        <w:pStyle w:val="Heading1"/>
      </w:pPr>
      <w:r>
        <w:t>Esito: gli obblighi non censiti</w:t>
      </w:r>
    </w:p>
    <w:p>
      <w:pPr>
        <w:jc w:val="both"/>
      </w:pPr>
      <w:r>
        <w:t>Gli obblighi previsti da ANSC quali obbligatori e non censiti in alcun blocco del mapping SIPO sono 37, tutti a obbligatorietà incondizionata. Il dato richiede tuttavia una qualificazione preliminare, senza la quale risulterebbe fuorviante.</w:t>
      </w:r>
    </w:p>
    <w:p>
      <w:pPr>
        <w:pStyle w:val="Heading2"/>
      </w:pPr>
      <w:r>
        <w:t>Non tutti gli obblighi sono campi</w:t>
      </w:r>
    </w:p>
    <w:p>
      <w:pPr>
        <w:jc w:val="both"/>
      </w:pPr>
      <w:r>
        <w:t>Dei 37 obblighi, soltanto 24 sono campi del payload JSON, ossia recano un Binding Object. I rimanenti sono obblighi di natura diversa, che non attengono alla mappatura dei dati.</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Natura</w:t>
            </w:r>
          </w:p>
        </w:tc>
        <w:tc>
          <w:tcPr>
            <w:tcW w:type="dxa" w:w="3120"/>
          </w:tcPr>
          <w:p>
            <w:r/>
            <w:r>
              <w:rPr>
                <w:b/>
              </w:rPr>
              <w:t>N.</w:t>
            </w:r>
          </w:p>
        </w:tc>
        <w:tc>
          <w:tcPr>
            <w:tcW w:type="dxa" w:w="3120"/>
          </w:tcPr>
          <w:p>
            <w:r/>
            <w:r>
              <w:rPr>
                <w:b/>
              </w:rPr>
              <w:t>Descrizione</w:t>
            </w:r>
          </w:p>
        </w:tc>
      </w:tr>
      <w:tr>
        <w:tc>
          <w:tcPr>
            <w:tcW w:type="dxa" w:w="3120"/>
          </w:tcPr>
          <w:p>
            <w:r/>
            <w:r>
              <w:t>Campo dati (JSON)</w:t>
            </w:r>
          </w:p>
        </w:tc>
        <w:tc>
          <w:tcPr>
            <w:tcW w:type="dxa" w:w="3120"/>
          </w:tcPr>
          <w:p>
            <w:r/>
            <w:r>
              <w:t>24</w:t>
            </w:r>
          </w:p>
        </w:tc>
        <w:tc>
          <w:tcPr>
            <w:tcW w:type="dxa" w:w="3120"/>
          </w:tcPr>
          <w:p>
            <w:r/>
            <w:r>
              <w:t>Reca un Binding Object: è un campo del payload dell’evento. Sono questi i veri divari di mappatura.</w:t>
            </w:r>
          </w:p>
        </w:tc>
      </w:tr>
      <w:tr>
        <w:tc>
          <w:tcPr>
            <w:tcW w:type="dxa" w:w="3120"/>
          </w:tcPr>
          <w:p>
            <w:r/>
            <w:r>
              <w:t>Allegato (documento)</w:t>
            </w:r>
          </w:p>
        </w:tc>
        <w:tc>
          <w:tcPr>
            <w:tcW w:type="dxa" w:w="3120"/>
          </w:tcPr>
          <w:p>
            <w:r/>
            <w:r>
              <w:t>9</w:t>
            </w:r>
          </w:p>
        </w:tc>
        <w:tc>
          <w:tcPr>
            <w:tcW w:type="dxa" w:w="3120"/>
          </w:tcPr>
          <w:p>
            <w:r/>
            <w:r>
              <w:t>Sezione «Allegati». Privo di binding: non appartiene al payload. È un documento da produrre e allegare (es. certificato necroscopico, sentenza straniera).</w:t>
            </w:r>
          </w:p>
        </w:tc>
      </w:tr>
      <w:tr>
        <w:tc>
          <w:tcPr>
            <w:tcW w:type="dxa" w:w="3120"/>
          </w:tcPr>
          <w:p>
            <w:r/>
            <w:r>
              <w:t>Formula (testo di legge)</w:t>
            </w:r>
          </w:p>
        </w:tc>
        <w:tc>
          <w:tcPr>
            <w:tcW w:type="dxa" w:w="3120"/>
          </w:tcPr>
          <w:p>
            <w:r/>
            <w:r>
              <w:t>4</w:t>
            </w:r>
          </w:p>
        </w:tc>
        <w:tc>
          <w:tcPr>
            <w:tcW w:type="dxa" w:w="3120"/>
          </w:tcPr>
          <w:p>
            <w:r/>
            <w:r>
              <w:t>Sezione «Formula». Privo di binding: è una formula di legge da rendere nel testo dell’atto (es. 193.1).</w:t>
            </w:r>
          </w:p>
        </w:tc>
      </w:tr>
    </w:tbl>
    <w:p>
      <w:pPr>
        <w:pStyle w:val="Caption"/>
      </w:pPr>
      <w:r>
        <w:t>Tabella 4 – Natura degli obblighi non censiti (fonte: [R1])</w:t>
      </w:r>
    </w:p>
    <w:p>
      <w:pPr>
        <w:jc w:val="both"/>
      </w:pPr>
      <w:r>
        <w:t>La distinzione ha effetti pratici. Chi debba intervenire sulla mappatura dei dati è chiamato a considerare 24 campi e non 37. Gli allegati e le formule costituiscono obblighi reali, ma la loro realizzazione attiene alla gestione documentale e alla redazione dell’atto, non al modello dati, e va istruita separatamente.</w:t>
      </w:r>
    </w:p>
    <w:p>
      <w:pPr>
        <w:pStyle w:val="Heading2"/>
      </w:pPr>
      <w:r>
        <w:t>I campi dati mancanti, per sezione</w:t>
      </w:r>
    </w:p>
    <w:tbl>
      <w:tblPr>
        <w:tblStyle w:val="GridTable1Light"/>
        <w:tblW w:type="auto" w:w="0"/>
        <w:tblLook w:firstColumn="1" w:firstRow="1" w:lastColumn="0" w:lastRow="0" w:noHBand="0" w:noVBand="1" w:val="04A0"/>
      </w:tblPr>
      <w:tblGrid>
        <w:gridCol w:w="4680"/>
        <w:gridCol w:w="4680"/>
      </w:tblGrid>
      <w:tr>
        <w:tc>
          <w:tcPr>
            <w:tcW w:type="dxa" w:w="4680"/>
          </w:tcPr>
          <w:p>
            <w:r/>
            <w:r>
              <w:rPr>
                <w:b/>
              </w:rPr>
              <w:t>Sezione ANSC</w:t>
            </w:r>
          </w:p>
        </w:tc>
        <w:tc>
          <w:tcPr>
            <w:tcW w:type="dxa" w:w="4680"/>
          </w:tcPr>
          <w:p>
            <w:r/>
            <w:r>
              <w:rPr>
                <w:b/>
              </w:rPr>
              <w:t>N. campi</w:t>
            </w:r>
          </w:p>
        </w:tc>
      </w:tr>
      <w:tr>
        <w:tc>
          <w:tcPr>
            <w:tcW w:type="dxa" w:w="4680"/>
          </w:tcPr>
          <w:p>
            <w:r/>
            <w:r>
              <w:t>Atto da trascrivere</w:t>
            </w:r>
          </w:p>
        </w:tc>
        <w:tc>
          <w:tcPr>
            <w:tcW w:type="dxa" w:w="4680"/>
          </w:tcPr>
          <w:p>
            <w:r/>
            <w:r>
              <w:t>5</w:t>
            </w:r>
          </w:p>
        </w:tc>
      </w:tr>
      <w:tr>
        <w:tc>
          <w:tcPr>
            <w:tcW w:type="dxa" w:w="4680"/>
          </w:tcPr>
          <w:p>
            <w:r/>
            <w:r>
              <w:t>Sentenza estera di morte</w:t>
            </w:r>
          </w:p>
        </w:tc>
        <w:tc>
          <w:tcPr>
            <w:tcW w:type="dxa" w:w="4680"/>
          </w:tcPr>
          <w:p>
            <w:r/>
            <w:r>
              <w:t>5</w:t>
            </w:r>
          </w:p>
        </w:tc>
      </w:tr>
      <w:tr>
        <w:tc>
          <w:tcPr>
            <w:tcW w:type="dxa" w:w="4680"/>
          </w:tcPr>
          <w:p>
            <w:r/>
            <w:r>
              <w:t>Autorità mittente</w:t>
            </w:r>
          </w:p>
        </w:tc>
        <w:tc>
          <w:tcPr>
            <w:tcW w:type="dxa" w:w="4680"/>
          </w:tcPr>
          <w:p>
            <w:r/>
            <w:r>
              <w:t>4</w:t>
            </w:r>
          </w:p>
        </w:tc>
      </w:tr>
      <w:tr>
        <w:tc>
          <w:tcPr>
            <w:tcW w:type="dxa" w:w="4680"/>
          </w:tcPr>
          <w:p>
            <w:r/>
            <w:r>
              <w:t>Dettagli evento</w:t>
            </w:r>
          </w:p>
        </w:tc>
        <w:tc>
          <w:tcPr>
            <w:tcW w:type="dxa" w:w="4680"/>
          </w:tcPr>
          <w:p>
            <w:r/>
            <w:r>
              <w:t>3</w:t>
            </w:r>
          </w:p>
        </w:tc>
      </w:tr>
      <w:tr>
        <w:tc>
          <w:tcPr>
            <w:tcW w:type="dxa" w:w="4680"/>
          </w:tcPr>
          <w:p>
            <w:r/>
            <w:r>
              <w:t>Dati della trascrizione</w:t>
            </w:r>
          </w:p>
        </w:tc>
        <w:tc>
          <w:tcPr>
            <w:tcW w:type="dxa" w:w="4680"/>
          </w:tcPr>
          <w:p>
            <w:r/>
            <w:r>
              <w:t>2</w:t>
            </w:r>
          </w:p>
        </w:tc>
      </w:tr>
      <w:tr>
        <w:tc>
          <w:tcPr>
            <w:tcW w:type="dxa" w:w="4680"/>
          </w:tcPr>
          <w:p>
            <w:r/>
            <w:r>
              <w:t>Sentenza accertamento morte presunta</w:t>
            </w:r>
          </w:p>
        </w:tc>
        <w:tc>
          <w:tcPr>
            <w:tcW w:type="dxa" w:w="4680"/>
          </w:tcPr>
          <w:p>
            <w:r/>
            <w:r>
              <w:t>2</w:t>
            </w:r>
          </w:p>
        </w:tc>
      </w:tr>
      <w:tr>
        <w:tc>
          <w:tcPr>
            <w:tcW w:type="dxa" w:w="4680"/>
          </w:tcPr>
          <w:p>
            <w:r/>
            <w:r>
              <w:t>Sentenza di morte presunta</w:t>
            </w:r>
          </w:p>
        </w:tc>
        <w:tc>
          <w:tcPr>
            <w:tcW w:type="dxa" w:w="4680"/>
          </w:tcPr>
          <w:p>
            <w:r/>
            <w:r>
              <w:t>2</w:t>
            </w:r>
          </w:p>
        </w:tc>
      </w:tr>
      <w:tr>
        <w:tc>
          <w:tcPr>
            <w:tcW w:type="dxa" w:w="4680"/>
          </w:tcPr>
          <w:p>
            <w:r/>
            <w:r>
              <w:t>Sentenza di scomparsa</w:t>
            </w:r>
          </w:p>
        </w:tc>
        <w:tc>
          <w:tcPr>
            <w:tcW w:type="dxa" w:w="4680"/>
          </w:tcPr>
          <w:p>
            <w:r/>
            <w:r>
              <w:t>1</w:t>
            </w:r>
          </w:p>
        </w:tc>
      </w:tr>
    </w:tbl>
    <w:p>
      <w:pPr>
        <w:pStyle w:val="Caption"/>
      </w:pPr>
      <w:r>
        <w:t>Tabella 5 – Campi dati non censiti, aggregati per sezione ANSC (fonte: [R1])</w:t>
      </w:r>
    </w:p>
    <w:p>
      <w:pPr>
        <w:jc w:val="both"/>
      </w:pPr>
      <w:r>
        <w:t>I divari non si presentano quali campi sparsi bensì quali sezioni intere non rappresentate. Le sezioni «Atto da trascrivere», «Sentenza estera di morte», «Autorità mittente» e «Dati della trascrizione» afferiscono tutte al medesimo tema: la trascrizione di un atto formato altrove, ovvero l’esecuzione di un provvedimento dell’autorità giudiziaria.</w:t>
      </w:r>
    </w:p>
    <w:p>
      <w:pPr>
        <w:jc w:val="both"/>
      </w:pPr>
      <w:r>
        <w:t>Ne discende che l’intervento non consiste nell’aggiunta di singoli campi a maschere esistenti, bensì nell’introduzione di sezioni di dati oggi assenti dal modello. La stima dell’impegno va condotta su tale presupposto.</w:t>
      </w:r>
    </w:p>
    <w:p>
      <w:pPr>
        <w:pStyle w:val="Heading2"/>
      </w:pPr>
      <w:r>
        <w:t>Il nesso con le decodifiche</w:t>
      </w:r>
    </w:p>
    <w:p>
      <w:pPr>
        <w:jc w:val="both"/>
      </w:pPr>
      <w:r>
        <w:t>Una parte dei campi mancanti è del tipo «Stato Nascita - Descrizione», «Nazionalità - Descrizione», «Stato ente - Descrizione». Non si tratta di un dato nuovo, bensì della descrizione in chiaro associata a un codice che SIPO già possiede.</w:t>
      </w:r>
    </w:p>
    <w:p>
      <w:pPr>
        <w:jc w:val="both"/>
      </w:pPr>
      <w:r>
        <w:t>ANSC richiede infatti che l’evento rechi sia il codice sia la relativa descrizione, mentre il mapping SIPO associa il solo codice. La descrizione deve pertanto essere risolta a partire dalla decodifica ANSC, il che presuppone la disponibilità applicativa delle decodifiche presso i sistemi.</w:t>
      </w:r>
    </w:p>
    <w:p>
      <w:pPr>
        <w:jc w:val="both"/>
      </w:pPr>
      <w:r>
        <w:t>Il presente divario si salda dunque con lo studio [R7]: il servizio di distribuzione delle decodifiche ivi proposto non è un’esigenza distinta, ma un prerequisito della trasmissione degli eventi. I due filoni convergono su questo punto.</w:t>
      </w:r>
    </w:p>
    <w:p>
      <w:r>
        <w:br w:type="page"/>
      </w:r>
    </w:p>
    <w:p>
      <w:pPr>
        <w:pStyle w:val="Heading1"/>
      </w:pPr>
      <w:r>
        <w:t>Limiti dell’analisi</w:t>
      </w:r>
    </w:p>
    <w:p>
      <w:pPr>
        <w:pStyle w:val="Heading2"/>
      </w:pPr>
      <w:r>
        <w:t>Perimetro</w:t>
      </w:r>
    </w:p>
    <w:p>
      <w:pPr>
        <w:jc w:val="both"/>
      </w:pPr>
      <w:r>
        <w:t>L’analisi è limitata ai decessi. Nulla di quanto qui esposto è estensibile a nascite, matrimoni, unioni civili o cittadinanza senza analisi dedicata, ancorché il metodo sia riapplicabile: ANSC pubblica i mapping per caso d’uso anche per tali domini.</w:t>
      </w:r>
    </w:p>
    <w:p>
      <w:pPr>
        <w:pStyle w:val="Heading2"/>
      </w:pPr>
      <w:r>
        <w:t>Campi da validare a mano</w:t>
      </w:r>
    </w:p>
    <w:p>
      <w:pPr>
        <w:jc w:val="both"/>
      </w:pPr>
      <w:r>
        <w:t>Il confronto ha isolato 29 campi il cui nome ricorre nel mapping SIPO ma in una sezione diversa da quella indicata da ANSC. Sono in prevalenza campi di sezioni speculari: a titolo di esempio, «Comparente 2 / Nome» a fronte di un «Comparente 1 / Nome» mappato.</w:t>
      </w:r>
    </w:p>
    <w:p>
      <w:pPr>
        <w:jc w:val="both"/>
      </w:pPr>
      <w:r>
        <w:t>È verosimile che siano gestiti, ma la circostanza non è verificabile in via automatica e richiede competenza di dominio. Sono riportati nell’allegato [R6] in foglio separato e non concorrono al computo dei divari. Si segnala che, ove risultassero non gestiti, il numero dei campi mancanti aumenterebbe fino a un massimo di 53.</w:t>
      </w:r>
    </w:p>
    <w:p>
      <w:pPr>
        <w:pStyle w:val="Heading2"/>
      </w:pPr>
      <w:r>
        <w:t>Natura documentale delle sorgenti</w:t>
      </w:r>
    </w:p>
    <w:p>
      <w:pPr>
        <w:jc w:val="both"/>
      </w:pPr>
      <w:r>
        <w:t>L’analisi si fonda sul mapping [R5], che è un documento e non il codice. Essa accerta il divario rispetto a quanto il mapping dichiara, non rispetto a quanto SIPO effettivamente implementa. Un campo censito nel mapping potrebbe non essere realizzato, e viceversa.</w:t>
      </w:r>
    </w:p>
    <w:p>
      <w:pPr>
        <w:jc w:val="both"/>
      </w:pPr>
      <w:r>
        <w:t>[DA VERIFICARE: riscontro dei campi censiti nel mapping rispetto al modello dati effettivo di SIPO (schema MATR_USR e moduli decessi-be / commonsc-entities). L’accertamento eccede il perimetro della presente analisi.]</w:t>
      </w:r>
    </w:p>
    <w:p>
      <w:r>
        <w:br w:type="page"/>
      </w:r>
    </w:p>
    <w:p>
      <w:pPr>
        <w:pStyle w:val="Heading1"/>
      </w:pPr>
      <w:r>
        <w:t>Conclusioni e raccomandazioni</w:t>
      </w:r>
    </w:p>
    <w:p>
      <w:pPr>
        <w:jc w:val="both"/>
      </w:pPr>
      <w:r>
        <w:t>Le conclusioni sono le seguenti.</w:t>
      </w:r>
    </w:p>
    <w:p>
      <w:pPr>
        <w:pStyle w:val="ListParagraph"/>
        <w:jc w:val="both"/>
      </w:pPr>
      <w:r>
        <w:t>•</w:t>
        <w:tab/>
        <w:t>La richiesta non è eseguibile nei termini in cui è posta. Il JSON dei servizi ANSC non dichiara campi obbligatori: 916 proprietà, nessuna required. L’obbligatorietà è definita nei mapping per caso d’uso, che ne contano 179 distinti per il dominio morte.</w:t>
      </w:r>
    </w:p>
    <w:p>
      <w:pPr>
        <w:pStyle w:val="ListParagraph"/>
        <w:jc w:val="both"/>
      </w:pPr>
      <w:r>
        <w:t>•</w:t>
        <w:tab/>
        <w:t>L’obbligo è in prevalenza condizionale e dipende dallo scenario: in Morte_001, 211 campi su 219 recano una condizione. Ogni stima che assuma una lista piatta di campi è per ciò stesso errata.</w:t>
      </w:r>
    </w:p>
    <w:p>
      <w:pPr>
        <w:pStyle w:val="ListParagraph"/>
        <w:jc w:val="both"/>
      </w:pPr>
      <w:r>
        <w:t>•</w:t>
        <w:tab/>
        <w:t>Gli obblighi non censiti sono 37, dei quali 24 soli sono campi dati; 9 sono allegati e 4 formule, che non appartengono al payload.</w:t>
      </w:r>
    </w:p>
    <w:p>
      <w:pPr>
        <w:pStyle w:val="ListParagraph"/>
        <w:jc w:val="both"/>
      </w:pPr>
      <w:r>
        <w:t>•</w:t>
        <w:tab/>
        <w:t>I divari si concentrano sulle fattispecie specializzate — trascrizione di sentenze, morte presunta, atti formati all’estero — mentre l’atto ordinario risulta coperto.</w:t>
      </w:r>
    </w:p>
    <w:p>
      <w:pPr>
        <w:pStyle w:val="ListParagraph"/>
        <w:jc w:val="both"/>
      </w:pPr>
      <w:r>
        <w:t>•</w:t>
        <w:tab/>
        <w:t>Tre fogli su dieci non recano alcun Codice Motore e non sono pertanto valutabili.</w:t>
      </w:r>
    </w:p>
    <w:p>
      <w:pPr>
        <w:jc w:val="both"/>
      </w:pPr>
      <w:r>
        <w:t>Se ne raccomanda quanto segue.</w:t>
      </w:r>
    </w:p>
    <w:tbl>
      <w:tblPr>
        <w:tblStyle w:val="GridTable1Light"/>
        <w:tblW w:type="auto" w:w="0"/>
        <w:tblLook w:firstColumn="1" w:firstRow="1" w:lastColumn="0" w:lastRow="0" w:noHBand="0" w:noVBand="1" w:val="04A0"/>
      </w:tblPr>
      <w:tblGrid>
        <w:gridCol w:w="3120"/>
        <w:gridCol w:w="3120"/>
        <w:gridCol w:w="3120"/>
      </w:tblGrid>
      <w:tr>
        <w:tc>
          <w:tcPr>
            <w:tcW w:type="dxa" w:w="3120"/>
          </w:tcPr>
          <w:p>
            <w:r/>
            <w:r>
              <w:rPr>
                <w:b/>
              </w:rPr>
              <w:t>ID</w:t>
            </w:r>
          </w:p>
        </w:tc>
        <w:tc>
          <w:tcPr>
            <w:tcW w:type="dxa" w:w="3120"/>
          </w:tcPr>
          <w:p>
            <w:r/>
            <w:r>
              <w:rPr>
                <w:b/>
              </w:rPr>
              <w:t>Raccomandazione</w:t>
            </w:r>
          </w:p>
        </w:tc>
        <w:tc>
          <w:tcPr>
            <w:tcW w:type="dxa" w:w="3120"/>
          </w:tcPr>
          <w:p>
            <w:r/>
            <w:r>
              <w:rPr>
                <w:b/>
              </w:rPr>
              <w:t>Priorità</w:t>
            </w:r>
          </w:p>
        </w:tc>
      </w:tr>
      <w:tr>
        <w:tc>
          <w:tcPr>
            <w:tcW w:type="dxa" w:w="3120"/>
          </w:tcPr>
          <w:p>
            <w:r/>
            <w:r>
              <w:t>RC-01</w:t>
            </w:r>
          </w:p>
        </w:tc>
        <w:tc>
          <w:tcPr>
            <w:tcW w:type="dxa" w:w="3120"/>
          </w:tcPr>
          <w:p>
            <w:r/>
            <w:r>
              <w:t>Sanare i tre fogli privi di Codice Motore, associandoli ai casi d’uso ANSC pertinenti. Senza tale associazione la ricognizione non può dirsi conclusa.</w:t>
            </w:r>
          </w:p>
        </w:tc>
        <w:tc>
          <w:tcPr>
            <w:tcW w:type="dxa" w:w="3120"/>
          </w:tcPr>
          <w:p>
            <w:r/>
            <w:r>
              <w:t>Alta</w:t>
            </w:r>
          </w:p>
        </w:tc>
      </w:tr>
      <w:tr>
        <w:tc>
          <w:tcPr>
            <w:tcW w:type="dxa" w:w="3120"/>
          </w:tcPr>
          <w:p>
            <w:r/>
            <w:r>
              <w:t>RC-02</w:t>
            </w:r>
          </w:p>
        </w:tc>
        <w:tc>
          <w:tcPr>
            <w:tcW w:type="dxa" w:w="3120"/>
          </w:tcPr>
          <w:p>
            <w:r/>
            <w:r>
              <w:t>Sottoporre a validazione di dominio i 29 campi di cui al § 8.2, al fine di consolidare il numero dei divari.</w:t>
            </w:r>
          </w:p>
        </w:tc>
        <w:tc>
          <w:tcPr>
            <w:tcW w:type="dxa" w:w="3120"/>
          </w:tcPr>
          <w:p>
            <w:r/>
            <w:r>
              <w:t>Alta</w:t>
            </w:r>
          </w:p>
        </w:tc>
      </w:tr>
      <w:tr>
        <w:tc>
          <w:tcPr>
            <w:tcW w:type="dxa" w:w="3120"/>
          </w:tcPr>
          <w:p>
            <w:r/>
            <w:r>
              <w:t>RC-03</w:t>
            </w:r>
          </w:p>
        </w:tc>
        <w:tc>
          <w:tcPr>
            <w:tcW w:type="dxa" w:w="3120"/>
          </w:tcPr>
          <w:p>
            <w:r/>
            <w:r>
              <w:t>Istruire separatamente gli obblighi documentali (allegati) e di redazione (formule), che non attengono al modello dati.</w:t>
            </w:r>
          </w:p>
        </w:tc>
        <w:tc>
          <w:tcPr>
            <w:tcW w:type="dxa" w:w="3120"/>
          </w:tcPr>
          <w:p>
            <w:r/>
            <w:r>
              <w:t>Media</w:t>
            </w:r>
          </w:p>
        </w:tc>
      </w:tr>
      <w:tr>
        <w:tc>
          <w:tcPr>
            <w:tcW w:type="dxa" w:w="3120"/>
          </w:tcPr>
          <w:p>
            <w:r/>
            <w:r>
              <w:t>RC-04</w:t>
            </w:r>
          </w:p>
        </w:tc>
        <w:tc>
          <w:tcPr>
            <w:tcW w:type="dxa" w:w="3120"/>
          </w:tcPr>
          <w:p>
            <w:r/>
            <w:r>
              <w:t>Trattare l’introduzione delle sezioni mancanti quali estensioni del modello e non quali aggiunte di campi, con conseguente riflesso sulla stima.</w:t>
            </w:r>
          </w:p>
        </w:tc>
        <w:tc>
          <w:tcPr>
            <w:tcW w:type="dxa" w:w="3120"/>
          </w:tcPr>
          <w:p>
            <w:r/>
            <w:r>
              <w:t>Media</w:t>
            </w:r>
          </w:p>
        </w:tc>
      </w:tr>
      <w:tr>
        <w:tc>
          <w:tcPr>
            <w:tcW w:type="dxa" w:w="3120"/>
          </w:tcPr>
          <w:p>
            <w:r/>
            <w:r>
              <w:t>RC-05</w:t>
            </w:r>
          </w:p>
        </w:tc>
        <w:tc>
          <w:tcPr>
            <w:tcW w:type="dxa" w:w="3120"/>
          </w:tcPr>
          <w:p>
            <w:r/>
            <w:r>
              <w:t>Assumere la disponibilità applicativa delle decodifiche quale prerequisito della trasmissione degli eventi, stante la richiesta congiunta di codice e descrizione (§ 7.3). Cfr. studio [R7].</w:t>
            </w:r>
          </w:p>
        </w:tc>
        <w:tc>
          <w:tcPr>
            <w:tcW w:type="dxa" w:w="3120"/>
          </w:tcPr>
          <w:p>
            <w:r/>
            <w:r>
              <w:t>Alta</w:t>
            </w:r>
          </w:p>
        </w:tc>
      </w:tr>
      <w:tr>
        <w:tc>
          <w:tcPr>
            <w:tcW w:type="dxa" w:w="3120"/>
          </w:tcPr>
          <w:p>
            <w:r/>
            <w:r>
              <w:t>RC-06</w:t>
            </w:r>
          </w:p>
        </w:tc>
        <w:tc>
          <w:tcPr>
            <w:tcW w:type="dxa" w:w="3120"/>
          </w:tcPr>
          <w:p>
            <w:r/>
            <w:r>
              <w:t>Riscontrare il mapping rispetto al modello dati effettivo di SIPO (§ 8.3).</w:t>
            </w:r>
          </w:p>
        </w:tc>
        <w:tc>
          <w:tcPr>
            <w:tcW w:type="dxa" w:w="3120"/>
          </w:tcPr>
          <w:p>
            <w:r/>
            <w:r>
              <w:t>Media</w:t>
            </w:r>
          </w:p>
        </w:tc>
      </w:tr>
      <w:tr>
        <w:tc>
          <w:tcPr>
            <w:tcW w:type="dxa" w:w="3120"/>
          </w:tcPr>
          <w:p>
            <w:r/>
            <w:r>
              <w:t>RC-07</w:t>
            </w:r>
          </w:p>
        </w:tc>
        <w:tc>
          <w:tcPr>
            <w:tcW w:type="dxa" w:w="3120"/>
          </w:tcPr>
          <w:p>
            <w:r/>
            <w:r>
              <w:t>Riapplicare il metodo agli altri domini dello stato civile, i cui mapping sono parimenti pubblicati da ANSC.</w:t>
            </w:r>
          </w:p>
        </w:tc>
        <w:tc>
          <w:tcPr>
            <w:tcW w:type="dxa" w:w="3120"/>
          </w:tcPr>
          <w:p>
            <w:r/>
            <w:r>
              <w:t>Bassa</w:t>
            </w:r>
          </w:p>
        </w:tc>
      </w:tr>
    </w:tbl>
    <w:p>
      <w:pPr>
        <w:pStyle w:val="Caption"/>
      </w:pPr>
      <w:r>
        <w:t>Tabella 6 – Raccomandazioni</w:t>
      </w:r>
    </w:p>
    <w:p>
      <w:pPr>
        <w:pStyle w:val="Heading2"/>
      </w:pPr>
      <w:r>
        <w:t>Punti aperti</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r>
              <w:rPr>
                <w:b/>
              </w:rPr>
              <w:t>ID</w:t>
            </w:r>
          </w:p>
        </w:tc>
        <w:tc>
          <w:tcPr>
            <w:tcW w:type="dxa" w:w="2340"/>
          </w:tcPr>
          <w:p>
            <w:r/>
            <w:r>
              <w:rPr>
                <w:b/>
              </w:rPr>
              <w:t>§</w:t>
            </w:r>
          </w:p>
        </w:tc>
        <w:tc>
          <w:tcPr>
            <w:tcW w:type="dxa" w:w="2340"/>
          </w:tcPr>
          <w:p>
            <w:r/>
            <w:r>
              <w:rPr>
                <w:b/>
              </w:rPr>
              <w:t>Elemento da verificare</w:t>
            </w:r>
          </w:p>
        </w:tc>
        <w:tc>
          <w:tcPr>
            <w:tcW w:type="dxa" w:w="2340"/>
          </w:tcPr>
          <w:p>
            <w:r/>
            <w:r>
              <w:rPr>
                <w:b/>
              </w:rPr>
              <w:t>Priorità</w:t>
            </w:r>
          </w:p>
        </w:tc>
      </w:tr>
      <w:tr>
        <w:tc>
          <w:tcPr>
            <w:tcW w:type="dxa" w:w="2340"/>
          </w:tcPr>
          <w:p>
            <w:r/>
            <w:r>
              <w:t>PD-01</w:t>
            </w:r>
          </w:p>
        </w:tc>
        <w:tc>
          <w:tcPr>
            <w:tcW w:type="dxa" w:w="2340"/>
          </w:tcPr>
          <w:p>
            <w:r/>
            <w:r>
              <w:t>6.1</w:t>
            </w:r>
          </w:p>
        </w:tc>
        <w:tc>
          <w:tcPr>
            <w:tcW w:type="dxa" w:w="2340"/>
          </w:tcPr>
          <w:p>
            <w:r/>
            <w:r>
              <w:t>Casi d’uso ANSC cui associare i tre fogli «fuori Roma» privi di Codice Motore.</w:t>
            </w:r>
          </w:p>
        </w:tc>
        <w:tc>
          <w:tcPr>
            <w:tcW w:type="dxa" w:w="2340"/>
          </w:tcPr>
          <w:p>
            <w:r/>
            <w:r>
              <w:t>Alta</w:t>
            </w:r>
          </w:p>
        </w:tc>
      </w:tr>
      <w:tr>
        <w:tc>
          <w:tcPr>
            <w:tcW w:type="dxa" w:w="2340"/>
          </w:tcPr>
          <w:p>
            <w:r/>
            <w:r>
              <w:t>PD-02</w:t>
            </w:r>
          </w:p>
        </w:tc>
        <w:tc>
          <w:tcPr>
            <w:tcW w:type="dxa" w:w="2340"/>
          </w:tcPr>
          <w:p>
            <w:r/>
            <w:r>
              <w:t>8.2</w:t>
            </w:r>
          </w:p>
        </w:tc>
        <w:tc>
          <w:tcPr>
            <w:tcW w:type="dxa" w:w="2340"/>
          </w:tcPr>
          <w:p>
            <w:r/>
            <w:r>
              <w:t>Esito della validazione di dominio sui 29 campi incerti.</w:t>
            </w:r>
          </w:p>
        </w:tc>
        <w:tc>
          <w:tcPr>
            <w:tcW w:type="dxa" w:w="2340"/>
          </w:tcPr>
          <w:p>
            <w:r/>
            <w:r>
              <w:t>Alta</w:t>
            </w:r>
          </w:p>
        </w:tc>
      </w:tr>
      <w:tr>
        <w:tc>
          <w:tcPr>
            <w:tcW w:type="dxa" w:w="2340"/>
          </w:tcPr>
          <w:p>
            <w:r/>
            <w:r>
              <w:t>PD-03</w:t>
            </w:r>
          </w:p>
        </w:tc>
        <w:tc>
          <w:tcPr>
            <w:tcW w:type="dxa" w:w="2340"/>
          </w:tcPr>
          <w:p>
            <w:r/>
            <w:r>
              <w:t>8.3</w:t>
            </w:r>
          </w:p>
        </w:tc>
        <w:tc>
          <w:tcPr>
            <w:tcW w:type="dxa" w:w="2340"/>
          </w:tcPr>
          <w:p>
            <w:r/>
            <w:r>
              <w:t>Riscontro fra il mapping documentale e il modello dati effettivo di SIPO (schema MATR_USR).</w:t>
            </w:r>
          </w:p>
        </w:tc>
        <w:tc>
          <w:tcPr>
            <w:tcW w:type="dxa" w:w="2340"/>
          </w:tcPr>
          <w:p>
            <w:r/>
            <w:r>
              <w:t>Media</w:t>
            </w:r>
          </w:p>
        </w:tc>
      </w:tr>
      <w:tr>
        <w:tc>
          <w:tcPr>
            <w:tcW w:type="dxa" w:w="2340"/>
          </w:tcPr>
          <w:p>
            <w:r/>
            <w:r>
              <w:t>PD-04</w:t>
            </w:r>
          </w:p>
        </w:tc>
        <w:tc>
          <w:tcPr>
            <w:tcW w:type="dxa" w:w="2340"/>
          </w:tcPr>
          <w:p>
            <w:r/>
            <w:r>
              <w:t>3</w:t>
            </w:r>
          </w:p>
        </w:tc>
        <w:tc>
          <w:tcPr>
            <w:tcW w:type="dxa" w:w="2340"/>
          </w:tcPr>
          <w:p>
            <w:r/>
            <w:r>
              <w:t>Regole di validazione applicate in esercizio da R009 e R023, non desumibili dal contratto.</w:t>
            </w:r>
          </w:p>
        </w:tc>
        <w:tc>
          <w:tcPr>
            <w:tcW w:type="dxa" w:w="2340"/>
          </w:tcPr>
          <w:p>
            <w:r/>
            <w:r>
              <w:t>Media</w:t>
            </w:r>
          </w:p>
        </w:tc>
      </w:tr>
      <w:tr>
        <w:tc>
          <w:tcPr>
            <w:tcW w:type="dxa" w:w="2340"/>
          </w:tcPr>
          <w:p>
            <w:r/>
            <w:r>
              <w:t>PD-05</w:t>
            </w:r>
          </w:p>
        </w:tc>
        <w:tc>
          <w:tcPr>
            <w:tcW w:type="dxa" w:w="2340"/>
          </w:tcPr>
          <w:p>
            <w:r/>
            <w:r>
              <w:t>7.2</w:t>
            </w:r>
          </w:p>
        </w:tc>
        <w:tc>
          <w:tcPr>
            <w:tcW w:type="dxa" w:w="2340"/>
          </w:tcPr>
          <w:p>
            <w:r/>
            <w:r>
              <w:t>Modalità di gestione degli allegati previste da ANSC e loro sostenibilità in SIPO.</w:t>
            </w:r>
          </w:p>
        </w:tc>
        <w:tc>
          <w:tcPr>
            <w:tcW w:type="dxa" w:w="2340"/>
          </w:tcPr>
          <w:p>
            <w:r/>
            <w:r>
              <w:t>Media</w:t>
            </w:r>
          </w:p>
        </w:tc>
      </w:tr>
    </w:tbl>
    <w:p>
      <w:pPr>
        <w:pStyle w:val="Caption"/>
      </w:pPr>
      <w:r>
        <w:t>Tabella 7 – Punti aperti</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