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La formazione di un atto: il percorso dell’operatore</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r/>
            <w:r>
              <w:t>Dipartimento Trasformazione Digitale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r/>
            <w:r>
              <w:t>IBM, TIM, Sistemi Informativi, Leonardo, Deloitte, Webgenesys, Engage, Netservice, We:Com, N&amp;C, Jacala Civitas, Intelligo</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r/>
            <w:r>
              <w:t>Sistemi Informativi S.r.l.</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r/>
            <w:r>
              <w:t>CIG B9DA959E80</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r/>
            <w:r>
              <w:t>CIG A02590F330 - Accordo Quadro avente ad oggetto servizi applicativi in ottica cloud e servizi di demand e PMO per le pubbliche amministrazioni locali - terza edizione - ID 2610 - Lotti 1</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r/>
            <w:r>
              <w:t>10/09/2026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r/>
            <w:r>
              <w:t>[codice documento da assegnare]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r/>
            <w:r>
              <w:t>[da assegnare]</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r/>
            <w:r>
              <w:t>06</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r/>
            <w:r>
              <w:t>[da assegnare]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r/>
            <w:r>
              <w:t>10/09/2026</w:t>
            </w:r>
          </w:p>
        </w:tc>
        <w:tc>
          <w:tcPr>
            <w:tcW w:w="661" w:type="pct"/>
            <w:shd w:val="clear" w:color="000000" w:fill="FFFFFF"/>
            <w:vAlign w:val="center"/>
          </w:tcPr>
          <w:p>
            <w:r/>
            <w:r>
              <w:t>0.1</w:t>
            </w:r>
          </w:p>
        </w:tc>
        <w:tc>
          <w:tcPr>
            <w:tcW w:w="1373" w:type="pct"/>
            <w:shd w:val="clear" w:color="000000" w:fill="FFFFFF"/>
            <w:vAlign w:val="center"/>
          </w:tcPr>
          <w:p>
            <w:r/>
            <w:r>
              <w:t>Tutti</w:t>
            </w:r>
          </w:p>
        </w:tc>
        <w:tc>
          <w:tcPr>
            <w:tcW w:w="2264" w:type="pct"/>
            <w:shd w:val="clear" w:color="000000" w:fill="FFFFFF"/>
            <w:vAlign w:val="center"/>
          </w:tcPr>
          <w:p>
            <w:r/>
            <w:r>
              <w:t>Prima stesura. Il percorso di formazione dell’atto in otto passi, con il flusso illustrato, le due decisioni che il percorso mette davanti — quando acquisire il token e quando firmare — e l’elenco delle funzioni oggi mancanti.</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rPr>
          <w:b w:val="0"/>
        </w:rPr>
        <w:t>Il presente documento descrive il percorso che un operatore dello stato civile compie per formare un atto quando SIPO opera in collaborazione con ANSC. Non aggiunge requisiti né decisioni architetturali: riprende quanto stabilito nell’analisi di integrazione e lo dispone nell’ordine in cui i fatti accadono davanti a chi lavora, dal menu iniziale all’atto firmato.</w:t>
      </w:r>
    </w:p>
    <w:p>
      <w:pPr/>
      <w:r>
        <w:rPr>
          <w:b w:val="0"/>
        </w:rPr>
        <w:t>La ragione di un documento a parte è che l’analisi tratta questi fatti per parti: la sessione in un capitolo, la configurazione in un altro, le firme in un terzo. Chi deve realizzare le maschere, o formare il personale, ha bisogno di vederli in fila, con l’indicazione di che cosa serve a ciascun passo e di che cosa accade se manca.</w:t>
      </w:r>
    </w:p>
    <w:p>
      <w:pPr/>
      <w:r>
        <w:rPr>
          <w:b w:val="0"/>
        </w:rPr>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pPr>
        <w:pStyle w:val="Heading1"/>
      </w:pPr>
      <w:r>
        <w:t>Il principio: si lavora in SIPO, ANSC è la destinazione</w:t>
      </w:r>
    </w:p>
    <w:p>
      <w:pPr/>
      <w:r>
        <w:rPr>
          <w:b w:val="0"/>
        </w:rPr>
        <w:t>L’impianto adottato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pPr/>
      <w:r>
        <w:rPr>
          <w:b w:val="0"/>
        </w:rPr>
        <w:t xml:space="preserve">Ne discende una proprietà che conviene tenere presente leggendo i passi che seguono: </w:t>
      </w:r>
      <w:r>
        <w:rPr>
          <w:b/>
        </w:rPr>
        <w:t>il lavoro dell’operatore non si sposta</w:t>
      </w:r>
      <w:r>
        <w:rPr>
          <w:b w:val="0"/>
        </w:rPr>
        <w:t>. Nessuno dei passi chiede di aprire un secondo applicativo, con una sola eccezione dichiarata — la generazione del codice di sessione, che ANSC consente solo dalla propria web app.</w:t>
      </w:r>
    </w:p>
    <w:p>
      <w:pPr/>
      <w:r>
        <w:rPr>
          <w:b w:val="0"/>
        </w:rPr>
        <w:t>Su otto passi, quattro chiamano ANSC e uno solo di questi è facoltativo. Gli altri tre restano interamente dentro SIPO.</w:t>
      </w:r>
    </w:p>
    <w:p>
      <w:pPr>
        <w:pStyle w:val="Heading1"/>
      </w:pPr>
      <w:r>
        <w:t>Il percorso in otto passi</w:t>
      </w:r>
    </w:p>
    <w:p>
      <w:pPr/>
      <w:r>
        <w:rPr>
          <w:b w:val="0"/>
        </w:rPr>
        <w:t>La figura riassume il percorso: a sinistra ciò che accade in SIPO, a destra ciò che si chiede ad ANSC, e in mezzo le due biforcazioni che il testo commenta.</w:t>
      </w:r>
    </w:p>
    <w:p>
      <w:pPr>
        <w:jc w:val="center"/>
      </w:pPr>
      <w:r>
        <w:drawing>
          <wp:inline xmlns:a="http://schemas.openxmlformats.org/drawingml/2006/main" xmlns:pic="http://schemas.openxmlformats.org/drawingml/2006/picture">
            <wp:extent cx="6035040" cy="5609492"/>
            <wp:docPr id="1468249206" name="Picture 1468249206"/>
            <wp:cNvGraphicFramePr>
              <a:graphicFrameLocks noChangeAspect="1"/>
            </wp:cNvGraphicFramePr>
            <a:graphic>
              <a:graphicData uri="http://schemas.openxmlformats.org/drawingml/2006/picture">
                <pic:pic>
                  <pic:nvPicPr>
                    <pic:cNvPr id="0" name="formazione_atto.png"/>
                    <pic:cNvPicPr/>
                  </pic:nvPicPr>
                  <pic:blipFill>
                    <a:blip r:embed="rId18"/>
                    <a:stretch>
                      <a:fillRect/>
                    </a:stretch>
                  </pic:blipFill>
                  <pic:spPr>
                    <a:xfrm>
                      <a:off x="0" y="0"/>
                      <a:ext cx="6035040" cy="5609492"/>
                    </a:xfrm>
                    <a:prstGeom prst="rect"/>
                  </pic:spPr>
                </pic:pic>
              </a:graphicData>
            </a:graphic>
          </wp:inline>
        </w:drawing>
      </w:r>
    </w:p>
    <w:p>
      <w:pPr/>
      <w:r>
        <w:rPr>
          <w:i/>
          <w:sz w:val="18"/>
        </w:rPr>
        <w:t>Il percorso di formazione dell’atto. Il tratteggio segnala il ramo di chi non acquisisce il token; la linea rossa il punto oltre il quale l’atto non si modifica più.</w:t>
      </w:r>
    </w:p>
    <w:p>
      <w:pPr>
        <w:pStyle w:val="Heading2"/>
      </w:pPr>
      <w:r>
        <w:t>Passo 1 — L’operatore sceglie l’operazione dal menu di SIPO</w:t>
      </w:r>
    </w:p>
    <w:p>
      <w:pPr/>
      <w:r>
        <w:rPr>
          <w:b w:val="0"/>
        </w:rPr>
        <w:t>Il percorso comincia dove è sempre cominciato: nel menu di SIPO l’operatore sceglie il tipo di atto da formare — una dichiarazione di morte in abitazione, una nascita in costanza di matrimonio, una trascrizione. Nulla, in questo passo, cambia rispetto a oggi.</w:t>
      </w:r>
    </w:p>
    <w:p>
      <w:pPr/>
      <w:r>
        <w:rPr>
          <w:b w:val="0"/>
        </w:rPr>
        <w:t>Cambia però ciò che la scelta mette in moto dietro le quinte. Il tipo atto scelto è registrato in CONF_TIPO_ATTI e porta con sé il Modello di atto e la maschera di immissione; sono i due valori con cui la configurazione dell’integrazione aggancia il lavoro dell’operatore. Da quel momento il componente sa quali casi d’uso di ANSC sono candidati, perché la configurazione ne dichiara uno o più per ciascun Modello.</w:t>
      </w:r>
    </w:p>
    <w:p>
      <w:pPr/>
      <w:r>
        <w:rPr>
          <w:b w:val="0"/>
        </w:rPr>
        <w:t>⚠️ La determinazione del caso d’uso non avviene però qui. Fra i candidati la scelta dipende dai dati dell’atto, che l’operatore non ha ancora immesso: avviene alla chiusura, ed è la ragione per cui il passo 5 può chiedere documenti che al passo 1 non erano prevedibili.</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nulla che l’operatore non abbia già.</w:t>
            </w:r>
          </w:p>
        </w:tc>
      </w:tr>
      <w:tr>
        <w:tc>
          <w:tcPr>
            <w:tcW w:type="dxa" w:w="2160"/>
          </w:tcPr>
          <w:p>
            <w:r/>
            <w:r>
              <w:rPr>
                <w:b w:val="0"/>
                <w:sz w:val="18"/>
              </w:rPr>
              <w:t>Che cosa produce</w:t>
            </w:r>
          </w:p>
        </w:tc>
        <w:tc>
          <w:tcPr>
            <w:tcW w:type="dxa" w:w="7200"/>
          </w:tcPr>
          <w:p>
            <w:r/>
            <w:r>
              <w:rPr>
                <w:b w:val="0"/>
                <w:sz w:val="18"/>
              </w:rPr>
              <w:t>il tipo atto, e con esso Modello e maschera.</w:t>
            </w:r>
          </w:p>
        </w:tc>
      </w:tr>
      <w:tr>
        <w:tc>
          <w:tcPr>
            <w:tcW w:type="dxa" w:w="2160"/>
          </w:tcPr>
          <w:p>
            <w:r/>
            <w:r>
              <w:rPr>
                <w:b w:val="0"/>
                <w:sz w:val="18"/>
              </w:rPr>
              <w:t>Se manca</w:t>
            </w:r>
          </w:p>
        </w:tc>
        <w:tc>
          <w:tcPr>
            <w:tcW w:type="dxa" w:w="7200"/>
          </w:tcPr>
          <w:p>
            <w:r/>
            <w:r>
              <w:rPr>
                <w:b w:val="0"/>
                <w:sz w:val="18"/>
              </w:rPr>
              <w:t>non si dà: è il punto di partenza.</w:t>
            </w:r>
          </w:p>
        </w:tc>
      </w:tr>
    </w:tbl>
    <w:p>
      <w:pPr>
        <w:pStyle w:val="Heading2"/>
      </w:pPr>
      <w:r>
        <w:t>Passo 2 — Viene richiesto di acquisire il token da ANSC</w:t>
      </w:r>
    </w:p>
    <w:p>
      <w:pPr/>
      <w:r>
        <w:rPr>
          <w:b w:val="0"/>
        </w:rPr>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pPr/>
      <w:r>
        <w:rPr>
          <w:b w:val="0"/>
        </w:rPr>
        <w:t>L’ufficiale copia il codice e lo consegna a SIPO, che lo trasmette al concentratore. Da quel momento e per le quattro ore successive il componente può rivolgersi ad ANSC per conto di quell’ufficiale, da quella postazione.</w:t>
      </w:r>
    </w:p>
    <w:p>
      <w:pPr/>
      <w:r>
        <w:rPr>
          <w:b w:val="0"/>
        </w:rPr>
        <w:t xml:space="preserve">⚠️ </w:t>
      </w:r>
      <w:r>
        <w:rPr>
          <w:b/>
        </w:rPr>
        <w:t>Il passo è facoltativo, e questa è una scelta di disegno, non una mancanza.</w:t>
      </w:r>
      <w:r>
        <w:rPr>
          <w:b w:val="0"/>
        </w:rPr>
        <w:t xml:space="preserve"> L’operatore che non acquisisce il token può ugualmente aprire l’atto e compilarlo per intero: gli sono precluse le sole funzioni che richiedono ANSC, e in particolare la ricerca del soggetto del passo 4. La ragione per cui la facoltà esiste è pratica: l’acquisizione richiede una autenticazione forte e non sempre l’ufficiale è alla postazione nel momento in cui la compilazione comincia.</w:t>
      </w:r>
    </w:p>
    <w:p>
      <w:pPr/>
      <w:r>
        <w:rPr>
          <w:b w:val="0"/>
        </w:rPr>
        <w:t xml:space="preserve">⚠️ </w:t>
      </w:r>
      <w:r>
        <w:rPr>
          <w:b/>
        </w:rPr>
        <w:t>La scelta però si paga alla fine, non subito.</w:t>
      </w:r>
      <w:r>
        <w:rPr>
          <w:b w:val="0"/>
        </w:rPr>
        <w:t xml:space="preserve"> È il punto che il presente documento tiene a rendere esplicito, perché nel percorso non se ne vede la conseguenza finché non è tardi: si veda il passo 4.</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l’ufficiale, di persona, con la propria identità digitale.</w:t>
            </w:r>
          </w:p>
        </w:tc>
      </w:tr>
      <w:tr>
        <w:tc>
          <w:tcPr>
            <w:tcW w:type="dxa" w:w="2160"/>
          </w:tcPr>
          <w:p>
            <w:r/>
            <w:r>
              <w:rPr>
                <w:b w:val="0"/>
                <w:sz w:val="18"/>
              </w:rPr>
              <w:t>Che cosa produce</w:t>
            </w:r>
          </w:p>
        </w:tc>
        <w:tc>
          <w:tcPr>
            <w:tcW w:type="dxa" w:w="7200"/>
          </w:tcPr>
          <w:p>
            <w:r/>
            <w:r>
              <w:rPr>
                <w:b w:val="0"/>
                <w:sz w:val="18"/>
              </w:rPr>
              <w:t>una sessione di quattro ore verso ANSC.</w:t>
            </w:r>
          </w:p>
        </w:tc>
      </w:tr>
      <w:tr>
        <w:tc>
          <w:tcPr>
            <w:tcW w:type="dxa" w:w="2160"/>
          </w:tcPr>
          <w:p>
            <w:r/>
            <w:r>
              <w:rPr>
                <w:b w:val="0"/>
                <w:sz w:val="18"/>
              </w:rPr>
              <w:t>Se manca</w:t>
            </w:r>
          </w:p>
        </w:tc>
        <w:tc>
          <w:tcPr>
            <w:tcW w:type="dxa" w:w="7200"/>
          </w:tcPr>
          <w:p>
            <w:r/>
            <w:r>
              <w:rPr>
                <w:b w:val="0"/>
                <w:sz w:val="18"/>
              </w:rPr>
              <w:t>l’atto si compila lo stesso; la ricerca in ANSC è inibita.</w:t>
            </w:r>
          </w:p>
        </w:tc>
      </w:tr>
    </w:tbl>
    <w:p>
      <w:pPr>
        <w:pStyle w:val="Heading2"/>
      </w:pPr>
      <w:r>
        <w:t>Passo 3 — L’operatore inserisce i metadati previsti da SIPO</w:t>
      </w:r>
    </w:p>
    <w:p>
      <w:pPr/>
      <w:r>
        <w:rPr>
          <w:b w:val="0"/>
        </w:rPr>
        <w:t>La compilazione avviene nelle maschere di SIPO, quelle di sempre. È il passo più lungo del percorso ed è anche quello in cui il presente progetto interviene di meno: l’operatore lavora come ha sempre lavorato, e il componente osserva senza intervenire.</w:t>
      </w:r>
    </w:p>
    <w:p>
      <w:pPr/>
      <w:r>
        <w:rPr>
          <w:b w:val="0"/>
        </w:rPr>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i dati dell’atto, come oggi.</w:t>
            </w:r>
          </w:p>
        </w:tc>
      </w:tr>
      <w:tr>
        <w:tc>
          <w:tcPr>
            <w:tcW w:type="dxa" w:w="2160"/>
          </w:tcPr>
          <w:p>
            <w:r/>
            <w:r>
              <w:rPr>
                <w:b w:val="0"/>
                <w:sz w:val="18"/>
              </w:rPr>
              <w:t>Che cosa produce</w:t>
            </w:r>
          </w:p>
        </w:tc>
        <w:tc>
          <w:tcPr>
            <w:tcW w:type="dxa" w:w="7200"/>
          </w:tcPr>
          <w:p>
            <w:r/>
            <w:r>
              <w:rPr>
                <w:b w:val="0"/>
                <w:sz w:val="18"/>
              </w:rPr>
              <w:t>l’atto salvato sulle tabelle di SIPO.</w:t>
            </w:r>
          </w:p>
        </w:tc>
      </w:tr>
      <w:tr>
        <w:tc>
          <w:tcPr>
            <w:tcW w:type="dxa" w:w="2160"/>
          </w:tcPr>
          <w:p>
            <w:r/>
            <w:r>
              <w:rPr>
                <w:b w:val="0"/>
                <w:sz w:val="18"/>
              </w:rPr>
              <w:t>Se manca</w:t>
            </w:r>
          </w:p>
        </w:tc>
        <w:tc>
          <w:tcPr>
            <w:tcW w:type="dxa" w:w="7200"/>
          </w:tcPr>
          <w:p>
            <w:r/>
            <w:r>
              <w:rPr>
                <w:b w:val="0"/>
                <w:sz w:val="18"/>
              </w:rPr>
              <w:t>le verifiche di SIPO già in esercizio segnalano l’incompletezza.</w:t>
            </w:r>
          </w:p>
        </w:tc>
      </w:tr>
    </w:tbl>
    <w:p>
      <w:pPr>
        <w:pStyle w:val="Heading2"/>
      </w:pPr>
      <w:r>
        <w:t>Passo 4 — Con il token valido si cercano gli intestatari in ANSC</w:t>
      </w:r>
    </w:p>
    <w:p>
      <w:pPr/>
      <w:r>
        <w:rPr>
          <w:b w:val="0"/>
        </w:rPr>
        <w:t>ANSC conosce le persone e le identifica con un proprio codice. Perché l’atto che stiamo formando si leghi correttamente alla storia di stato civile del soggetto, quel codice va recuperato e riportato nell’atto. È ciò che fa il servizio di consultazione, interrogato con i dati anagrafici che l’operatore ha appena immesso.</w:t>
      </w:r>
    </w:p>
    <w:p>
      <w:pPr/>
      <w:r>
        <w:rPr>
          <w:b w:val="0"/>
        </w:rPr>
        <w:t>Il recupero riguarda gli intestatari — il defunto per un atto di morte, il neonato e i genitori per una nascita — e avviene solo se la sessione del passo 2 è stata aperta.</w:t>
      </w:r>
    </w:p>
    <w:p>
      <w:pPr/>
      <w:r>
        <w:rPr>
          <w:b w:val="0"/>
        </w:rPr>
        <w:t xml:space="preserve">⚠️ </w:t>
      </w:r>
      <w:r>
        <w:rPr>
          <w:b/>
        </w:rPr>
        <w:t>Qui si vede il prezzo di aver saltato il passo 2.</w:t>
      </w:r>
      <w:r>
        <w:rPr>
          <w:b w:val="0"/>
        </w:rPr>
        <w:t xml:space="preserve"> 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pPr/>
      <w:r>
        <w:rPr>
          <w:b w:val="0"/>
        </w:rPr>
        <w:t xml:space="preserve">Ne discende una raccomandazione operativa che vale la pena scrivere: </w:t>
      </w:r>
      <w:r>
        <w:rPr>
          <w:b/>
        </w:rPr>
        <w:t>il token va acquisito prima di cominciare</w:t>
      </w:r>
      <w:r>
        <w:rPr>
          <w:b w:val="0"/>
        </w:rPr>
        <w:t>, non quando serve. Rimediare dopo costa più che prevenire.</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la sessione aperta e i dati anagrafici del soggetto.</w:t>
            </w:r>
          </w:p>
        </w:tc>
      </w:tr>
      <w:tr>
        <w:tc>
          <w:tcPr>
            <w:tcW w:type="dxa" w:w="2160"/>
          </w:tcPr>
          <w:p>
            <w:r/>
            <w:r>
              <w:rPr>
                <w:b w:val="0"/>
                <w:sz w:val="18"/>
              </w:rPr>
              <w:t>Che cosa produce</w:t>
            </w:r>
          </w:p>
        </w:tc>
        <w:tc>
          <w:tcPr>
            <w:tcW w:type="dxa" w:w="7200"/>
          </w:tcPr>
          <w:p>
            <w:r/>
            <w:r>
              <w:rPr>
                <w:b w:val="0"/>
                <w:sz w:val="18"/>
              </w:rPr>
              <w:t>l’identificativo nazionale del soggetto, riportato nell’atto.</w:t>
            </w:r>
          </w:p>
        </w:tc>
      </w:tr>
      <w:tr>
        <w:tc>
          <w:tcPr>
            <w:tcW w:type="dxa" w:w="2160"/>
          </w:tcPr>
          <w:p>
            <w:r/>
            <w:r>
              <w:rPr>
                <w:b w:val="0"/>
                <w:sz w:val="18"/>
              </w:rPr>
              <w:t>Se manca</w:t>
            </w:r>
          </w:p>
        </w:tc>
        <w:tc>
          <w:tcPr>
            <w:tcW w:type="dxa" w:w="7200"/>
          </w:tcPr>
          <w:p>
            <w:r/>
            <w:r>
              <w:rPr>
                <w:b w:val="0"/>
                <w:sz w:val="18"/>
              </w:rPr>
              <w:t>l’atto prosegue, ma il legame con la persona andrà stabilito a mano.</w:t>
            </w:r>
          </w:p>
        </w:tc>
      </w:tr>
    </w:tbl>
    <w:p>
      <w:pPr>
        <w:pStyle w:val="Heading2"/>
      </w:pPr>
      <w:r>
        <w:t>Passo 5 — Prima di chiudere si chiedono i dati e i documenti che ANSC richiede</w:t>
      </w:r>
    </w:p>
    <w:p>
      <w:pPr/>
      <w:r>
        <w:rPr>
          <w:b w:val="0"/>
        </w:rPr>
        <w:t>Alla fine della compilazione, e prima che l’atto si chiuda, il componente confronta ciò che l’operatore ha scritto con ciò che ANSC pretende per quel caso d’uso. È il momento in cui il caso d’uso viene determinato: la configurazione valuta, sui dati ormai presenti, quale dei casi candidati corrisponde all’atto in lavorazione.</w:t>
      </w:r>
    </w:p>
    <w:p>
      <w:pPr/>
      <w:r>
        <w:rPr>
          <w:b w:val="0"/>
        </w:rPr>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pPr/>
      <w:r>
        <w:rPr>
          <w:b w:val="0"/>
        </w:rPr>
        <w:t xml:space="preserve">⚠️ </w:t>
      </w:r>
      <w:r>
        <w:rPr>
          <w:b/>
        </w:rPr>
        <w:t>L’elenco dei documenti non è fisso: dipende dal caso d’uso determinato.</w:t>
      </w:r>
      <w:r>
        <w:rPr>
          <w:b w:val="0"/>
        </w:rPr>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pPr/>
      <w:r>
        <w:rPr>
          <w:b w:val="0"/>
        </w:rPr>
        <w:t>La verifica è locale e non consuma nulla: nessun servizio di ANSC viene invocato, e nessun identificativo nazionale viene assegnato. Serve a evitare che l’atto arrivi al deposito incompleto, quando l’errore costerebbe di più.</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l’atto compilato e la configurazione del caso d’uso.</w:t>
            </w:r>
          </w:p>
        </w:tc>
      </w:tr>
      <w:tr>
        <w:tc>
          <w:tcPr>
            <w:tcW w:type="dxa" w:w="2160"/>
          </w:tcPr>
          <w:p>
            <w:r/>
            <w:r>
              <w:rPr>
                <w:b w:val="0"/>
                <w:sz w:val="18"/>
              </w:rPr>
              <w:t>Che cosa produce</w:t>
            </w:r>
          </w:p>
        </w:tc>
        <w:tc>
          <w:tcPr>
            <w:tcW w:type="dxa" w:w="7200"/>
          </w:tcPr>
          <w:p>
            <w:r/>
            <w:r>
              <w:rPr>
                <w:b w:val="0"/>
                <w:sz w:val="18"/>
              </w:rPr>
              <w:t>l’elenco di ciò che manca, campo per campo e documento per documento.</w:t>
            </w:r>
          </w:p>
        </w:tc>
      </w:tr>
      <w:tr>
        <w:tc>
          <w:tcPr>
            <w:tcW w:type="dxa" w:w="2160"/>
          </w:tcPr>
          <w:p>
            <w:r/>
            <w:r>
              <w:rPr>
                <w:b w:val="0"/>
                <w:sz w:val="18"/>
              </w:rPr>
              <w:t>Se manca</w:t>
            </w:r>
          </w:p>
        </w:tc>
        <w:tc>
          <w:tcPr>
            <w:tcW w:type="dxa" w:w="7200"/>
          </w:tcPr>
          <w:p>
            <w:r/>
            <w:r>
              <w:rPr>
                <w:b w:val="0"/>
                <w:sz w:val="18"/>
              </w:rPr>
              <w:t>l’atto arriverebbe al deposito per essere rifiutato da ANSC.</w:t>
            </w:r>
          </w:p>
        </w:tc>
      </w:tr>
    </w:tbl>
    <w:p>
      <w:pPr>
        <w:pStyle w:val="Heading2"/>
      </w:pPr>
      <w:r>
        <w:t>Passo 6 — I file sono registrati in una struttura locale del Comune</w:t>
      </w:r>
    </w:p>
    <w:p>
      <w:pPr/>
      <w:r>
        <w:rPr>
          <w:b w:val="0"/>
        </w:rPr>
        <w:t>I documenti caricati sono conservati in un archivio del Comune — un archivio a oggetti o altra soluzione già nella disponibilità dell’amministrazione — e non nella base dati dell’atto. La scelta tiene separati i documenti dai dati e consente di governarne diversamente conservazione e accesso.</w:t>
      </w:r>
    </w:p>
    <w:p>
      <w:pPr/>
      <w:r>
        <w:rPr>
          <w:b w:val="0"/>
        </w:rPr>
        <w:t xml:space="preserve">Da lì i file sono trasmessi ad ANSC, che li sottopone a scansione antivirus prima di accettarli. ⚠️ </w:t>
      </w:r>
      <w:r>
        <w:rPr>
          <w:b/>
        </w:rPr>
        <w:t>La scansione non è immediata</w:t>
      </w:r>
      <w:r>
        <w:rPr>
          <w:b w:val="0"/>
        </w:rPr>
        <w:t>: il documento assume uno stato che evolve, e solo quando risulta acquisito l’atto può proseguire. È l’unico passo del percorso in cui il componente attende un esito che non dipende da sé, e la maschera deve dirlo all’operatore invece di sembrare bloccata.</w:t>
      </w:r>
    </w:p>
    <w:p>
      <w:pPr/>
      <w:r>
        <w:rPr>
          <w:b w:val="0"/>
        </w:rPr>
        <w:t xml:space="preserve">⚠️ Va segnalato che oggi </w:t>
      </w:r>
      <w:r>
        <w:rPr>
          <w:b/>
        </w:rPr>
        <w:t>SIPO non gestisce documenti allegati agli atti di stato civile</w:t>
      </w:r>
      <w:r>
        <w:rPr>
          <w:b w:val="0"/>
        </w:rPr>
        <w:t>: non esistono né il file, né il tipo, né lo stato. Le maschere di caricamento sono quindi da realizzare, e con esse l’archivio e il raccordo con ANSC.</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un archivio documentale del Comune e le maschere di caricamento.</w:t>
            </w:r>
          </w:p>
        </w:tc>
      </w:tr>
      <w:tr>
        <w:tc>
          <w:tcPr>
            <w:tcW w:type="dxa" w:w="2160"/>
          </w:tcPr>
          <w:p>
            <w:r/>
            <w:r>
              <w:rPr>
                <w:b w:val="0"/>
                <w:sz w:val="18"/>
              </w:rPr>
              <w:t>Che cosa produce</w:t>
            </w:r>
          </w:p>
        </w:tc>
        <w:tc>
          <w:tcPr>
            <w:tcW w:type="dxa" w:w="7200"/>
          </w:tcPr>
          <w:p>
            <w:r/>
            <w:r>
              <w:rPr>
                <w:b w:val="0"/>
                <w:sz w:val="18"/>
              </w:rPr>
              <w:t>i documenti acquisiti da ANSC e pronti per il deposito.</w:t>
            </w:r>
          </w:p>
        </w:tc>
      </w:tr>
      <w:tr>
        <w:tc>
          <w:tcPr>
            <w:tcW w:type="dxa" w:w="2160"/>
          </w:tcPr>
          <w:p>
            <w:r/>
            <w:r>
              <w:rPr>
                <w:b w:val="0"/>
                <w:sz w:val="18"/>
              </w:rPr>
              <w:t>Se manca</w:t>
            </w:r>
          </w:p>
        </w:tc>
        <w:tc>
          <w:tcPr>
            <w:tcW w:type="dxa" w:w="7200"/>
          </w:tcPr>
          <w:p>
            <w:r/>
            <w:r>
              <w:rPr>
                <w:b w:val="0"/>
                <w:sz w:val="18"/>
              </w:rPr>
              <w:t>l’atto resta in attesa: senza documenti acquisiti non si prosegue.</w:t>
            </w:r>
          </w:p>
        </w:tc>
      </w:tr>
    </w:tbl>
    <w:p>
      <w:pPr>
        <w:pStyle w:val="Heading2"/>
      </w:pPr>
      <w:r>
        <w:t>Passo 7 — SIPO produce l’atto, che viene depositato e firmato</w:t>
      </w:r>
    </w:p>
    <w:p>
      <w:pPr/>
      <w:r>
        <w:rPr>
          <w:b w:val="0"/>
        </w:rPr>
        <w:t xml:space="preserve">A questo punto l’atto è completo e il componente lo costruisce nella forma che ANSC attende, prendendo ciascun valore dalla colonna di SIPO che la configurazione indica. Il risultato è depositato: </w:t>
      </w:r>
      <w:r>
        <w:rPr>
          <w:b/>
        </w:rPr>
        <w:t>è il momento in cui l’atto entra in ANSC e riceve l’identificativo nazionale</w:t>
      </w:r>
      <w:r>
        <w:rPr>
          <w:b w:val="0"/>
        </w:rPr>
        <w:t>, e da qui in avanti esiste in due luoghi.</w:t>
      </w:r>
    </w:p>
    <w:p>
      <w:pPr/>
      <w:r>
        <w:rPr>
          <w:b w:val="0"/>
        </w:rPr>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pPr/>
      <w:r>
        <w:rPr>
          <w:b w:val="0"/>
        </w:rPr>
        <w:t>⚠️ Il deposito non è una prenotazione: l’atto depositato esiste in ANSC come bozza, con un identificativo già consumato. Se dopo il deposito ci si accorge di un errore, la bozza va annullata esplicitamente — non basta abbandonarla.</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l’atto completo, i documenti acquisiti, le credenziali di firma.</w:t>
            </w:r>
          </w:p>
        </w:tc>
      </w:tr>
      <w:tr>
        <w:tc>
          <w:tcPr>
            <w:tcW w:type="dxa" w:w="2160"/>
          </w:tcPr>
          <w:p>
            <w:r/>
            <w:r>
              <w:rPr>
                <w:b w:val="0"/>
                <w:sz w:val="18"/>
              </w:rPr>
              <w:t>Che cosa produce</w:t>
            </w:r>
          </w:p>
        </w:tc>
        <w:tc>
          <w:tcPr>
            <w:tcW w:type="dxa" w:w="7200"/>
          </w:tcPr>
          <w:p>
            <w:r/>
            <w:r>
              <w:rPr>
                <w:b w:val="0"/>
                <w:sz w:val="18"/>
              </w:rPr>
              <w:t>l’identificativo nazionale dell’atto e le firme.</w:t>
            </w:r>
          </w:p>
        </w:tc>
      </w:tr>
      <w:tr>
        <w:tc>
          <w:tcPr>
            <w:tcW w:type="dxa" w:w="2160"/>
          </w:tcPr>
          <w:p>
            <w:r/>
            <w:r>
              <w:rPr>
                <w:b w:val="0"/>
                <w:sz w:val="18"/>
              </w:rPr>
              <w:t>Se manca</w:t>
            </w:r>
          </w:p>
        </w:tc>
        <w:tc>
          <w:tcPr>
            <w:tcW w:type="dxa" w:w="7200"/>
          </w:tcPr>
          <w:p>
            <w:r/>
            <w:r>
              <w:rPr>
                <w:b w:val="0"/>
                <w:sz w:val="18"/>
              </w:rPr>
              <w:t>l’atto resta bozza in ANSC e va annullato, non abbandonato.</w:t>
            </w:r>
          </w:p>
        </w:tc>
      </w:tr>
    </w:tbl>
    <w:p>
      <w:pPr>
        <w:pStyle w:val="Heading2"/>
      </w:pPr>
      <w:r>
        <w:t>Passo 8 — Avviata la firma, l’atto non è più modificabile</w:t>
      </w:r>
    </w:p>
    <w:p>
      <w:pPr/>
      <w:r>
        <w:rPr>
          <w:b w:val="0"/>
        </w:rPr>
        <w:t>Con l’avvio del processo di firma l’atto diventa immutabile. Non è una scelta del progetto ma una proprietà di ANSC: un atto firmato è un atto formato, e ciò che è formato non si modifica — si annota, si rettifica, si annulla, e ciascuna di queste è un procedimento con le proprie regole.</w:t>
      </w:r>
    </w:p>
    <w:p>
      <w:pPr/>
      <w:r>
        <w:rPr>
          <w:b w:val="0"/>
        </w:rPr>
        <w:t xml:space="preserve">⚠️ </w:t>
      </w:r>
      <w:r>
        <w:rPr>
          <w:b/>
        </w:rPr>
        <w:t>Qui il percorso incontra la prassi attuale di Roma, e la contraddice.</w:t>
      </w:r>
      <w:r>
        <w:rPr>
          <w:b w:val="0"/>
        </w:rPr>
        <w:t xml:space="preserve"> Oggi l’ufficio può correggere i dati di un atto fino alla mezzanotte del giorno in cui è stato redatto: è una finestra di tolleranza che assorbe gli errori materiali senza aprire procedimenti. Con ANSC quella finestra non esiste più: si chiude quando comincia la firma.</w:t>
      </w:r>
    </w:p>
    <w:p>
      <w:pPr/>
      <w:r>
        <w:rPr>
          <w:b w:val="0"/>
        </w:rPr>
        <w:t xml:space="preserve">La contraddizione non si risolve con una scelta tecnica, perché nessuna delle due parti può cedere: ANSC non consente di modificare un atto firmato, e il Comune non può rinunciare a correggere un errore materiale. Si risolve decidendo </w:t>
      </w:r>
      <w:r>
        <w:rPr>
          <w:b/>
        </w:rPr>
        <w:t>quando firmare</w:t>
      </w:r>
      <w:r>
        <w:rPr>
          <w:b w:val="0"/>
        </w:rPr>
        <w:t>. Le strade praticabili sono tre, e vanno valutate con l’ufficio.</w:t>
      </w:r>
    </w:p>
    <w:tbl>
      <w:tblPr>
        <w:tblStyle w:val="TableGrid"/>
        <w:tblW w:type="auto" w:w="0"/>
        <w:tblLook w:firstColumn="1" w:firstRow="1" w:lastColumn="0" w:lastRow="0" w:noHBand="0" w:noVBand="1" w:val="04A0"/>
      </w:tblPr>
      <w:tblGrid>
        <w:gridCol w:w="4680"/>
        <w:gridCol w:w="4680"/>
      </w:tblGrid>
      <w:tr>
        <w:tc>
          <w:tcPr>
            <w:tcW w:type="dxa" w:w="2160"/>
          </w:tcPr>
          <w:p>
            <w:r>
              <w:t>In sintesi</w:t>
            </w:r>
            <w:r>
              <w:rPr>
                <w:b/>
                <w:sz w:val="18"/>
              </w:rPr>
            </w:r>
          </w:p>
        </w:tc>
        <w:tc>
          <w:tcPr>
            <w:tcW w:type="dxa" w:w="7200"/>
          </w:tcPr>
          <w:p>
            <w:r/>
            <w:r>
              <w:rPr>
                <w:b/>
                <w:sz w:val="18"/>
              </w:rPr>
            </w:r>
          </w:p>
        </w:tc>
      </w:tr>
      <w:tr>
        <w:tc>
          <w:tcPr>
            <w:tcW w:type="dxa" w:w="2160"/>
          </w:tcPr>
          <w:p>
            <w:r/>
            <w:r>
              <w:rPr>
                <w:b w:val="0"/>
                <w:sz w:val="18"/>
              </w:rPr>
              <w:t>Che cosa serve</w:t>
            </w:r>
          </w:p>
        </w:tc>
        <w:tc>
          <w:tcPr>
            <w:tcW w:type="dxa" w:w="7200"/>
          </w:tcPr>
          <w:p>
            <w:r/>
            <w:r>
              <w:rPr>
                <w:b w:val="0"/>
                <w:sz w:val="18"/>
              </w:rPr>
              <w:t>una decisione organizzativa, non una funzione.</w:t>
            </w:r>
          </w:p>
        </w:tc>
      </w:tr>
      <w:tr>
        <w:tc>
          <w:tcPr>
            <w:tcW w:type="dxa" w:w="2160"/>
          </w:tcPr>
          <w:p>
            <w:r/>
            <w:r>
              <w:rPr>
                <w:b w:val="0"/>
                <w:sz w:val="18"/>
              </w:rPr>
              <w:t>Che cosa produce</w:t>
            </w:r>
          </w:p>
        </w:tc>
        <w:tc>
          <w:tcPr>
            <w:tcW w:type="dxa" w:w="7200"/>
          </w:tcPr>
          <w:p>
            <w:r/>
            <w:r>
              <w:rPr>
                <w:b w:val="0"/>
                <w:sz w:val="18"/>
              </w:rPr>
              <w:t>l’atto formato, valido e immutabile.</w:t>
            </w:r>
          </w:p>
        </w:tc>
      </w:tr>
      <w:tr>
        <w:tc>
          <w:tcPr>
            <w:tcW w:type="dxa" w:w="2160"/>
          </w:tcPr>
          <w:p>
            <w:r/>
            <w:r>
              <w:rPr>
                <w:b w:val="0"/>
                <w:sz w:val="18"/>
              </w:rPr>
              <w:t>Se manca</w:t>
            </w:r>
          </w:p>
        </w:tc>
        <w:tc>
          <w:tcPr>
            <w:tcW w:type="dxa" w:w="7200"/>
          </w:tcPr>
          <w:p>
            <w:r/>
            <w:r>
              <w:rPr>
                <w:b w:val="0"/>
                <w:sz w:val="18"/>
              </w:rPr>
              <w:t>l’atto resta depositato ma non formato: nessun effetto giuridico.</w:t>
            </w:r>
          </w:p>
        </w:tc>
      </w:tr>
    </w:tbl>
    <w:p>
      <w:pPr>
        <w:pStyle w:val="Heading1"/>
      </w:pPr>
      <w:r>
        <w:t>Le due decisioni che il percorso mette davanti</w:t>
      </w:r>
    </w:p>
    <w:p>
      <w:pPr>
        <w:pStyle w:val="Heading2"/>
      </w:pPr>
      <w:r>
        <w:t>Quando acquisire il token</w:t>
      </w:r>
    </w:p>
    <w:p>
      <w:pPr/>
      <w:r>
        <w:rPr>
          <w:b w:val="0"/>
        </w:rPr>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pPr/>
      <w:r>
        <w:rPr>
          <w:b w:val="0"/>
        </w:rPr>
        <w:t xml:space="preserve">La raccomandazione è quindi che l’acquisizione del token sia parte dell’apertura del lavoro e non un passo da rimandare: </w:t>
      </w:r>
      <w:r>
        <w:rPr>
          <w:b/>
        </w:rPr>
        <w:t>prima di cominciare, non quando serve</w:t>
      </w:r>
      <w:r>
        <w:rPr>
          <w:b w:val="0"/>
        </w:rPr>
        <w:t>. Dove ciò non sia possibile, la maschera dovrebbe segnalare in modo esplicito che l’atto sta procedendo senza il legame con il registro nazionale, e quali conseguenze ne derivano.</w:t>
      </w:r>
    </w:p>
    <w:p>
      <w:pPr>
        <w:pStyle w:val="Heading2"/>
      </w:pPr>
      <w:r>
        <w:t>Quando firmare</w:t>
      </w:r>
    </w:p>
    <w:p>
      <w:pPr/>
      <w:r>
        <w:rPr>
          <w:b w:val="0"/>
        </w:rPr>
        <w:t>L’ottavo passo contraddice una prassi consolidata: a Roma un atto si corregge fino alla mezzanotte del giorno in cui è redatto. Con ANSC la finestra si chiude all’avvio della firma, e dopo la correzione non è più una modifica ma un procedimento.</w:t>
      </w:r>
    </w:p>
    <w:p>
      <w:pPr/>
      <w:r>
        <w:rPr>
          <w:b w:val="0"/>
        </w:rPr>
        <w:t>Nessuna delle due parti può cedere — ANSC non consente di modificare un atto firmato, il Comune non può rinunciare a correggere un errore materiale — e quindi la questione non si risolve tecnicamente ma decidendo quando firmare. Le strade praticabili sono tre.</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sz w:val="18"/>
              </w:rPr>
              <w:t>Strada</w:t>
            </w:r>
          </w:p>
        </w:tc>
        <w:tc>
          <w:tcPr>
            <w:tcW w:type="dxa" w:w="3744"/>
          </w:tcPr>
          <w:p>
            <w:r/>
            <w:r>
              <w:rPr>
                <w:b/>
                <w:sz w:val="18"/>
              </w:rPr>
              <w:t>In che consiste</w:t>
            </w:r>
          </w:p>
        </w:tc>
        <w:tc>
          <w:tcPr>
            <w:tcW w:type="dxa" w:w="3744"/>
          </w:tcPr>
          <w:p>
            <w:r/>
            <w:r>
              <w:rPr>
                <w:b/>
                <w:sz w:val="18"/>
              </w:rPr>
              <w:t>Che cosa costa</w:t>
            </w:r>
          </w:p>
        </w:tc>
      </w:tr>
      <w:tr>
        <w:tc>
          <w:tcPr>
            <w:tcW w:type="dxa" w:w="2160"/>
          </w:tcPr>
          <w:p>
            <w:r/>
            <w:r>
              <w:rPr>
                <w:b w:val="0"/>
                <w:sz w:val="18"/>
              </w:rPr>
              <w:t>Allineare la prassi</w:t>
            </w:r>
          </w:p>
        </w:tc>
        <w:tc>
          <w:tcPr>
            <w:tcW w:type="dxa" w:w="3744"/>
          </w:tcPr>
          <w:p>
            <w:r/>
            <w:r>
              <w:rPr>
                <w:b w:val="0"/>
                <w:sz w:val="18"/>
              </w:rPr>
              <w:t>La correzione dopo la firma diventa un procedimento, come per ogni atto formato.</w:t>
            </w:r>
          </w:p>
        </w:tc>
        <w:tc>
          <w:tcPr>
            <w:tcW w:type="dxa" w:w="3744"/>
          </w:tcPr>
          <w:p>
            <w:r/>
            <w:r>
              <w:rPr>
                <w:b w:val="0"/>
                <w:sz w:val="18"/>
              </w:rPr>
              <w:t>Formazione e cambio di abitudini per gli uffici; più procedimenti di rettifica per errori che oggi si correggevano senza traccia.</w:t>
            </w:r>
          </w:p>
        </w:tc>
      </w:tr>
      <w:tr>
        <w:tc>
          <w:tcPr>
            <w:tcW w:type="dxa" w:w="2160"/>
          </w:tcPr>
          <w:p>
            <w:r/>
            <w:r>
              <w:rPr>
                <w:b w:val="0"/>
                <w:sz w:val="18"/>
              </w:rPr>
              <w:t>Ritardare la firma</w:t>
            </w:r>
          </w:p>
        </w:tc>
        <w:tc>
          <w:tcPr>
            <w:tcW w:type="dxa" w:w="3744"/>
          </w:tcPr>
          <w:p>
            <w:r/>
            <w:r>
              <w:rPr>
                <w:b w:val="0"/>
                <w:sz w:val="18"/>
              </w:rPr>
              <w:t>L’atto si deposita subito e si firma a fine giornata, conservando di fatto la finestra di tolleranza.</w:t>
            </w:r>
          </w:p>
        </w:tc>
        <w:tc>
          <w:tcPr>
            <w:tcW w:type="dxa" w:w="3744"/>
          </w:tcPr>
          <w:p>
            <w:r/>
            <w:r>
              <w:rPr>
                <w:b w:val="0"/>
                <w:sz w:val="18"/>
              </w:rPr>
              <w:t>Gli atti restano in bozza per ore: serve un presidio che garantisca che nessuno resti non firmato, e i termini di legge non si fermano.</w:t>
            </w:r>
          </w:p>
        </w:tc>
      </w:tr>
      <w:tr>
        <w:tc>
          <w:tcPr>
            <w:tcW w:type="dxa" w:w="2160"/>
          </w:tcPr>
          <w:p>
            <w:r/>
            <w:r>
              <w:rPr>
                <w:b w:val="0"/>
                <w:sz w:val="18"/>
              </w:rPr>
              <w:t>Distinguere per tipo di errore</w:t>
            </w:r>
          </w:p>
        </w:tc>
        <w:tc>
          <w:tcPr>
            <w:tcW w:type="dxa" w:w="3744"/>
          </w:tcPr>
          <w:p>
            <w:r/>
            <w:r>
              <w:rPr>
                <w:b w:val="0"/>
                <w:sz w:val="18"/>
              </w:rPr>
              <w:t>Errori materiali evidenti entro la giornata sulla bozza non ancora firmata; tutto il resto per procedimento.</w:t>
            </w:r>
          </w:p>
        </w:tc>
        <w:tc>
          <w:tcPr>
            <w:tcW w:type="dxa" w:w="3744"/>
          </w:tcPr>
          <w:p>
            <w:r/>
            <w:r>
              <w:rPr>
                <w:b w:val="0"/>
                <w:sz w:val="18"/>
              </w:rPr>
              <w:t>Richiede una regola chiara su che cosa sia «materiale»: senza, la distinzione la fa l’operatore, e non è una decisione che gli competa.</w:t>
            </w:r>
          </w:p>
        </w:tc>
      </w:tr>
    </w:tbl>
    <w:p>
      <w:pPr/>
      <w:r>
        <w:rPr>
          <w:b w:val="0"/>
        </w:rPr>
        <w:t>⚠️ La scelta compete all’ufficio e non al progetto. Va però compiuta prima dell’avvio in esercizio, perché determina la formazione del personale, il testo delle maschere e il presidio da mettere in campo: la seconda strada, in particolare, richiede che qualcuno garantisca ogni sera che nessun atto sia rimasto non firmato.</w:t>
      </w:r>
    </w:p>
    <w:p>
      <w:pPr>
        <w:pStyle w:val="Heading1"/>
      </w:pPr>
      <w:r>
        <w:t>Che cosa manca oggi per percorrere questi passi</w:t>
      </w:r>
    </w:p>
    <w:p>
      <w:pPr/>
      <w:r>
        <w:rPr>
          <w:b w:val="0"/>
        </w:rPr>
        <w:t>Il percorso descritto poggia su funzioni che in parte non esistono ancora. Si elencano qui perché siano visibili come lavoro da fare e non come dettaglio realizzativo.</w:t>
      </w:r>
    </w:p>
    <w:p>
      <w:pPr>
        <w:pStyle w:val="ListParagraph"/>
      </w:pPr>
      <w:r>
        <w:rPr>
          <w:b/>
        </w:rPr>
        <w:t xml:space="preserve">Le maschere di caricamento dei documenti. </w:t>
      </w:r>
      <w:r>
        <w:rPr>
          <w:b w:val="0"/>
        </w:rPr>
        <w:t>SIPO non gestisce allegati agli atti di stato civile: non esistono il file, il tipo né lo stato. Vanno realizzate le maschere, l’archivio e l’attesa della scansione.</w:t>
      </w:r>
    </w:p>
    <w:p>
      <w:pPr>
        <w:pStyle w:val="ListParagraph"/>
      </w:pPr>
      <w:r>
        <w:rPr>
          <w:b/>
        </w:rPr>
        <w:t xml:space="preserve">I campi che ANSC richiede e SIPO non prevede. </w:t>
      </w:r>
      <w:r>
        <w:rPr>
          <w:b w:val="0"/>
        </w:rPr>
        <w:t>Al passo 5 vanno chiesti all’operatore: la loro individuazione è il lavoro di mappatura in corso, e cambia da caso d’uso a caso d’uso.</w:t>
      </w:r>
    </w:p>
    <w:p>
      <w:pPr>
        <w:pStyle w:val="ListParagraph"/>
      </w:pPr>
      <w:r>
        <w:rPr>
          <w:b/>
        </w:rPr>
        <w:t xml:space="preserve">La consegna del codice di sessione. </w:t>
      </w:r>
      <w:r>
        <w:rPr>
          <w:b w:val="0"/>
        </w:rPr>
        <w:t>Occorre il punto in cui l’operatore incolla il codice generato sulla web app e la maschera che ne mostra il tempo residuo, perché la sessione dura quattro ore.</w:t>
      </w:r>
    </w:p>
    <w:p>
      <w:pPr>
        <w:pStyle w:val="ListParagraph"/>
      </w:pPr>
      <w:r>
        <w:rPr>
          <w:b/>
        </w:rPr>
        <w:t xml:space="preserve">La segnalazione dello stato dell’atto in ANSC. </w:t>
      </w:r>
      <w:r>
        <w:rPr>
          <w:b w:val="0"/>
        </w:rPr>
        <w:t>Dal deposito in avanti l’atto esiste anche altrove: le maschere di ricerca e di dettaglio devono mostrarne l’identificativo nazionale e lo stato.</w:t>
      </w:r>
    </w:p>
    <w:p>
      <w:pPr/>
      <w:r>
        <w:rPr>
          <w:b w:val="0"/>
        </w:rPr>
        <w:t>Nessuna di queste è una funzione grande. Insieme però costituiscono la differenza fra un atto che si forma soltanto in SIPO e un atto che si forma in SIPO e vive anche in ANSC, ed è su di esse che si misura l’impegno di realizzazione del percorso qui descritto.</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