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Area Stato Civile</w:t>
      </w:r>
    </w:p>
    <w:p w14:paraId="71440EED" w14:textId="3A30D41E" w:rsidR="006116EA" w:rsidRDefault="006116EA" w:rsidP="006116EA">
      <w:pPr>
        <w:pStyle w:val="Title"/>
        <w:jc w:val="center"/>
        <w:rPr>
          <w:lang w:val="it-IT"/>
        </w:rPr>
      </w:pPr>
      <w:r>
        <w:rPr>
          <w:lang w:val="it-IT"/>
        </w:rPr>
        <w:t>“Decodifiche ANSC”</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Studio di fattibilità tecnologica per la distribuzione applicativa delle tabelle di decodifica ANSC</w:t>
      </w:r>
      <w:r w:rsidR="00E260B4">
        <w:rPr>
          <w:lang w:val="it-IT"/>
        </w:rPr>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r>
              <w:t>Dipartimento Trasformazione Digitale – Roma Capitale</w:t>
            </w: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r>
              <w:t>[DA VERIFICARE: RTI di riferimento]</w:t>
            </w: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r>
              <w:t>[DA VERIFICARE: società redattrice]</w:t>
            </w: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r>
              <w:t>[DA VERIFICARE: estremi del contratto esecutivo]</w:t>
            </w: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r>
              <w:t>[DA VERIFICARE: accordo quadro di riferimento]</w:t>
            </w: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r>
              <w:t>Area Stato Civile – Decodifiche ANSC</w:t>
            </w: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r>
              <w:t>16/07/2026</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r>
              <w:t>0.1</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r>
              <w:t>Studio di fattibilità tecnologica – Distribuzione applicativa delle tabelle di decodifica ANSC</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r>
              <w:t>[DA VERIFICARE: da aggiornare a impaginazione definitiva]</w:t>
            </w: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r>
              <w:t>[DA VERIFICARE: codice area applicativa]</w:t>
            </w: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r>
              <w:t>[DA VERIFICARE: codice asset]</w:t>
            </w: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r>
              <w:t>[DA VERIFICARE: nome redattore]</w:t>
            </w: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r>
              <w:t>[DA VERIFICARE: nome validatore]</w:t>
            </w: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r>
              <w:t>[DA VERIFICARE: nome approvatore]</w:t>
            </w: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16/07/2026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0.1</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Tutti</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Prima emissione. Studio di fattibilità sulla distribuzione delle decodifiche ANSC.</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r>
            <w:fldChar w:fldCharType="begin" w:dirty="true"/>
          </w:r>
          <w:r>
            <w:instrText xml:space="preserve"> TOC \o "1-3" \z \u \h </w:instrText>
          </w:r>
          <w:r>
            <w:fldChar w:fldCharType="separate"/>
          </w:r>
          <w:r>
            <w:t>Aggiornare il sommario: selezionare e premere F9.</w:t>
          </w: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pPr>
        <w:jc w:val="both"/>
      </w:pPr>
      <w:r>
        <w:t>Il presente documento espone lo studio di fattibilità tecnologica relativo alla distribuzione applicativa delle tabelle di decodifica dell’Archivio Nazionale dello Stato Civile (ANSC) verso i sistemi informativi di Roma Capitale. Lo studio nasce da un quesito specifico: individuare una soluzione tecnologicamente sostenibile, aggiornata e moderna che renda tali strutture dati disponibili ai diversi sistemi consumatori, valutando in particolare l’ipotesi iniziale di adozione di una cache distribuita (Redis).</w:t>
      </w:r>
    </w:p>
    <w:p>
      <w:pPr>
        <w:jc w:val="both"/>
      </w:pPr>
      <w:r>
        <w:t>Il documento non costituisce un Documento di Analisi e Disegno (DAD): non descrive il disegno di dettaglio di una soluzione approvata, ma istruisce la scelta architetturale a monte, fornendo le evidenze quantitative necessarie a motivarla. Ne eredita tuttavia forma, stili e struttura documentale, in conformità allo standard documentale del Dipartimento.</w:t>
      </w:r>
    </w:p>
    <w:p>
      <w:pPr>
        <w:jc w:val="both"/>
      </w:pPr>
      <w:r>
        <w:t>Le conclusioni si fondano esclusivamente su evidenze misurate sulle sorgenti indicate al § 1.2. Ogni elemento non ricavabile dalle sorgenti disponibili è marcato con un segnaposto esplicito [DA VERIFICARE] ed è riepilogato al § 9.</w:t>
      </w:r>
    </w:p>
    <w:p>
      <w:pPr>
        <w:pStyle w:val="Heading2"/>
      </w:pPr>
      <w:r>
        <w:t>Glossario</w:t>
      </w:r>
    </w:p>
    <w:p>
      <w:pPr>
        <w:jc w:val="both"/>
      </w:pPr>
      <w:r>
        <w:t>Nella tabella sottostante sono riportati gli acronimi e i termini utilizzati nel presente documento.</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Acronimo</w:t>
            </w:r>
          </w:p>
        </w:tc>
        <w:tc>
          <w:tcPr>
            <w:tcW w:type="dxa" w:w="3120"/>
          </w:tcPr>
          <w:p>
            <w:r/>
            <w:r>
              <w:rPr>
                <w:b/>
              </w:rPr>
              <w:t>Significato</w:t>
            </w:r>
          </w:p>
        </w:tc>
        <w:tc>
          <w:tcPr>
            <w:tcW w:type="dxa" w:w="3120"/>
          </w:tcPr>
          <w:p>
            <w:r/>
            <w:r>
              <w:rPr>
                <w:b/>
              </w:rPr>
              <w:t>Descrizione</w:t>
            </w:r>
          </w:p>
        </w:tc>
      </w:tr>
      <w:tr>
        <w:tc>
          <w:tcPr>
            <w:tcW w:type="dxa" w:w="3120"/>
          </w:tcPr>
          <w:p>
            <w:r/>
            <w:r>
              <w:t>ANSC</w:t>
            </w:r>
          </w:p>
        </w:tc>
        <w:tc>
          <w:tcPr>
            <w:tcW w:type="dxa" w:w="3120"/>
          </w:tcPr>
          <w:p>
            <w:r/>
            <w:r>
              <w:t>Archivio Nazionale dello Stato Civile</w:t>
            </w:r>
          </w:p>
        </w:tc>
        <w:tc>
          <w:tcPr>
            <w:tcW w:type="dxa" w:w="3120"/>
          </w:tcPr>
          <w:p>
            <w:r/>
            <w:r>
              <w:t>Archivio nazionale che raccoglie gli atti di stato civile, gestito nell’ambito ANPR.</w:t>
            </w:r>
          </w:p>
        </w:tc>
      </w:tr>
      <w:tr>
        <w:tc>
          <w:tcPr>
            <w:tcW w:type="dxa" w:w="3120"/>
          </w:tcPr>
          <w:p>
            <w:r/>
            <w:r>
              <w:t>ANPR</w:t>
            </w:r>
          </w:p>
        </w:tc>
        <w:tc>
          <w:tcPr>
            <w:tcW w:type="dxa" w:w="3120"/>
          </w:tcPr>
          <w:p>
            <w:r/>
            <w:r>
              <w:t>Anagrafe Nazionale della Popolazione Residente</w:t>
            </w:r>
          </w:p>
        </w:tc>
        <w:tc>
          <w:tcPr>
            <w:tcW w:type="dxa" w:w="3120"/>
          </w:tcPr>
          <w:p>
            <w:r/>
            <w:r>
              <w:t>Infrastruttura anagrafica nazionale nel cui perimetro opera ANSC.</w:t>
            </w:r>
          </w:p>
        </w:tc>
      </w:tr>
      <w:tr>
        <w:tc>
          <w:tcPr>
            <w:tcW w:type="dxa" w:w="3120"/>
          </w:tcPr>
          <w:p>
            <w:r/>
            <w:r>
              <w:t>Decodifica</w:t>
            </w:r>
          </w:p>
        </w:tc>
        <w:tc>
          <w:tcPr>
            <w:tcW w:type="dxa" w:w="3120"/>
          </w:tcPr>
          <w:p>
            <w:r/>
            <w:r>
              <w:t>Tabella di decodifica</w:t>
            </w:r>
          </w:p>
        </w:tc>
        <w:tc>
          <w:tcPr>
            <w:tcW w:type="dxa" w:w="3120"/>
          </w:tcPr>
          <w:p>
            <w:r/>
            <w:r>
              <w:t>Vocabolario controllato che associa un codice a una descrizione, con validità temporale.</w:t>
            </w:r>
          </w:p>
        </w:tc>
      </w:tr>
      <w:tr>
        <w:tc>
          <w:tcPr>
            <w:tcW w:type="dxa" w:w="3120"/>
          </w:tcPr>
          <w:p>
            <w:r/>
            <w:r>
              <w:t>R901</w:t>
            </w:r>
          </w:p>
        </w:tc>
        <w:tc>
          <w:tcPr>
            <w:tcW w:type="dxa" w:w="3120"/>
          </w:tcPr>
          <w:p>
            <w:r/>
            <w:r>
              <w:t>Servizio di configurazione decodifiche</w:t>
            </w:r>
          </w:p>
        </w:tc>
        <w:tc>
          <w:tcPr>
            <w:tcW w:type="dxa" w:w="3120"/>
          </w:tcPr>
          <w:p>
            <w:r/>
            <w:r>
              <w:t>Servizio ANSC che espone elenco e dettaglio delle tabelle di decodifica.</w:t>
            </w:r>
          </w:p>
        </w:tc>
      </w:tr>
      <w:tr>
        <w:tc>
          <w:tcPr>
            <w:tcW w:type="dxa" w:w="3120"/>
          </w:tcPr>
          <w:p>
            <w:r/>
            <w:r>
              <w:t>USC</w:t>
            </w:r>
          </w:p>
        </w:tc>
        <w:tc>
          <w:tcPr>
            <w:tcW w:type="dxa" w:w="3120"/>
          </w:tcPr>
          <w:p>
            <w:r/>
            <w:r>
              <w:t>Ufficiale di Stato Civile</w:t>
            </w:r>
          </w:p>
        </w:tc>
        <w:tc>
          <w:tcPr>
            <w:tcW w:type="dxa" w:w="3120"/>
          </w:tcPr>
          <w:p>
            <w:r/>
            <w:r>
              <w:t>Soggetto competente alla formazione degli atti di stato civile.</w:t>
            </w:r>
          </w:p>
        </w:tc>
      </w:tr>
      <w:tr>
        <w:tc>
          <w:tcPr>
            <w:tcW w:type="dxa" w:w="3120"/>
          </w:tcPr>
          <w:p>
            <w:r/>
            <w:r>
              <w:t>DMNM</w:t>
            </w:r>
          </w:p>
        </w:tc>
        <w:tc>
          <w:tcPr>
            <w:tcW w:type="dxa" w:w="3120"/>
          </w:tcPr>
          <w:p>
            <w:r/>
            <w:r>
              <w:t>Denuncia di Morte / Necroscopica</w:t>
            </w:r>
          </w:p>
        </w:tc>
        <w:tc>
          <w:tcPr>
            <w:tcW w:type="dxa" w:w="3120"/>
          </w:tcPr>
          <w:p>
            <w:r/>
            <w:r>
              <w:t>Prefisso delle decodifiche afferenti al dominio della denuncia di morte.</w:t>
            </w:r>
          </w:p>
        </w:tc>
      </w:tr>
      <w:tr>
        <w:tc>
          <w:tcPr>
            <w:tcW w:type="dxa" w:w="3120"/>
          </w:tcPr>
          <w:p>
            <w:r/>
            <w:r>
              <w:t>Bitemporale</w:t>
            </w:r>
          </w:p>
        </w:tc>
        <w:tc>
          <w:tcPr>
            <w:tcW w:type="dxa" w:w="3120"/>
          </w:tcPr>
          <w:p>
            <w:r/>
            <w:r>
              <w:t>Modello bitemporale</w:t>
            </w:r>
          </w:p>
        </w:tc>
        <w:tc>
          <w:tcPr>
            <w:tcW w:type="dxa" w:w="3120"/>
          </w:tcPr>
          <w:p>
            <w:r/>
            <w:r>
              <w:t>Modello dati che traccia sia il tempo di validità sia il tempo di registrazione.</w:t>
            </w:r>
          </w:p>
        </w:tc>
      </w:tr>
      <w:tr>
        <w:tc>
          <w:tcPr>
            <w:tcW w:type="dxa" w:w="3120"/>
          </w:tcPr>
          <w:p>
            <w:r/>
            <w:r>
              <w:t>Validity time</w:t>
            </w:r>
          </w:p>
        </w:tc>
        <w:tc>
          <w:tcPr>
            <w:tcW w:type="dxa" w:w="3120"/>
          </w:tcPr>
          <w:p>
            <w:r/>
            <w:r>
              <w:t>Tempo di validità</w:t>
            </w:r>
          </w:p>
        </w:tc>
        <w:tc>
          <w:tcPr>
            <w:tcW w:type="dxa" w:w="3120"/>
          </w:tcPr>
          <w:p>
            <w:r/>
            <w:r>
              <w:t>Intervallo in cui un dato è vero nel mondo reale (qui: DATAINIZIOVALIDITA / DATAFINEVALIDITA).</w:t>
            </w:r>
          </w:p>
        </w:tc>
      </w:tr>
      <w:tr>
        <w:tc>
          <w:tcPr>
            <w:tcW w:type="dxa" w:w="3120"/>
          </w:tcPr>
          <w:p>
            <w:r/>
            <w:r>
              <w:t>Transaction time</w:t>
            </w:r>
          </w:p>
        </w:tc>
        <w:tc>
          <w:tcPr>
            <w:tcW w:type="dxa" w:w="3120"/>
          </w:tcPr>
          <w:p>
            <w:r/>
            <w:r>
              <w:t>Tempo di registrazione</w:t>
            </w:r>
          </w:p>
        </w:tc>
        <w:tc>
          <w:tcPr>
            <w:tcW w:type="dxa" w:w="3120"/>
          </w:tcPr>
          <w:p>
            <w:r/>
            <w:r>
              <w:t>Istante in cui il sistema ha appreso un dato; abilita la ricostruzione di ciò che si sapeva a una certa data.</w:t>
            </w:r>
          </w:p>
        </w:tc>
      </w:tr>
      <w:tr>
        <w:tc>
          <w:tcPr>
            <w:tcW w:type="dxa" w:w="3120"/>
          </w:tcPr>
          <w:p>
            <w:r/>
            <w:r>
              <w:t>SKOS</w:t>
            </w:r>
          </w:p>
        </w:tc>
        <w:tc>
          <w:tcPr>
            <w:tcW w:type="dxa" w:w="3120"/>
          </w:tcPr>
          <w:p>
            <w:r/>
            <w:r>
              <w:t>Simple Knowledge Organization System</w:t>
            </w:r>
          </w:p>
        </w:tc>
        <w:tc>
          <w:tcPr>
            <w:tcW w:type="dxa" w:w="3120"/>
          </w:tcPr>
          <w:p>
            <w:r/>
            <w:r>
              <w:t>Standard W3C per la rappresentazione di vocabolari controllati e tassonomie.</w:t>
            </w:r>
          </w:p>
        </w:tc>
      </w:tr>
      <w:tr>
        <w:tc>
          <w:tcPr>
            <w:tcW w:type="dxa" w:w="3120"/>
          </w:tcPr>
          <w:p>
            <w:r/>
            <w:r>
              <w:t>OntoPiA</w:t>
            </w:r>
          </w:p>
        </w:tc>
        <w:tc>
          <w:tcPr>
            <w:tcW w:type="dxa" w:w="3120"/>
          </w:tcPr>
          <w:p>
            <w:r/>
            <w:r>
              <w:t>Rete di ontologie e vocabolari controllati della PA</w:t>
            </w:r>
          </w:p>
        </w:tc>
        <w:tc>
          <w:tcPr>
            <w:tcW w:type="dxa" w:w="3120"/>
          </w:tcPr>
          <w:p>
            <w:r/>
            <w:r>
              <w:t>Iniziativa AGID per l’interoperabilità semantica nella Pubblica Amministrazione.</w:t>
            </w:r>
          </w:p>
        </w:tc>
      </w:tr>
      <w:tr>
        <w:tc>
          <w:tcPr>
            <w:tcW w:type="dxa" w:w="3120"/>
          </w:tcPr>
          <w:p>
            <w:r/>
            <w:r>
              <w:t>ETag</w:t>
            </w:r>
          </w:p>
        </w:tc>
        <w:tc>
          <w:tcPr>
            <w:tcW w:type="dxa" w:w="3120"/>
          </w:tcPr>
          <w:p>
            <w:r/>
            <w:r>
              <w:t>Entity Tag</w:t>
            </w:r>
          </w:p>
        </w:tc>
        <w:tc>
          <w:tcPr>
            <w:tcW w:type="dxa" w:w="3120"/>
          </w:tcPr>
          <w:p>
            <w:r/>
            <w:r>
              <w:t>Intestazione HTTP che identifica la versione di una risorsa, abilitando la validazione della cache.</w:t>
            </w:r>
          </w:p>
        </w:tc>
      </w:tr>
      <w:tr>
        <w:tc>
          <w:tcPr>
            <w:tcW w:type="dxa" w:w="3120"/>
          </w:tcPr>
          <w:p>
            <w:r/>
            <w:r>
              <w:t>COTS</w:t>
            </w:r>
          </w:p>
        </w:tc>
        <w:tc>
          <w:tcPr>
            <w:tcW w:type="dxa" w:w="3120"/>
          </w:tcPr>
          <w:p>
            <w:r/>
            <w:r>
              <w:t>Commercial Off-The-Shelf</w:t>
            </w:r>
          </w:p>
        </w:tc>
        <w:tc>
          <w:tcPr>
            <w:tcW w:type="dxa" w:w="3120"/>
          </w:tcPr>
          <w:p>
            <w:r/>
            <w:r>
              <w:t>Software di mercato non modificabile dall’ente, che non può essere ricompilato.</w:t>
            </w:r>
          </w:p>
        </w:tc>
      </w:tr>
    </w:tbl>
    <w:p>
      <w:pPr>
        <w:pStyle w:val="Heading2"/>
      </w:pPr>
      <w:r>
        <w:t>Riferimenti</w:t>
      </w:r>
    </w:p>
    <w:p>
      <w:pPr>
        <w:jc w:val="both"/>
      </w:pPr>
      <w:r>
        <w:t>Nella tabella che segue sono elencate le sorgenti documentali e applicative da cui derivano i contenuti tecnici del presente studio. Tutte le misure riportate al § 3 sono state rilevate direttamente su tali sorgenti alla data del 16/07/2026.</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ID</w:t>
            </w:r>
          </w:p>
        </w:tc>
        <w:tc>
          <w:tcPr>
            <w:tcW w:type="dxa" w:w="1872"/>
          </w:tcPr>
          <w:p>
            <w:r/>
            <w:r>
              <w:rPr>
                <w:b/>
              </w:rPr>
              <w:t>Data Ri.o</w:t>
            </w:r>
          </w:p>
        </w:tc>
        <w:tc>
          <w:tcPr>
            <w:tcW w:type="dxa" w:w="1872"/>
          </w:tcPr>
          <w:p>
            <w:r/>
            <w:r>
              <w:rPr>
                <w:b/>
              </w:rPr>
              <w:t>Versione</w:t>
            </w:r>
          </w:p>
        </w:tc>
        <w:tc>
          <w:tcPr>
            <w:tcW w:type="dxa" w:w="1872"/>
          </w:tcPr>
          <w:p>
            <w:r/>
            <w:r>
              <w:rPr>
                <w:b/>
              </w:rPr>
              <w:t>Documento</w:t>
            </w:r>
          </w:p>
        </w:tc>
        <w:tc>
          <w:tcPr>
            <w:tcW w:type="dxa" w:w="1872"/>
          </w:tcPr>
          <w:p>
            <w:r/>
            <w:r>
              <w:rPr>
                <w:b/>
              </w:rPr>
              <w:t>Descrizione</w:t>
            </w:r>
          </w:p>
        </w:tc>
      </w:tr>
      <w:tr>
        <w:tc>
          <w:tcPr>
            <w:tcW w:type="dxa" w:w="1872"/>
          </w:tcPr>
          <w:p>
            <w:r/>
            <w:r>
              <w:t>[R1]</w:t>
            </w:r>
          </w:p>
        </w:tc>
        <w:tc>
          <w:tcPr>
            <w:tcW w:type="dxa" w:w="1872"/>
          </w:tcPr>
          <w:p>
            <w:r/>
            <w:r>
              <w:t>30/06/2026</w:t>
            </w:r>
          </w:p>
        </w:tc>
        <w:tc>
          <w:tcPr>
            <w:tcW w:type="dxa" w:w="1872"/>
          </w:tcPr>
          <w:p>
            <w:r/>
            <w:r>
              <w:t>v1.53.0</w:t>
            </w:r>
          </w:p>
        </w:tc>
        <w:tc>
          <w:tcPr>
            <w:tcW w:type="dxa" w:w="1872"/>
          </w:tcPr>
          <w:p>
            <w:r/>
            <w:r>
              <w:t>Repository italia/ansc – docs/Decodifiche</w:t>
            </w:r>
          </w:p>
        </w:tc>
        <w:tc>
          <w:tcPr>
            <w:tcW w:type="dxa" w:w="1872"/>
          </w:tcPr>
          <w:p>
            <w:r/>
            <w:r>
              <w:t>145 tabelle di decodifica in formato CSV e XLSX. Sorgente primaria delle misure di volumetria e struttura.</w:t>
            </w:r>
          </w:p>
        </w:tc>
      </w:tr>
      <w:tr>
        <w:tc>
          <w:tcPr>
            <w:tcW w:type="dxa" w:w="1872"/>
          </w:tcPr>
          <w:p>
            <w:r/>
            <w:r>
              <w:t>[R2]</w:t>
            </w:r>
          </w:p>
        </w:tc>
        <w:tc>
          <w:tcPr>
            <w:tcW w:type="dxa" w:w="1872"/>
          </w:tcPr>
          <w:p>
            <w:r/>
            <w:r>
              <w:t>16/07/2026</w:t>
            </w:r>
          </w:p>
        </w:tc>
        <w:tc>
          <w:tcPr>
            <w:tcW w:type="dxa" w:w="1872"/>
          </w:tcPr>
          <w:p>
            <w:r/>
            <w:r>
              <w:t>v1.53.0</w:t>
            </w:r>
          </w:p>
        </w:tc>
        <w:tc>
          <w:tcPr>
            <w:tcW w:type="dxa" w:w="1872"/>
          </w:tcPr>
          <w:p>
            <w:r/>
            <w:r>
              <w:t>Repository italia/ansc – storia Git</w:t>
            </w:r>
          </w:p>
        </w:tc>
        <w:tc>
          <w:tcPr>
            <w:tcW w:type="dxa" w:w="1872"/>
          </w:tcPr>
          <w:p>
            <w:r/>
            <w:r>
              <w:t>Storia dei commit dal 14/02/2023 al 01/07/2026. Sorgente della cadenza di aggiornamento.</w:t>
            </w:r>
          </w:p>
        </w:tc>
      </w:tr>
      <w:tr>
        <w:tc>
          <w:tcPr>
            <w:tcW w:type="dxa" w:w="1872"/>
          </w:tcPr>
          <w:p>
            <w:r/>
            <w:r>
              <w:t>[R3]</w:t>
            </w:r>
          </w:p>
        </w:tc>
        <w:tc>
          <w:tcPr>
            <w:tcW w:type="dxa" w:w="1872"/>
          </w:tcPr>
          <w:p>
            <w:r/>
            <w:r>
              <w:t>–</w:t>
            </w:r>
          </w:p>
        </w:tc>
        <w:tc>
          <w:tcPr>
            <w:tcW w:type="dxa" w:w="1872"/>
          </w:tcPr>
          <w:p>
            <w:r/>
            <w:r>
              <w:t>v1.5.0</w:t>
            </w:r>
          </w:p>
        </w:tc>
        <w:tc>
          <w:tcPr>
            <w:tcW w:type="dxa" w:w="1872"/>
          </w:tcPr>
          <w:p>
            <w:r/>
            <w:r>
              <w:t>docs/openapi/R901_config_decodifica.yaml</w:t>
            </w:r>
          </w:p>
        </w:tc>
        <w:tc>
          <w:tcPr>
            <w:tcW w:type="dxa" w:w="1872"/>
          </w:tcPr>
          <w:p>
            <w:r/>
            <w:r>
              <w:t>Specifica OpenAPI del servizio ANSC di configurazione e reperimento delle tabelle di decodifica.</w:t>
            </w:r>
          </w:p>
        </w:tc>
      </w:tr>
      <w:tr>
        <w:tc>
          <w:tcPr>
            <w:tcW w:type="dxa" w:w="1872"/>
          </w:tcPr>
          <w:p>
            <w:r/>
            <w:r>
              <w:t>[R4]</w:t>
            </w:r>
          </w:p>
        </w:tc>
        <w:tc>
          <w:tcPr>
            <w:tcW w:type="dxa" w:w="1872"/>
          </w:tcPr>
          <w:p>
            <w:r/>
            <w:r>
              <w:t>–</w:t>
            </w:r>
          </w:p>
        </w:tc>
        <w:tc>
          <w:tcPr>
            <w:tcW w:type="dxa" w:w="1872"/>
          </w:tcPr>
          <w:p>
            <w:r/>
            <w:r>
              <w:t>–</w:t>
            </w:r>
          </w:p>
        </w:tc>
        <w:tc>
          <w:tcPr>
            <w:tcW w:type="dxa" w:w="1872"/>
          </w:tcPr>
          <w:p>
            <w:r/>
            <w:r>
              <w:t>docs/openapi/base_servizi.yaml</w:t>
            </w:r>
          </w:p>
        </w:tc>
        <w:tc>
          <w:tcPr>
            <w:tcW w:type="dxa" w:w="1872"/>
          </w:tcPr>
          <w:p>
            <w:r/>
            <w:r>
              <w:t>Schemi comuni AnscRequest / AnscResponse richiamati da R901.</w:t>
            </w:r>
          </w:p>
        </w:tc>
      </w:tr>
      <w:tr>
        <w:tc>
          <w:tcPr>
            <w:tcW w:type="dxa" w:w="1872"/>
          </w:tcPr>
          <w:p>
            <w:r/>
            <w:r>
              <w:t>[R5]</w:t>
            </w:r>
          </w:p>
        </w:tc>
        <w:tc>
          <w:tcPr>
            <w:tcW w:type="dxa" w:w="1872"/>
          </w:tcPr>
          <w:p>
            <w:r/>
            <w:r>
              <w:t>–</w:t>
            </w:r>
          </w:p>
        </w:tc>
        <w:tc>
          <w:tcPr>
            <w:tcW w:type="dxa" w:w="1872"/>
          </w:tcPr>
          <w:p>
            <w:r/>
            <w:r>
              <w:t>–</w:t>
            </w:r>
          </w:p>
        </w:tc>
        <w:tc>
          <w:tcPr>
            <w:tcW w:type="dxa" w:w="1872"/>
          </w:tcPr>
          <w:p>
            <w:r/>
            <w:r>
              <w:t>docs/Guida_operativa_ANSC.pdf</w:t>
            </w:r>
          </w:p>
        </w:tc>
        <w:tc>
          <w:tcPr>
            <w:tcW w:type="dxa" w:w="1872"/>
          </w:tcPr>
          <w:p>
            <w:r/>
            <w:r>
              <w:t>Guida operativa ANSC. [DA VERIFICARE: non analizzata nel presente studio]</w:t>
            </w:r>
          </w:p>
        </w:tc>
      </w:tr>
      <w:tr>
        <w:tc>
          <w:tcPr>
            <w:tcW w:type="dxa" w:w="1872"/>
          </w:tcPr>
          <w:p>
            <w:r/>
            <w:r>
              <w:t>[R6]</w:t>
            </w:r>
          </w:p>
        </w:tc>
        <w:tc>
          <w:tcPr>
            <w:tcW w:type="dxa" w:w="1872"/>
          </w:tcPr>
          <w:p>
            <w:r/>
            <w:r>
              <w:t>–</w:t>
            </w:r>
          </w:p>
        </w:tc>
        <w:tc>
          <w:tcPr>
            <w:tcW w:type="dxa" w:w="1872"/>
          </w:tcPr>
          <w:p>
            <w:r/>
            <w:r>
              <w:t>–</w:t>
            </w:r>
          </w:p>
        </w:tc>
        <w:tc>
          <w:tcPr>
            <w:tcW w:type="dxa" w:w="1872"/>
          </w:tcPr>
          <w:p>
            <w:r/>
            <w:r>
              <w:t>AGID – OntoPiA, vocabolari controllati</w:t>
            </w:r>
          </w:p>
        </w:tc>
        <w:tc>
          <w:tcPr>
            <w:tcW w:type="dxa" w:w="1872"/>
          </w:tcPr>
          <w:p>
            <w:r/>
            <w:r>
              <w:t>Standard nazionale per la pubblicazione di vocabolari controllati della PA. Riferimento per il § 6.5.</w:t>
            </w:r>
          </w:p>
        </w:tc>
      </w:tr>
      <w:tr>
        <w:tc>
          <w:tcPr>
            <w:tcW w:type="dxa" w:w="1872"/>
          </w:tcPr>
          <w:p>
            <w:r/>
            <w:r>
              <w:t>[R7]</w:t>
            </w:r>
          </w:p>
        </w:tc>
        <w:tc>
          <w:tcPr>
            <w:tcW w:type="dxa" w:w="1872"/>
          </w:tcPr>
          <w:p>
            <w:r/>
            <w:r>
              <w:t>–</w:t>
            </w:r>
          </w:p>
        </w:tc>
        <w:tc>
          <w:tcPr>
            <w:tcW w:type="dxa" w:w="1872"/>
          </w:tcPr>
          <w:p>
            <w:r/>
            <w:r>
              <w:t>–</w:t>
            </w:r>
          </w:p>
        </w:tc>
        <w:tc>
          <w:tcPr>
            <w:tcW w:type="dxa" w:w="1872"/>
          </w:tcPr>
          <w:p>
            <w:r/>
            <w:r>
              <w:t>W3C – SKOS Reference</w:t>
            </w:r>
          </w:p>
        </w:tc>
        <w:tc>
          <w:tcPr>
            <w:tcW w:type="dxa" w:w="1872"/>
          </w:tcPr>
          <w:p>
            <w:r/>
            <w:r>
              <w:t>Standard per la rappresentazione di vocabolari controllati.</w:t>
            </w:r>
          </w:p>
        </w:tc>
      </w:tr>
    </w:tbl>
    <w:p>
      <w:r>
        <w:br w:type="page"/>
      </w:r>
    </w:p>
    <w:p>
      <w:pPr>
        <w:pStyle w:val="Heading1"/>
      </w:pPr>
      <w:r>
        <w:t>Contesto di riferimento</w:t>
      </w:r>
    </w:p>
    <w:p>
      <w:pPr>
        <w:jc w:val="both"/>
      </w:pPr>
      <w:r>
        <w:t>Le tabelle di decodifica ANSC costituiscono i vocabolari controllati del dominio dello stato civile: associano codici numerici a descrizioni normalizzate (ad esempio lo stato civile di una persona, il grado di parentela di un dichiarante, la tipologia di un atto). Ogni sistema che produca, consumi o presenti dati di stato civile deve poter risolvere tali codici in modo coerente con ANSC.</w:t>
      </w:r>
    </w:p>
    <w:p>
      <w:pPr>
        <w:jc w:val="both"/>
      </w:pPr>
      <w:r>
        <w:t>Il quesito posto è come rendere queste strutture dati disponibili applicativamente ai diversi sistemi di Roma Capitale. L’ipotesi iniziale formulata prevedeva l’adozione di Redis quale repository condiviso in memoria. Lo studio verifica tale ipotesi rispetto alle caratteristiche effettivamente misurate del dato, e la confronta con opzioni alternative.</w:t>
      </w:r>
    </w:p>
    <w:p>
      <w:pPr>
        <w:jc w:val="both"/>
      </w:pPr>
      <w:r>
        <w:t>La tesi dello studio, argomentata al § 5, è che il problema non abbia natura di scala o di latenza — dimensioni per le quali una cache distribuita sarebbe la risposta appropriata — bensì di correttezza temporale e di allineamento fra sistemi. Le misure del § 3 sostengono questa lettura.</w:t>
      </w:r>
    </w:p>
    <w:p>
      <w:pPr>
        <w:jc w:val="both"/>
      </w:pPr>
      <w:r>
        <w:t>[DA VERIFICARE: inquadramento del presente studio nel programma di adesione di Roma Capitale ad ANSC, con indicazione di fasi, milestone e vincoli progettuali già assunti.]</w:t>
      </w:r>
    </w:p>
    <w:p>
      <w:r>
        <w:br w:type="page"/>
      </w:r>
    </w:p>
    <w:p>
      <w:pPr>
        <w:pStyle w:val="Heading1"/>
      </w:pPr>
      <w:r>
        <w:t>Analisi della sorgente</w:t>
      </w:r>
    </w:p>
    <w:p>
      <w:pPr>
        <w:jc w:val="both"/>
      </w:pPr>
      <w:r>
        <w:t>Il presente capitolo riporta le evidenze quantitative rilevate sulle sorgenti [R1], [R2] e [R3]. Tali evidenze costituiscono la base fattuale della valutazione al § 5: le conclusioni architetturali discendono dalle misure qui esposte e non da assunzioni preliminari.</w:t>
      </w:r>
    </w:p>
    <w:p>
      <w:pPr>
        <w:pStyle w:val="Heading2"/>
      </w:pPr>
      <w:r>
        <w:t>Perimetro e volumetria</w:t>
      </w:r>
    </w:p>
    <w:p>
      <w:pPr>
        <w:jc w:val="both"/>
      </w:pPr>
      <w:r>
        <w:t>La cartella docs/Decodifiche del repository [R1] contiene 291 file, corrispondenti a 145 tabelle distinte: ogni decodifica è infatti pubblicata in duplice formato, CSV e XLSX. Il confronto del contenuto su un campione di coppie ha verificato l’identità dei dati fra i due formati. Il formato CSV è assunto come canonico nel presente studio, coerentemente con il servizio R901 [R3] che restituisce il contenuto delle tabelle in CSV.</w:t>
      </w:r>
    </w:p>
    <w:p>
      <w:pPr>
        <w:jc w:val="both"/>
      </w:pPr>
      <w:r>
        <w:t>La volumetria complessiva è riportata nella tabella seguente.</w:t>
      </w:r>
    </w:p>
    <w:tbl>
      <w:tblPr>
        <w:tblStyle w:val="GridTable1Light"/>
        <w:tblW w:type="auto" w:w="0"/>
        <w:tblLook w:firstColumn="1" w:firstRow="1" w:lastColumn="0" w:lastRow="0" w:noHBand="0" w:noVBand="1" w:val="04A0"/>
      </w:tblPr>
      <w:tblGrid>
        <w:gridCol w:w="4680"/>
        <w:gridCol w:w="4680"/>
      </w:tblGrid>
      <w:tr>
        <w:tc>
          <w:tcPr>
            <w:tcW w:type="dxa" w:w="4680"/>
          </w:tcPr>
          <w:p>
            <w:r/>
            <w:r>
              <w:rPr>
                <w:b/>
              </w:rPr>
              <w:t>Grandezza</w:t>
            </w:r>
          </w:p>
        </w:tc>
        <w:tc>
          <w:tcPr>
            <w:tcW w:type="dxa" w:w="4680"/>
          </w:tcPr>
          <w:p>
            <w:r/>
            <w:r>
              <w:rPr>
                <w:b/>
              </w:rPr>
              <w:t>Valore misurato</w:t>
            </w:r>
          </w:p>
        </w:tc>
      </w:tr>
      <w:tr>
        <w:tc>
          <w:tcPr>
            <w:tcW w:type="dxa" w:w="4680"/>
          </w:tcPr>
          <w:p>
            <w:r/>
            <w:r>
              <w:t>Tabelle di decodifica distinte</w:t>
            </w:r>
          </w:p>
        </w:tc>
        <w:tc>
          <w:tcPr>
            <w:tcW w:type="dxa" w:w="4680"/>
          </w:tcPr>
          <w:p>
            <w:r/>
            <w:r>
              <w:t>145</w:t>
            </w:r>
          </w:p>
        </w:tc>
      </w:tr>
      <w:tr>
        <w:tc>
          <w:tcPr>
            <w:tcW w:type="dxa" w:w="4680"/>
          </w:tcPr>
          <w:p>
            <w:r/>
            <w:r>
              <w:t>File presenti (CSV + XLSX)</w:t>
            </w:r>
          </w:p>
        </w:tc>
        <w:tc>
          <w:tcPr>
            <w:tcW w:type="dxa" w:w="4680"/>
          </w:tcPr>
          <w:p>
            <w:r/>
            <w:r>
              <w:t>291</w:t>
            </w:r>
          </w:p>
        </w:tc>
      </w:tr>
      <w:tr>
        <w:tc>
          <w:tcPr>
            <w:tcW w:type="dxa" w:w="4680"/>
          </w:tcPr>
          <w:p>
            <w:r/>
            <w:r>
              <w:t>Righe dati totali (escluse le intestazioni)</w:t>
            </w:r>
          </w:p>
        </w:tc>
        <w:tc>
          <w:tcPr>
            <w:tcW w:type="dxa" w:w="4680"/>
          </w:tcPr>
          <w:p>
            <w:r/>
            <w:r>
              <w:t>1.376</w:t>
            </w:r>
          </w:p>
        </w:tc>
      </w:tr>
      <w:tr>
        <w:tc>
          <w:tcPr>
            <w:tcW w:type="dxa" w:w="4680"/>
          </w:tcPr>
          <w:p>
            <w:r/>
            <w:r>
              <w:t>Righe per tabella – media</w:t>
            </w:r>
          </w:p>
        </w:tc>
        <w:tc>
          <w:tcPr>
            <w:tcW w:type="dxa" w:w="4680"/>
          </w:tcPr>
          <w:p>
            <w:r/>
            <w:r>
              <w:t>9,5</w:t>
            </w:r>
          </w:p>
        </w:tc>
      </w:tr>
      <w:tr>
        <w:tc>
          <w:tcPr>
            <w:tcW w:type="dxa" w:w="4680"/>
          </w:tcPr>
          <w:p>
            <w:r/>
            <w:r>
              <w:t>Righe per tabella – mediana</w:t>
            </w:r>
          </w:p>
        </w:tc>
        <w:tc>
          <w:tcPr>
            <w:tcW w:type="dxa" w:w="4680"/>
          </w:tcPr>
          <w:p>
            <w:r/>
            <w:r>
              <w:t>3</w:t>
            </w:r>
          </w:p>
        </w:tc>
      </w:tr>
      <w:tr>
        <w:tc>
          <w:tcPr>
            <w:tcW w:type="dxa" w:w="4680"/>
          </w:tcPr>
          <w:p>
            <w:r/>
            <w:r>
              <w:t>Dimensione complessiva dei soli CSV</w:t>
            </w:r>
          </w:p>
        </w:tc>
        <w:tc>
          <w:tcPr>
            <w:tcW w:type="dxa" w:w="4680"/>
          </w:tcPr>
          <w:p>
            <w:r/>
            <w:r>
              <w:t>150 KB</w:t>
            </w:r>
          </w:p>
        </w:tc>
      </w:tr>
      <w:tr>
        <w:tc>
          <w:tcPr>
            <w:tcW w:type="dxa" w:w="4680"/>
          </w:tcPr>
          <w:p>
            <w:r/>
            <w:r>
              <w:t>Dimensione complessiva dei soli XLSX</w:t>
            </w:r>
          </w:p>
        </w:tc>
        <w:tc>
          <w:tcPr>
            <w:tcW w:type="dxa" w:w="4680"/>
          </w:tcPr>
          <w:p>
            <w:r/>
            <w:r>
              <w:t>562 KB</w:t>
            </w:r>
          </w:p>
        </w:tc>
      </w:tr>
    </w:tbl>
    <w:p>
      <w:pPr>
        <w:pStyle w:val="Caption"/>
      </w:pPr>
      <w:r>
        <w:t>Tabella 1 – Volumetria complessiva delle decodifiche ANSC (fonte: [R1], rilevazione 16/07/2026)</w:t>
      </w:r>
    </w:p>
    <w:p>
      <w:pPr>
        <w:jc w:val="both"/>
      </w:pPr>
      <w:r>
        <w:t>Il dato dirimente è la dimensione assoluta: l’intero corpus delle 145 decodifiche ammonta a 1.376 righe e occupa 150 KB in formato CSV. Una rappresentazione JSON equivalente si colloca nell’ordine dei 200 KB. Si tratta di un volume che risiede integralmente nella memoria di processo di qualunque applicazione consumatrice, con margine di alcuni ordini di grandezza.</w:t>
      </w:r>
    </w:p>
    <w:p>
      <w:pPr>
        <w:jc w:val="both"/>
      </w:pPr>
      <w:r>
        <w:t>La distribuzione è fortemente asimmetrica: la mediana di 3 righe per tabella indica che metà delle decodifiche contiene non più di tre voci. La concentrazione del volume su poche tabelle è illustrata di seguito.</w:t>
      </w:r>
    </w:p>
    <w:tbl>
      <w:tblPr>
        <w:tblStyle w:val="GridTable1Light"/>
        <w:tblW w:type="auto" w:w="0"/>
        <w:tblLook w:firstColumn="1" w:firstRow="1" w:lastColumn="0" w:lastRow="0" w:noHBand="0" w:noVBand="1" w:val="04A0"/>
      </w:tblPr>
      <w:tblGrid>
        <w:gridCol w:w="4680"/>
        <w:gridCol w:w="4680"/>
      </w:tblGrid>
      <w:tr>
        <w:tc>
          <w:tcPr>
            <w:tcW w:type="dxa" w:w="4680"/>
          </w:tcPr>
          <w:p>
            <w:r/>
            <w:r>
              <w:rPr>
                <w:b/>
              </w:rPr>
              <w:t>Tabella</w:t>
            </w:r>
          </w:p>
        </w:tc>
        <w:tc>
          <w:tcPr>
            <w:tcW w:type="dxa" w:w="4680"/>
          </w:tcPr>
          <w:p>
            <w:r/>
            <w:r>
              <w:rPr>
                <w:b/>
              </w:rPr>
              <w:t>Righe dati</w:t>
            </w:r>
          </w:p>
        </w:tc>
      </w:tr>
      <w:tr>
        <w:tc>
          <w:tcPr>
            <w:tcW w:type="dxa" w:w="4680"/>
          </w:tcPr>
          <w:p>
            <w:r/>
            <w:r>
              <w:t>3_dec_use_case</w:t>
            </w:r>
          </w:p>
        </w:tc>
        <w:tc>
          <w:tcPr>
            <w:tcW w:type="dxa" w:w="4680"/>
          </w:tcPr>
          <w:p>
            <w:r/>
            <w:r>
              <w:t>377</w:t>
            </w:r>
          </w:p>
        </w:tc>
      </w:tr>
      <w:tr>
        <w:tc>
          <w:tcPr>
            <w:tcW w:type="dxa" w:w="4680"/>
          </w:tcPr>
          <w:p>
            <w:r/>
            <w:r>
              <w:t>97_dec_consolato</w:t>
            </w:r>
          </w:p>
        </w:tc>
        <w:tc>
          <w:tcPr>
            <w:tcW w:type="dxa" w:w="4680"/>
          </w:tcPr>
          <w:p>
            <w:r/>
            <w:r>
              <w:t>243</w:t>
            </w:r>
          </w:p>
        </w:tc>
      </w:tr>
      <w:tr>
        <w:tc>
          <w:tcPr>
            <w:tcW w:type="dxa" w:w="4680"/>
          </w:tcPr>
          <w:p>
            <w:r/>
            <w:r>
              <w:t>9_dec_tipo_allegato</w:t>
            </w:r>
          </w:p>
        </w:tc>
        <w:tc>
          <w:tcPr>
            <w:tcW w:type="dxa" w:w="4680"/>
          </w:tcPr>
          <w:p>
            <w:r/>
            <w:r>
              <w:t>128</w:t>
            </w:r>
          </w:p>
        </w:tc>
      </w:tr>
      <w:tr>
        <w:tc>
          <w:tcPr>
            <w:tcW w:type="dxa" w:w="4680"/>
          </w:tcPr>
          <w:p>
            <w:r/>
            <w:r>
              <w:t>100_dec_versione</w:t>
            </w:r>
          </w:p>
        </w:tc>
        <w:tc>
          <w:tcPr>
            <w:tcW w:type="dxa" w:w="4680"/>
          </w:tcPr>
          <w:p>
            <w:r/>
            <w:r>
              <w:t>34</w:t>
            </w:r>
          </w:p>
        </w:tc>
      </w:tr>
      <w:tr>
        <w:tc>
          <w:tcPr>
            <w:tcW w:type="dxa" w:w="4680"/>
          </w:tcPr>
          <w:p>
            <w:r/>
            <w:r>
              <w:t>146_dmnm_dec_mezzo_trasporto</w:t>
            </w:r>
          </w:p>
        </w:tc>
        <w:tc>
          <w:tcPr>
            <w:tcW w:type="dxa" w:w="4680"/>
          </w:tcPr>
          <w:p>
            <w:r/>
            <w:r>
              <w:t>19</w:t>
            </w:r>
          </w:p>
        </w:tc>
      </w:tr>
    </w:tbl>
    <w:p>
      <w:pPr>
        <w:pStyle w:val="Caption"/>
      </w:pPr>
      <w:r>
        <w:t>Tabella 2 – Prime cinque decodifiche per numerosità (fonte: [R1])</w:t>
      </w:r>
    </w:p>
    <w:p>
      <w:pPr>
        <w:jc w:val="both"/>
      </w:pPr>
      <w:r>
        <w:t>Le prime tre tabelle raccolgono 748 righe, pari a circa il 54% del totale. Le restanti 142 tabelle si distribuiscono le 628 righe residue.</w:t>
      </w:r>
    </w:p>
    <w:p>
      <w:pPr>
        <w:pStyle w:val="Heading2"/>
      </w:pPr>
      <w:r>
        <w:t>Struttura dati e validità temporale</w:t>
      </w:r>
    </w:p>
    <w:p>
      <w:pPr>
        <w:jc w:val="both"/>
      </w:pPr>
      <w:r>
        <w:t>Le decodifiche condividono una struttura pressoché uniforme. Sono state rilevate cinque varianti di intestazione, riportate di seguito.</w:t>
      </w:r>
    </w:p>
    <w:tbl>
      <w:tblPr>
        <w:tblStyle w:val="GridTable1Light"/>
        <w:tblW w:type="auto" w:w="0"/>
        <w:tblLook w:firstColumn="1" w:firstRow="1" w:lastColumn="0" w:lastRow="0" w:noHBand="0" w:noVBand="1" w:val="04A0"/>
      </w:tblPr>
      <w:tblGrid>
        <w:gridCol w:w="4680"/>
        <w:gridCol w:w="4680"/>
      </w:tblGrid>
      <w:tr>
        <w:tc>
          <w:tcPr>
            <w:tcW w:type="dxa" w:w="4680"/>
          </w:tcPr>
          <w:p>
            <w:r/>
            <w:r>
              <w:rPr>
                <w:b/>
              </w:rPr>
              <w:t>Intestazione</w:t>
            </w:r>
          </w:p>
        </w:tc>
        <w:tc>
          <w:tcPr>
            <w:tcW w:type="dxa" w:w="4680"/>
          </w:tcPr>
          <w:p>
            <w:r/>
            <w:r>
              <w:rPr>
                <w:b/>
              </w:rPr>
              <w:t>N. tabelle</w:t>
            </w:r>
          </w:p>
        </w:tc>
      </w:tr>
      <w:tr>
        <w:tc>
          <w:tcPr>
            <w:tcW w:type="dxa" w:w="4680"/>
          </w:tcPr>
          <w:p>
            <w:r/>
            <w:r>
              <w:t>ID, DESCRIZIONE, DATAINIZIOVALIDITA, DATAFINEVALIDITA, ORDINAMENTO</w:t>
            </w:r>
          </w:p>
        </w:tc>
        <w:tc>
          <w:tcPr>
            <w:tcW w:type="dxa" w:w="4680"/>
          </w:tcPr>
          <w:p>
            <w:r/>
            <w:r>
              <w:t>140</w:t>
            </w:r>
          </w:p>
        </w:tc>
      </w:tr>
      <w:tr>
        <w:tc>
          <w:tcPr>
            <w:tcW w:type="dxa" w:w="4680"/>
          </w:tcPr>
          <w:p>
            <w:r/>
            <w:r>
              <w:t>ID, DESCRIZIONE</w:t>
            </w:r>
          </w:p>
        </w:tc>
        <w:tc>
          <w:tcPr>
            <w:tcW w:type="dxa" w:w="4680"/>
          </w:tcPr>
          <w:p>
            <w:r/>
            <w:r>
              <w:t>3</w:t>
            </w:r>
          </w:p>
        </w:tc>
      </w:tr>
      <w:tr>
        <w:tc>
          <w:tcPr>
            <w:tcW w:type="dxa" w:w="4680"/>
          </w:tcPr>
          <w:p>
            <w:r/>
            <w:r>
              <w:t>ID, DESCRIZIONE, DATAINIZIOVALIDITA, DATAFINEVALIDITA, ORDINAMENTO, IDTIPOCONTENUTO</w:t>
            </w:r>
          </w:p>
        </w:tc>
        <w:tc>
          <w:tcPr>
            <w:tcW w:type="dxa" w:w="4680"/>
          </w:tcPr>
          <w:p>
            <w:r/>
            <w:r>
              <w:t>1</w:t>
            </w:r>
          </w:p>
        </w:tc>
      </w:tr>
      <w:tr>
        <w:tc>
          <w:tcPr>
            <w:tcW w:type="dxa" w:w="4680"/>
          </w:tcPr>
          <w:p>
            <w:r/>
            <w:r>
              <w:t>ID, DESCRIZIONE, DATAINIZIOVALIDITA, DATAFINEVALIDITA, ORDINAMENTO, CODICECONSOLATO</w:t>
            </w:r>
          </w:p>
        </w:tc>
        <w:tc>
          <w:tcPr>
            <w:tcW w:type="dxa" w:w="4680"/>
          </w:tcPr>
          <w:p>
            <w:r/>
            <w:r>
              <w:t>1</w:t>
            </w:r>
          </w:p>
        </w:tc>
      </w:tr>
    </w:tbl>
    <w:p>
      <w:pPr>
        <w:pStyle w:val="Caption"/>
      </w:pPr>
      <w:r>
        <w:t>Tabella 3 – Varianti di intestazione rilevate sulle 145 decodifiche (fonte: [R1])</w:t>
      </w:r>
    </w:p>
    <w:p>
      <w:pPr>
        <w:jc w:val="both"/>
      </w:pPr>
      <w:r>
        <w:t>L’elemento architetturalmente rilevante è la presenza, in 142 tabelle su 145, delle colonne DATAINIZIOVALIDITA e DATAFINEVALIDITA. Le decodifiche non sono dunque semplici associazioni chiave-valore, ma vocabolari storicizzati: ogni voce è valida entro un intervallo temporale definito.</w:t>
      </w:r>
    </w:p>
    <w:p>
      <w:pPr>
        <w:jc w:val="both"/>
      </w:pPr>
      <w:r>
        <w:t>Tale storicizzazione non ha carattere meramente formale. La rilevazione ha individuato 76 voci la cui validità risulta effettivamente chiusa, ossia con DATAFINEVALIDITA valorizzata a una data reale anziché al valore convenzionale 9999-12-31, distribuite su quattro tabelle: 3_dec_use_case, 97_dec_consolato, 100_dec_versione e 96_dec_motivo_recupero. Fra queste figurano le due decodifiche più estese del corpus, ossia proprio quelle che governano i casi d’uso degli atti e i consolati.</w:t>
      </w:r>
    </w:p>
    <w:tbl>
      <w:tblPr>
        <w:tblStyle w:val="GridTable1Light"/>
        <w:tblW w:type="auto" w:w="0"/>
        <w:tblLook w:firstColumn="1" w:firstRow="1" w:lastColumn="0" w:lastRow="0" w:noHBand="0" w:noVBand="1" w:val="04A0"/>
      </w:tblPr>
      <w:tblGrid>
        <w:gridCol w:w="4680"/>
        <w:gridCol w:w="4680"/>
      </w:tblGrid>
      <w:tr>
        <w:tc>
          <w:tcPr>
            <w:tcW w:type="dxa" w:w="4680"/>
          </w:tcPr>
          <w:p>
            <w:r/>
            <w:r>
              <w:rPr>
                <w:b/>
              </w:rPr>
              <w:t>Stato della voce</w:t>
            </w:r>
          </w:p>
        </w:tc>
        <w:tc>
          <w:tcPr>
            <w:tcW w:type="dxa" w:w="4680"/>
          </w:tcPr>
          <w:p>
            <w:r/>
            <w:r>
              <w:rPr>
                <w:b/>
              </w:rPr>
              <w:t>N. voci</w:t>
            </w:r>
          </w:p>
        </w:tc>
      </w:tr>
      <w:tr>
        <w:tc>
          <w:tcPr>
            <w:tcW w:type="dxa" w:w="4680"/>
          </w:tcPr>
          <w:p>
            <w:r/>
            <w:r>
              <w:t>Validità aperta (DATAFINEVALIDITA = 9999-12-31)</w:t>
            </w:r>
          </w:p>
        </w:tc>
        <w:tc>
          <w:tcPr>
            <w:tcW w:type="dxa" w:w="4680"/>
          </w:tcPr>
          <w:p>
            <w:r/>
            <w:r>
              <w:t>1.238</w:t>
            </w:r>
          </w:p>
        </w:tc>
      </w:tr>
      <w:tr>
        <w:tc>
          <w:tcPr>
            <w:tcW w:type="dxa" w:w="4680"/>
          </w:tcPr>
          <w:p>
            <w:r/>
            <w:r>
              <w:t>Validità chiusa (DATAFINEVALIDITA = data reale)</w:t>
            </w:r>
          </w:p>
        </w:tc>
        <w:tc>
          <w:tcPr>
            <w:tcW w:type="dxa" w:w="4680"/>
          </w:tcPr>
          <w:p>
            <w:r/>
            <w:r>
              <w:t>76</w:t>
            </w:r>
          </w:p>
        </w:tc>
      </w:tr>
      <w:tr>
        <w:tc>
          <w:tcPr>
            <w:tcW w:type="dxa" w:w="4680"/>
          </w:tcPr>
          <w:p>
            <w:r/>
            <w:r>
              <w:t>Date di validità non valorizzate</w:t>
            </w:r>
          </w:p>
        </w:tc>
        <w:tc>
          <w:tcPr>
            <w:tcW w:type="dxa" w:w="4680"/>
          </w:tcPr>
          <w:p>
            <w:r/>
            <w:r>
              <w:t>55</w:t>
            </w:r>
          </w:p>
        </w:tc>
      </w:tr>
      <w:tr>
        <w:tc>
          <w:tcPr>
            <w:tcW w:type="dxa" w:w="4680"/>
          </w:tcPr>
          <w:p>
            <w:r/>
            <w:r>
              <w:t>Voci in tabelle prive di colonne temporali</w:t>
            </w:r>
          </w:p>
        </w:tc>
        <w:tc>
          <w:tcPr>
            <w:tcW w:type="dxa" w:w="4680"/>
          </w:tcPr>
          <w:p>
            <w:r/>
            <w:r>
              <w:t>7</w:t>
            </w:r>
          </w:p>
        </w:tc>
      </w:tr>
      <w:tr>
        <w:tc>
          <w:tcPr>
            <w:tcW w:type="dxa" w:w="4680"/>
          </w:tcPr>
          <w:p>
            <w:r/>
            <w:r>
              <w:t>Totale</w:t>
            </w:r>
          </w:p>
        </w:tc>
        <w:tc>
          <w:tcPr>
            <w:tcW w:type="dxa" w:w="4680"/>
          </w:tcPr>
          <w:p>
            <w:r/>
            <w:r>
              <w:t>1.376</w:t>
            </w:r>
          </w:p>
        </w:tc>
      </w:tr>
    </w:tbl>
    <w:p>
      <w:pPr>
        <w:pStyle w:val="Caption"/>
      </w:pPr>
      <w:r>
        <w:t>Tabella 4 – Stato della validità temporale delle voci (fonte: [R1])</w:t>
      </w:r>
    </w:p>
    <w:p>
      <w:pPr>
        <w:jc w:val="both"/>
      </w:pPr>
      <w:r>
        <w:t>Le date di inizio validità valorizzate si distribuiscono su un arco ventennale, con valori che risalgono al 2005 e giungono al 04/06/2026: le decodifiche sono state e continuano a essere modificate nel tempo.</w:t>
      </w:r>
    </w:p>
    <w:p>
      <w:pPr>
        <w:jc w:val="both"/>
      </w:pPr>
      <w:r>
        <w:t>Ne discende il requisito centrale dello studio. La domanda cui il sistema deve rispondere non è «quale descrizione corrisponde oggi al codice 3?», bensì «quale descrizione corrispondeva al codice 3 alla data dell’atto?». Un atto di stato civile formato nel 2019 deve essere decodificato secondo le voci vigenti nel 2019, non secondo quelle vigenti alla data di consultazione. In un contesto di atti pubblici, dotati di efficacia giuridica e soggetti a certificazione, ciò costituisce un requisito di correttezza e non un affinamento facoltativo.</w:t>
      </w:r>
    </w:p>
    <w:p>
      <w:pPr>
        <w:pStyle w:val="Heading2"/>
      </w:pPr>
      <w:r>
        <w:t>Cadenza di aggiornamento</w:t>
      </w:r>
    </w:p>
    <w:p>
      <w:pPr>
        <w:jc w:val="both"/>
      </w:pPr>
      <w:r>
        <w:t>L’analisi della storia Git del repository [R2] mostra che le decodifiche sono aggiornate contestualmente alle release ANSC, con cadenza compresa fra le due e le quattro settimane. La tabella seguente riporta le ultime release che hanno modificato la cartella docs/Decodifiche.</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Data</w:t>
            </w:r>
          </w:p>
        </w:tc>
        <w:tc>
          <w:tcPr>
            <w:tcW w:type="dxa" w:w="3120"/>
          </w:tcPr>
          <w:p>
            <w:r/>
            <w:r>
              <w:rPr>
                <w:b/>
              </w:rPr>
              <w:t>Release</w:t>
            </w:r>
          </w:p>
        </w:tc>
        <w:tc>
          <w:tcPr>
            <w:tcW w:type="dxa" w:w="3120"/>
          </w:tcPr>
          <w:p>
            <w:r/>
            <w:r>
              <w:rPr>
                <w:b/>
              </w:rPr>
              <w:t>N. file di decodifica modificati</w:t>
            </w:r>
          </w:p>
        </w:tc>
      </w:tr>
      <w:tr>
        <w:tc>
          <w:tcPr>
            <w:tcW w:type="dxa" w:w="3120"/>
          </w:tcPr>
          <w:p>
            <w:r/>
            <w:r>
              <w:t>30/06/2026</w:t>
            </w:r>
          </w:p>
        </w:tc>
        <w:tc>
          <w:tcPr>
            <w:tcW w:type="dxa" w:w="3120"/>
          </w:tcPr>
          <w:p>
            <w:r/>
            <w:r>
              <w:t>v1.53.0</w:t>
            </w:r>
          </w:p>
        </w:tc>
        <w:tc>
          <w:tcPr>
            <w:tcW w:type="dxa" w:w="3120"/>
          </w:tcPr>
          <w:p>
            <w:r/>
            <w:r>
              <w:t>2</w:t>
            </w:r>
          </w:p>
        </w:tc>
      </w:tr>
      <w:tr>
        <w:tc>
          <w:tcPr>
            <w:tcW w:type="dxa" w:w="3120"/>
          </w:tcPr>
          <w:p>
            <w:r/>
            <w:r>
              <w:t>18/06/2026</w:t>
            </w:r>
          </w:p>
        </w:tc>
        <w:tc>
          <w:tcPr>
            <w:tcW w:type="dxa" w:w="3120"/>
          </w:tcPr>
          <w:p>
            <w:r/>
            <w:r>
              <w:t>v1.52.1</w:t>
            </w:r>
          </w:p>
        </w:tc>
        <w:tc>
          <w:tcPr>
            <w:tcW w:type="dxa" w:w="3120"/>
          </w:tcPr>
          <w:p>
            <w:r/>
            <w:r>
              <w:t>2</w:t>
            </w:r>
          </w:p>
        </w:tc>
      </w:tr>
      <w:tr>
        <w:tc>
          <w:tcPr>
            <w:tcW w:type="dxa" w:w="3120"/>
          </w:tcPr>
          <w:p>
            <w:r/>
            <w:r>
              <w:t>04/06/2026</w:t>
            </w:r>
          </w:p>
        </w:tc>
        <w:tc>
          <w:tcPr>
            <w:tcW w:type="dxa" w:w="3120"/>
          </w:tcPr>
          <w:p>
            <w:r/>
            <w:r>
              <w:t>v1.52.0</w:t>
            </w:r>
          </w:p>
        </w:tc>
        <w:tc>
          <w:tcPr>
            <w:tcW w:type="dxa" w:w="3120"/>
          </w:tcPr>
          <w:p>
            <w:r/>
            <w:r>
              <w:t>10</w:t>
            </w:r>
          </w:p>
        </w:tc>
      </w:tr>
      <w:tr>
        <w:tc>
          <w:tcPr>
            <w:tcW w:type="dxa" w:w="3120"/>
          </w:tcPr>
          <w:p>
            <w:r/>
            <w:r>
              <w:t>21/05/2026</w:t>
            </w:r>
          </w:p>
        </w:tc>
        <w:tc>
          <w:tcPr>
            <w:tcW w:type="dxa" w:w="3120"/>
          </w:tcPr>
          <w:p>
            <w:r/>
            <w:r>
              <w:t>v1.51.2</w:t>
            </w:r>
          </w:p>
        </w:tc>
        <w:tc>
          <w:tcPr>
            <w:tcW w:type="dxa" w:w="3120"/>
          </w:tcPr>
          <w:p>
            <w:r/>
            <w:r>
              <w:t>54</w:t>
            </w:r>
          </w:p>
        </w:tc>
      </w:tr>
      <w:tr>
        <w:tc>
          <w:tcPr>
            <w:tcW w:type="dxa" w:w="3120"/>
          </w:tcPr>
          <w:p>
            <w:r/>
            <w:r>
              <w:t>04/05/2026</w:t>
            </w:r>
          </w:p>
        </w:tc>
        <w:tc>
          <w:tcPr>
            <w:tcW w:type="dxa" w:w="3120"/>
          </w:tcPr>
          <w:p>
            <w:r/>
            <w:r>
              <w:t>v1.51.0</w:t>
            </w:r>
          </w:p>
        </w:tc>
        <w:tc>
          <w:tcPr>
            <w:tcW w:type="dxa" w:w="3120"/>
          </w:tcPr>
          <w:p>
            <w:r/>
            <w:r>
              <w:t>8</w:t>
            </w:r>
          </w:p>
        </w:tc>
      </w:tr>
      <w:tr>
        <w:tc>
          <w:tcPr>
            <w:tcW w:type="dxa" w:w="3120"/>
          </w:tcPr>
          <w:p>
            <w:r/>
            <w:r>
              <w:t>29/04/2026</w:t>
            </w:r>
          </w:p>
        </w:tc>
        <w:tc>
          <w:tcPr>
            <w:tcW w:type="dxa" w:w="3120"/>
          </w:tcPr>
          <w:p>
            <w:r/>
            <w:r>
              <w:t>v1.50.4</w:t>
            </w:r>
          </w:p>
        </w:tc>
        <w:tc>
          <w:tcPr>
            <w:tcW w:type="dxa" w:w="3120"/>
          </w:tcPr>
          <w:p>
            <w:r/>
            <w:r>
              <w:t>2</w:t>
            </w:r>
          </w:p>
        </w:tc>
      </w:tr>
      <w:tr>
        <w:tc>
          <w:tcPr>
            <w:tcW w:type="dxa" w:w="3120"/>
          </w:tcPr>
          <w:p>
            <w:r/>
            <w:r>
              <w:t>31/03/2026</w:t>
            </w:r>
          </w:p>
        </w:tc>
        <w:tc>
          <w:tcPr>
            <w:tcW w:type="dxa" w:w="3120"/>
          </w:tcPr>
          <w:p>
            <w:r/>
            <w:r>
              <w:t>v1.50.0</w:t>
            </w:r>
          </w:p>
        </w:tc>
        <w:tc>
          <w:tcPr>
            <w:tcW w:type="dxa" w:w="3120"/>
          </w:tcPr>
          <w:p>
            <w:r/>
            <w:r>
              <w:t>14</w:t>
            </w:r>
          </w:p>
        </w:tc>
      </w:tr>
      <w:tr>
        <w:tc>
          <w:tcPr>
            <w:tcW w:type="dxa" w:w="3120"/>
          </w:tcPr>
          <w:p>
            <w:r/>
            <w:r>
              <w:t>03/03/2026</w:t>
            </w:r>
          </w:p>
        </w:tc>
        <w:tc>
          <w:tcPr>
            <w:tcW w:type="dxa" w:w="3120"/>
          </w:tcPr>
          <w:p>
            <w:r/>
            <w:r>
              <w:t>v1.49.0</w:t>
            </w:r>
          </w:p>
        </w:tc>
        <w:tc>
          <w:tcPr>
            <w:tcW w:type="dxa" w:w="3120"/>
          </w:tcPr>
          <w:p>
            <w:r/>
            <w:r>
              <w:t>9</w:t>
            </w:r>
          </w:p>
        </w:tc>
      </w:tr>
    </w:tbl>
    <w:p>
      <w:pPr>
        <w:pStyle w:val="Caption"/>
      </w:pPr>
      <w:r>
        <w:t>Tabella 5 – Ultime release con modifica alle decodifiche (fonte: [R2])</w:t>
      </w:r>
    </w:p>
    <w:p>
      <w:pPr>
        <w:jc w:val="both"/>
      </w:pPr>
      <w:r>
        <w:t>L’ampiezza dell’intervento è variabile: da una singola tabella fino a 54 file modificati in un’unica release (v1.51.2). Il dato qualifica la natura del dato in esame: non si tratta di dato transazionale ad alta mutabilità, ma di dato di riferimento che varia con cadenza quindicinale o mensile, in modo pianificato e versionato. Questa caratteristica è determinante ai fini della valutazione al § 5.</w:t>
      </w:r>
    </w:p>
    <w:p>
      <w:pPr>
        <w:pStyle w:val="Heading2"/>
      </w:pPr>
      <w:r>
        <w:t>Servizi di decodifica già esposti da ANSC</w:t>
      </w:r>
    </w:p>
    <w:p>
      <w:pPr>
        <w:jc w:val="both"/>
      </w:pPr>
      <w:r>
        <w:t>La specifica OpenAPI R901 [R3], versione 1.5.0, documenta un servizio ANSC già in esercizio, dedicato al reperimento delle tabelle di decodifica. Il servizio è esposto su ambiente di produzione e di preproduzione, ed è corredato da un servizio mock per lo sviluppo locale.</w:t>
      </w:r>
    </w:p>
    <w:tbl>
      <w:tblPr>
        <w:tblStyle w:val="GridTable1Light"/>
        <w:tblW w:type="auto" w:w="0"/>
        <w:tblLook w:firstColumn="1" w:firstRow="1" w:lastColumn="0" w:lastRow="0" w:noHBand="0" w:noVBand="1" w:val="04A0"/>
      </w:tblPr>
      <w:tblGrid>
        <w:gridCol w:w="4680"/>
        <w:gridCol w:w="4680"/>
      </w:tblGrid>
      <w:tr>
        <w:tc>
          <w:tcPr>
            <w:tcW w:type="dxa" w:w="4680"/>
          </w:tcPr>
          <w:p>
            <w:r/>
            <w:r>
              <w:rPr>
                <w:b/>
              </w:rPr>
              <w:t>Ambiente</w:t>
            </w:r>
          </w:p>
        </w:tc>
        <w:tc>
          <w:tcPr>
            <w:tcW w:type="dxa" w:w="4680"/>
          </w:tcPr>
          <w:p>
            <w:r/>
            <w:r>
              <w:rPr>
                <w:b/>
              </w:rPr>
              <w:t>Endpoint base</w:t>
            </w:r>
          </w:p>
        </w:tc>
      </w:tr>
      <w:tr>
        <w:tc>
          <w:tcPr>
            <w:tcW w:type="dxa" w:w="4680"/>
          </w:tcPr>
          <w:p>
            <w:r/>
            <w:r>
              <w:t>Produzione</w:t>
            </w:r>
          </w:p>
        </w:tc>
        <w:tc>
          <w:tcPr>
            <w:tcW w:type="dxa" w:w="4680"/>
          </w:tcPr>
          <w:p>
            <w:r/>
            <w:r>
              <w:t>https://anscservice.anpr.interno.it/services/service/val</w:t>
            </w:r>
          </w:p>
        </w:tc>
      </w:tr>
      <w:tr>
        <w:tc>
          <w:tcPr>
            <w:tcW w:type="dxa" w:w="4680"/>
          </w:tcPr>
          <w:p>
            <w:r/>
            <w:r>
              <w:t>Preproduzione</w:t>
            </w:r>
          </w:p>
        </w:tc>
        <w:tc>
          <w:tcPr>
            <w:tcW w:type="dxa" w:w="4680"/>
          </w:tcPr>
          <w:p>
            <w:r/>
            <w:r>
              <w:t>https://anscservicepre.anpr.interno.it/services/service/val</w:t>
            </w:r>
          </w:p>
        </w:tc>
      </w:tr>
      <w:tr>
        <w:tc>
          <w:tcPr>
            <w:tcW w:type="dxa" w:w="4680"/>
          </w:tcPr>
          <w:p>
            <w:r/>
            <w:r>
              <w:t>Mock locale</w:t>
            </w:r>
          </w:p>
        </w:tc>
        <w:tc>
          <w:tcPr>
            <w:tcW w:type="dxa" w:w="4680"/>
          </w:tcPr>
          <w:p>
            <w:r/>
            <w:r>
              <w:t>http://localhost:8083</w:t>
            </w:r>
          </w:p>
        </w:tc>
      </w:tr>
    </w:tbl>
    <w:p>
      <w:pPr>
        <w:pStyle w:val="Caption"/>
      </w:pPr>
      <w:r>
        <w:t>Tabella 6 – Ambienti esposti dal servizio R901 (fonte: [R3])</w:t>
      </w:r>
    </w:p>
    <w:p>
      <w:pPr>
        <w:jc w:val="both"/>
      </w:pPr>
      <w:r>
        <w:t>Le operazioni pertinenti al presente studio sono le seguenti.</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Operazione</w:t>
            </w:r>
          </w:p>
        </w:tc>
        <w:tc>
          <w:tcPr>
            <w:tcW w:type="dxa" w:w="3120"/>
          </w:tcPr>
          <w:p>
            <w:r/>
            <w:r>
              <w:rPr>
                <w:b/>
              </w:rPr>
              <w:t>Descrizione</w:t>
            </w:r>
          </w:p>
        </w:tc>
        <w:tc>
          <w:tcPr>
            <w:tcW w:type="dxa" w:w="3120"/>
          </w:tcPr>
          <w:p>
            <w:r/>
            <w:r>
              <w:rPr>
                <w:b/>
              </w:rPr>
              <w:t>Rilevanza</w:t>
            </w:r>
          </w:p>
        </w:tc>
      </w:tr>
      <w:tr>
        <w:tc>
          <w:tcPr>
            <w:tcW w:type="dxa" w:w="3120"/>
          </w:tcPr>
          <w:p>
            <w:r/>
            <w:r>
              <w:t>POST /config/decodifica/elenco/{version}</w:t>
            </w:r>
          </w:p>
        </w:tc>
        <w:tc>
          <w:tcPr>
            <w:tcW w:type="dxa" w:w="3120"/>
          </w:tcPr>
          <w:p>
            <w:r/>
            <w:r>
              <w:t>Restituisce l’elenco delle decodifiche. Per ciascuna: id, descrizione e versione.</w:t>
            </w:r>
          </w:p>
        </w:tc>
        <w:tc>
          <w:tcPr>
            <w:tcW w:type="dxa" w:w="3120"/>
          </w:tcPr>
          <w:p>
            <w:r/>
            <w:r>
              <w:t>Abilita il rilevamento delle variazioni senza scaricare i contenuti.</w:t>
            </w:r>
          </w:p>
        </w:tc>
      </w:tr>
      <w:tr>
        <w:tc>
          <w:tcPr>
            <w:tcW w:type="dxa" w:w="3120"/>
          </w:tcPr>
          <w:p>
            <w:r/>
            <w:r>
              <w:t>POST /config/decodifica/dettaglio/{version}</w:t>
            </w:r>
          </w:p>
        </w:tc>
        <w:tc>
          <w:tcPr>
            <w:tcW w:type="dxa" w:w="3120"/>
          </w:tcPr>
          <w:p>
            <w:r/>
            <w:r>
              <w:t>Restituisce il contenuto di una singola decodifica in formato CSV, opzionalmente compresso e codificato in base64.</w:t>
            </w:r>
          </w:p>
        </w:tc>
        <w:tc>
          <w:tcPr>
            <w:tcW w:type="dxa" w:w="3120"/>
          </w:tcPr>
          <w:p>
            <w:r/>
            <w:r>
              <w:t>Reperimento del contenuto delle sole tabelle variate.</w:t>
            </w:r>
          </w:p>
        </w:tc>
      </w:tr>
      <w:tr>
        <w:tc>
          <w:tcPr>
            <w:tcW w:type="dxa" w:w="3120"/>
          </w:tcPr>
          <w:p>
            <w:r/>
            <w:r>
              <w:t>POST /config/decodifica/data_adesione/{version}</w:t>
            </w:r>
          </w:p>
        </w:tc>
        <w:tc>
          <w:tcPr>
            <w:tcW w:type="dxa" w:w="3120"/>
          </w:tcPr>
          <w:p>
            <w:r/>
            <w:r>
              <w:t>Verifica la data di adesione di un comune.</w:t>
            </w:r>
          </w:p>
        </w:tc>
        <w:tc>
          <w:tcPr>
            <w:tcW w:type="dxa" w:w="3120"/>
          </w:tcPr>
          <w:p>
            <w:r/>
            <w:r>
              <w:t>Non pertinente alla distribuzione delle decodifiche.</w:t>
            </w:r>
          </w:p>
        </w:tc>
      </w:tr>
      <w:tr>
        <w:tc>
          <w:tcPr>
            <w:tcW w:type="dxa" w:w="3120"/>
          </w:tcPr>
          <w:p>
            <w:r/>
            <w:r>
              <w:t>POST /config/decodifica/usecase-multilingua/{version}</w:t>
            </w:r>
          </w:p>
        </w:tc>
        <w:tc>
          <w:tcPr>
            <w:tcW w:type="dxa" w:w="3120"/>
          </w:tcPr>
          <w:p>
            <w:r/>
            <w:r>
              <w:t>Restituisce l’elenco dei casi d’uso multilingua supportati.</w:t>
            </w:r>
          </w:p>
        </w:tc>
        <w:tc>
          <w:tcPr>
            <w:tcW w:type="dxa" w:w="3120"/>
          </w:tcPr>
          <w:p>
            <w:r/>
            <w:r>
              <w:t>Rilevante per eventuali esigenze di localizzazione.</w:t>
            </w:r>
          </w:p>
        </w:tc>
      </w:tr>
    </w:tbl>
    <w:p>
      <w:pPr>
        <w:pStyle w:val="Caption"/>
      </w:pPr>
      <w:r>
        <w:t>Tabella 7 – Operazioni esposte dal servizio R901 (fonte: [R3])</w:t>
      </w:r>
    </w:p>
    <w:p>
      <w:pPr>
        <w:jc w:val="both"/>
      </w:pPr>
      <w:r>
        <w:t>Merita particolare attenzione lo schema ModelSintesiDecodifica restituito dall’operazione di elenco, che espone per ciascuna tabella un attributo versione distinto. Tale attributo costituisce, di fatto, un protocollo di sincronizzazione già disponibile: è sufficiente interrogare l’elenco, confrontare le versioni con quelle detenute localmente e richiedere il dettaglio delle sole tabelle variate.</w:t>
      </w:r>
    </w:p>
    <w:p>
      <w:pPr>
        <w:jc w:val="both"/>
      </w:pPr>
      <w:r>
        <w:t>Ne discendono due conseguenze operative. In primo luogo, non è necessario progettare un meccanismo proprietario di rilevamento delle variazioni, né ricorrere all’interrogazione diretta del repository pubblico. In secondo luogo, si chiarisce il ruolo delle sorgenti: il repository [R1] ha natura documentale e di riferimento, mentre l’autorità in esercizio è il servizio R901.</w:t>
      </w:r>
    </w:p>
    <w:p>
      <w:pPr>
        <w:pStyle w:val="Heading2"/>
      </w:pPr>
      <w:r>
        <w:t>Anomalie e qualità del dato</w:t>
      </w:r>
    </w:p>
    <w:p>
      <w:pPr>
        <w:jc w:val="both"/>
      </w:pPr>
      <w:r>
        <w:t>La rilevazione ha evidenziato alcune anomalie che la soluzione deve gestire esplicitamente.</w:t>
      </w:r>
    </w:p>
    <w:p>
      <w:pPr>
        <w:pStyle w:val="ListParagraph"/>
        <w:jc w:val="both"/>
      </w:pPr>
      <w:r>
        <w:t>•</w:t>
        <w:tab/>
        <w:t>Tre decodifiche — 28_dec_tipo_firma, 60_dec_dichiarazione_congiunta e 63_dec_ruolo_usc — sono prive delle colonne di validità temporale. Per esse non è possibile alcuna risoluzione storica: vanno trattate come permanentemente valide.</w:t>
      </w:r>
    </w:p>
    <w:p>
      <w:pPr>
        <w:pStyle w:val="ListParagraph"/>
        <w:jc w:val="both"/>
      </w:pPr>
      <w:r>
        <w:t>•</w:t>
        <w:tab/>
        <w:t>Cinquantacinque voci, distribuite su undici tabelle, presentano le date di validità non valorizzate. In tutti gli undici casi l’omissione riguarda la totalità delle righe della tabella, il che suggerisce una caratteristica sistematica della sorgente anziché un errore isolato. Nove delle undici tabelle appartengono al dominio DMNM.</w:t>
      </w:r>
    </w:p>
    <w:p>
      <w:pPr>
        <w:pStyle w:val="ListParagraph"/>
        <w:jc w:val="both"/>
      </w:pPr>
      <w:r>
        <w:t>•</w:t>
        <w:tab/>
        <w:t>La duplicazione CSV/XLSX costituisce una ridondanza, non un conflitto: il contenuto verificato coincide. La soluzione deve nondimeno assumere un unico formato canonico per evitare divergenze future.</w:t>
      </w:r>
    </w:p>
    <w:p>
      <w:pPr>
        <w:jc w:val="both"/>
      </w:pPr>
      <w:r>
        <w:t>[DA VERIFICARE: semantica attribuita da ANSC alle date di validità non valorizzate. È necessario stabilire se debbano interpretarsi come validità illimitata o come dato mancante, poiché le due letture producono esiti diversi nella risoluzione storica.]</w:t>
      </w:r>
    </w:p>
    <w:p>
      <w:pPr>
        <w:jc w:val="both"/>
      </w:pPr>
      <w:r>
        <w:t>Non sono stati rilevati conflitti fra le sorgenti analizzate.</w:t>
      </w:r>
    </w:p>
    <w:p>
      <w:r>
        <w:br w:type="page"/>
      </w:r>
    </w:p>
    <w:p>
      <w:pPr>
        <w:pStyle w:val="Heading1"/>
      </w:pPr>
      <w:r>
        <w:t>Requisiti della soluzione</w:t>
      </w:r>
    </w:p>
    <w:p>
      <w:pPr>
        <w:jc w:val="both"/>
      </w:pPr>
      <w:r>
        <w:t>I requisiti seguenti sono desunti dalle evidenze del § 3. Non sono stati elicitati presso gli stakeholder: il capitolo va pertanto inteso come proposta di requisiti da sottoporre a validazione.</w:t>
      </w:r>
    </w:p>
    <w:p>
      <w:pPr>
        <w:pStyle w:val="Heading2"/>
      </w:pPr>
      <w:r>
        <w:t>Requisiti funzionali</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Requisito</w:t>
            </w:r>
          </w:p>
        </w:tc>
        <w:tc>
          <w:tcPr>
            <w:tcW w:type="dxa" w:w="3120"/>
          </w:tcPr>
          <w:p>
            <w:r/>
            <w:r>
              <w:rPr>
                <w:b/>
              </w:rPr>
              <w:t>Origine</w:t>
            </w:r>
          </w:p>
        </w:tc>
      </w:tr>
      <w:tr>
        <w:tc>
          <w:tcPr>
            <w:tcW w:type="dxa" w:w="3120"/>
          </w:tcPr>
          <w:p>
            <w:r/>
            <w:r>
              <w:t>RF-01</w:t>
            </w:r>
          </w:p>
        </w:tc>
        <w:tc>
          <w:tcPr>
            <w:tcW w:type="dxa" w:w="3120"/>
          </w:tcPr>
          <w:p>
            <w:r/>
            <w:r>
              <w:t>Il sistema deve risolvere un codice in descrizione per ciascuna delle 145 decodifiche ANSC.</w:t>
            </w:r>
          </w:p>
        </w:tc>
        <w:tc>
          <w:tcPr>
            <w:tcW w:type="dxa" w:w="3120"/>
          </w:tcPr>
          <w:p>
            <w:r/>
            <w:r>
              <w:t>§ 3.1</w:t>
            </w:r>
          </w:p>
        </w:tc>
      </w:tr>
      <w:tr>
        <w:tc>
          <w:tcPr>
            <w:tcW w:type="dxa" w:w="3120"/>
          </w:tcPr>
          <w:p>
            <w:r/>
            <w:r>
              <w:t>RF-02</w:t>
            </w:r>
          </w:p>
        </w:tc>
        <w:tc>
          <w:tcPr>
            <w:tcW w:type="dxa" w:w="3120"/>
          </w:tcPr>
          <w:p>
            <w:r/>
            <w:r>
              <w:t>Il sistema deve risolvere un codice rispetto a una data di riferimento specificata, restituendo la voce vigente a tale data.</w:t>
            </w:r>
          </w:p>
        </w:tc>
        <w:tc>
          <w:tcPr>
            <w:tcW w:type="dxa" w:w="3120"/>
          </w:tcPr>
          <w:p>
            <w:r/>
            <w:r>
              <w:t>§ 3.2</w:t>
            </w:r>
          </w:p>
        </w:tc>
      </w:tr>
      <w:tr>
        <w:tc>
          <w:tcPr>
            <w:tcW w:type="dxa" w:w="3120"/>
          </w:tcPr>
          <w:p>
            <w:r/>
            <w:r>
              <w:t>RF-03</w:t>
            </w:r>
          </w:p>
        </w:tc>
        <w:tc>
          <w:tcPr>
            <w:tcW w:type="dxa" w:w="3120"/>
          </w:tcPr>
          <w:p>
            <w:r/>
            <w:r>
              <w:t>Il sistema deve mantenere la storia delle voci non più vigenti e non limitarsi alle voci correnti.</w:t>
            </w:r>
          </w:p>
        </w:tc>
        <w:tc>
          <w:tcPr>
            <w:tcW w:type="dxa" w:w="3120"/>
          </w:tcPr>
          <w:p>
            <w:r/>
            <w:r>
              <w:t>§ 3.2</w:t>
            </w:r>
          </w:p>
        </w:tc>
      </w:tr>
      <w:tr>
        <w:tc>
          <w:tcPr>
            <w:tcW w:type="dxa" w:w="3120"/>
          </w:tcPr>
          <w:p>
            <w:r/>
            <w:r>
              <w:t>RF-04</w:t>
            </w:r>
          </w:p>
        </w:tc>
        <w:tc>
          <w:tcPr>
            <w:tcW w:type="dxa" w:w="3120"/>
          </w:tcPr>
          <w:p>
            <w:r/>
            <w:r>
              <w:t>Il sistema deve sincronizzarsi con ANSC rilevando le variazioni tramite l’attributo versione esposto da R901.</w:t>
            </w:r>
          </w:p>
        </w:tc>
        <w:tc>
          <w:tcPr>
            <w:tcW w:type="dxa" w:w="3120"/>
          </w:tcPr>
          <w:p>
            <w:r/>
            <w:r>
              <w:t>§ 3.4</w:t>
            </w:r>
          </w:p>
        </w:tc>
      </w:tr>
      <w:tr>
        <w:tc>
          <w:tcPr>
            <w:tcW w:type="dxa" w:w="3120"/>
          </w:tcPr>
          <w:p>
            <w:r/>
            <w:r>
              <w:t>RF-05</w:t>
            </w:r>
          </w:p>
        </w:tc>
        <w:tc>
          <w:tcPr>
            <w:tcW w:type="dxa" w:w="3120"/>
          </w:tcPr>
          <w:p>
            <w:r/>
            <w:r>
              <w:t>Il sistema deve esporre l’elenco delle decodifiche disponibili con la relativa versione.</w:t>
            </w:r>
          </w:p>
        </w:tc>
        <w:tc>
          <w:tcPr>
            <w:tcW w:type="dxa" w:w="3120"/>
          </w:tcPr>
          <w:p>
            <w:r/>
            <w:r>
              <w:t>§ 3.4</w:t>
            </w:r>
          </w:p>
        </w:tc>
      </w:tr>
      <w:tr>
        <w:tc>
          <w:tcPr>
            <w:tcW w:type="dxa" w:w="3120"/>
          </w:tcPr>
          <w:p>
            <w:r/>
            <w:r>
              <w:t>RF-06</w:t>
            </w:r>
          </w:p>
        </w:tc>
        <w:tc>
          <w:tcPr>
            <w:tcW w:type="dxa" w:w="3120"/>
          </w:tcPr>
          <w:p>
            <w:r/>
            <w:r>
              <w:t>Il sistema deve consentire di determinare quale versione di ciascuna decodifica sia in uso presso ciascun sistema consumatore.</w:t>
            </w:r>
          </w:p>
        </w:tc>
        <w:tc>
          <w:tcPr>
            <w:tcW w:type="dxa" w:w="3120"/>
          </w:tcPr>
          <w:p>
            <w:r/>
            <w:r>
              <w:t>§ 5.1</w:t>
            </w:r>
          </w:p>
        </w:tc>
      </w:tr>
      <w:tr>
        <w:tc>
          <w:tcPr>
            <w:tcW w:type="dxa" w:w="3120"/>
          </w:tcPr>
          <w:p>
            <w:r/>
            <w:r>
              <w:t>RF-07</w:t>
            </w:r>
          </w:p>
        </w:tc>
        <w:tc>
          <w:tcPr>
            <w:tcW w:type="dxa" w:w="3120"/>
          </w:tcPr>
          <w:p>
            <w:r/>
            <w:r>
              <w:t>Il sistema deve gestire gli attributi aggiuntivi presenti in alcune decodifiche (IDTIPOCONTENUTO, CODICECONSOLATO) senza richiedere uno schema dedicato per tabella.</w:t>
            </w:r>
          </w:p>
        </w:tc>
        <w:tc>
          <w:tcPr>
            <w:tcW w:type="dxa" w:w="3120"/>
          </w:tcPr>
          <w:p>
            <w:r/>
            <w:r>
              <w:t>§ 3.2</w:t>
            </w:r>
          </w:p>
        </w:tc>
      </w:tr>
      <w:tr>
        <w:tc>
          <w:tcPr>
            <w:tcW w:type="dxa" w:w="3120"/>
          </w:tcPr>
          <w:p>
            <w:r/>
            <w:r>
              <w:t>RF-08</w:t>
            </w:r>
          </w:p>
        </w:tc>
        <w:tc>
          <w:tcPr>
            <w:tcW w:type="dxa" w:w="3120"/>
          </w:tcPr>
          <w:p>
            <w:r/>
            <w:r>
              <w:t>Il sistema deve gestire le decodifiche prive di colonne temporali e le voci con date non valorizzate secondo una semantica definita.</w:t>
            </w:r>
          </w:p>
        </w:tc>
        <w:tc>
          <w:tcPr>
            <w:tcW w:type="dxa" w:w="3120"/>
          </w:tcPr>
          <w:p>
            <w:r/>
            <w:r>
              <w:t>§ 3.5</w:t>
            </w:r>
          </w:p>
        </w:tc>
      </w:tr>
    </w:tbl>
    <w:p>
      <w:pPr>
        <w:pStyle w:val="Caption"/>
      </w:pPr>
      <w:r>
        <w:t>Tabella 8 – Requisiti funzionali proposti</w:t>
      </w:r>
    </w:p>
    <w:p>
      <w:pPr>
        <w:pStyle w:val="Heading2"/>
      </w:pPr>
      <w:r>
        <w:t>Requisiti non funzionali</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Requisito</w:t>
            </w:r>
          </w:p>
        </w:tc>
        <w:tc>
          <w:tcPr>
            <w:tcW w:type="dxa" w:w="3120"/>
          </w:tcPr>
          <w:p>
            <w:r/>
            <w:r>
              <w:rPr>
                <w:b/>
              </w:rPr>
              <w:t>Note</w:t>
            </w:r>
          </w:p>
        </w:tc>
      </w:tr>
      <w:tr>
        <w:tc>
          <w:tcPr>
            <w:tcW w:type="dxa" w:w="3120"/>
          </w:tcPr>
          <w:p>
            <w:r/>
            <w:r>
              <w:t>RNF-01</w:t>
            </w:r>
          </w:p>
        </w:tc>
        <w:tc>
          <w:tcPr>
            <w:tcW w:type="dxa" w:w="3120"/>
          </w:tcPr>
          <w:p>
            <w:r/>
            <w:r>
              <w:t>La risoluzione di un codice non deve introdurre latenza percepibile nei processi applicativi.</w:t>
            </w:r>
          </w:p>
        </w:tc>
        <w:tc>
          <w:tcPr>
            <w:tcW w:type="dxa" w:w="3120"/>
          </w:tcPr>
          <w:p>
            <w:r/>
            <w:r>
              <w:t>Il volume misurato (§ 3.1) consente la residenza in memoria.</w:t>
            </w:r>
          </w:p>
        </w:tc>
      </w:tr>
      <w:tr>
        <w:tc>
          <w:tcPr>
            <w:tcW w:type="dxa" w:w="3120"/>
          </w:tcPr>
          <w:p>
            <w:r/>
            <w:r>
              <w:t>RNF-02</w:t>
            </w:r>
          </w:p>
        </w:tc>
        <w:tc>
          <w:tcPr>
            <w:tcW w:type="dxa" w:w="3120"/>
          </w:tcPr>
          <w:p>
            <w:r/>
            <w:r>
              <w:t>L’indisponibilità della componente di distribuzione non deve impedire ai sistemi consumatori di decodificare.</w:t>
            </w:r>
          </w:p>
        </w:tc>
        <w:tc>
          <w:tcPr>
            <w:tcW w:type="dxa" w:w="3120"/>
          </w:tcPr>
          <w:p>
            <w:r/>
            <w:r>
              <w:t>Requisito dirimente: cfr. § 5.2.</w:t>
            </w:r>
          </w:p>
        </w:tc>
      </w:tr>
      <w:tr>
        <w:tc>
          <w:tcPr>
            <w:tcW w:type="dxa" w:w="3120"/>
          </w:tcPr>
          <w:p>
            <w:r/>
            <w:r>
              <w:t>RNF-03</w:t>
            </w:r>
          </w:p>
        </w:tc>
        <w:tc>
          <w:tcPr>
            <w:tcW w:type="dxa" w:w="3120"/>
          </w:tcPr>
          <w:p>
            <w:r/>
            <w:r>
              <w:t>Ogni risoluzione deve essere riconducibile a una versione identificata della decodifica, ai fini di audit.</w:t>
            </w:r>
          </w:p>
        </w:tc>
        <w:tc>
          <w:tcPr>
            <w:tcW w:type="dxa" w:w="3120"/>
          </w:tcPr>
          <w:p>
            <w:r/>
            <w:r>
              <w:t>Contesto di atti pubblici.</w:t>
            </w:r>
          </w:p>
        </w:tc>
      </w:tr>
      <w:tr>
        <w:tc>
          <w:tcPr>
            <w:tcW w:type="dxa" w:w="3120"/>
          </w:tcPr>
          <w:p>
            <w:r/>
            <w:r>
              <w:t>RNF-04</w:t>
            </w:r>
          </w:p>
        </w:tc>
        <w:tc>
          <w:tcPr>
            <w:tcW w:type="dxa" w:w="3120"/>
          </w:tcPr>
          <w:p>
            <w:r/>
            <w:r>
              <w:t>L’indisponibilità temporanea del servizio ANSC non deve propagarsi ai sistemi consumatori.</w:t>
            </w:r>
          </w:p>
        </w:tc>
        <w:tc>
          <w:tcPr>
            <w:tcW w:type="dxa" w:w="3120"/>
          </w:tcPr>
          <w:p>
            <w:r/>
            <w:r>
              <w:t>La sincronizzazione è asincrona rispetto all’uso.</w:t>
            </w:r>
          </w:p>
        </w:tc>
      </w:tr>
      <w:tr>
        <w:tc>
          <w:tcPr>
            <w:tcW w:type="dxa" w:w="3120"/>
          </w:tcPr>
          <w:p>
            <w:r/>
            <w:r>
              <w:t>RNF-05</w:t>
            </w:r>
          </w:p>
        </w:tc>
        <w:tc>
          <w:tcPr>
            <w:tcW w:type="dxa" w:w="3120"/>
          </w:tcPr>
          <w:p>
            <w:r/>
            <w:r>
              <w:t>I sistemi consumatori devono utilizzare la medesima versione di ciascuna decodifica in un dato momento.</w:t>
            </w:r>
          </w:p>
        </w:tc>
        <w:tc>
          <w:tcPr>
            <w:tcW w:type="dxa" w:w="3120"/>
          </w:tcPr>
          <w:p>
            <w:r/>
            <w:r>
              <w:t>Requisito di allineamento: cfr. § 5.1.</w:t>
            </w:r>
          </w:p>
        </w:tc>
      </w:tr>
      <w:tr>
        <w:tc>
          <w:tcPr>
            <w:tcW w:type="dxa" w:w="3120"/>
          </w:tcPr>
          <w:p>
            <w:r/>
            <w:r>
              <w:t>RNF-06</w:t>
            </w:r>
          </w:p>
        </w:tc>
        <w:tc>
          <w:tcPr>
            <w:tcW w:type="dxa" w:w="3120"/>
          </w:tcPr>
          <w:p>
            <w:r/>
            <w:r>
              <w:t>La soluzione deve minimizzare i componenti infrastrutturali da esercire.</w:t>
            </w:r>
          </w:p>
        </w:tc>
        <w:tc>
          <w:tcPr>
            <w:tcW w:type="dxa" w:w="3120"/>
          </w:tcPr>
          <w:p>
            <w:r/>
            <w:r>
              <w:t>Sostenibilità operativa.</w:t>
            </w:r>
          </w:p>
        </w:tc>
      </w:tr>
      <w:tr>
        <w:tc>
          <w:tcPr>
            <w:tcW w:type="dxa" w:w="3120"/>
          </w:tcPr>
          <w:p>
            <w:r/>
            <w:r>
              <w:t>RNF-07</w:t>
            </w:r>
          </w:p>
        </w:tc>
        <w:tc>
          <w:tcPr>
            <w:tcW w:type="dxa" w:w="3120"/>
          </w:tcPr>
          <w:p>
            <w:r/>
            <w:r>
              <w:t>[DA VERIFICARE: volumi di traffico attesi, SLA di disponibilità e finestre di aggiornamento ammesse.]</w:t>
            </w:r>
          </w:p>
        </w:tc>
        <w:tc>
          <w:tcPr>
            <w:tcW w:type="dxa" w:w="3120"/>
          </w:tcPr>
          <w:p>
            <w:r/>
            <w:r>
              <w:t>Non elicitati.</w:t>
            </w:r>
          </w:p>
        </w:tc>
      </w:tr>
    </w:tbl>
    <w:p>
      <w:pPr>
        <w:pStyle w:val="Caption"/>
      </w:pPr>
      <w:r>
        <w:t>Tabella 9 – Requisiti non funzionali proposti</w:t>
      </w:r>
    </w:p>
    <w:p>
      <w:r>
        <w:br w:type="page"/>
      </w:r>
    </w:p>
    <w:p>
      <w:pPr>
        <w:pStyle w:val="Heading1"/>
      </w:pPr>
      <w:r>
        <w:t>Valutazione delle opzioni tecnologiche</w:t>
      </w:r>
    </w:p>
    <w:p>
      <w:pPr>
        <w:pStyle w:val="Heading2"/>
      </w:pPr>
      <w:r>
        <w:t>Criteri di valutazione</w:t>
      </w:r>
    </w:p>
    <w:p>
      <w:pPr>
        <w:jc w:val="both"/>
      </w:pPr>
      <w:r>
        <w:t>Le opzioni sono valutate rispetto a sei criteri, derivati dai requisiti del § 4. I primi due meritano una precisazione preliminare, poiché costituiscono il discrimine fra le alternative.</w:t>
      </w:r>
    </w:p>
    <w:p>
      <w:pPr>
        <w:pStyle w:val="ListParagraph"/>
        <w:jc w:val="both"/>
      </w:pPr>
      <w:r>
        <w:t>•</w:t>
        <w:tab/>
        <w:t>Correttezza temporale — capacità di risolvere un codice alla data dell’atto e non alla data della consultazione (RF-02, RF-03).</w:t>
      </w:r>
    </w:p>
    <w:p>
      <w:pPr>
        <w:pStyle w:val="ListParagraph"/>
        <w:jc w:val="both"/>
      </w:pPr>
      <w:r>
        <w:t>•</w:t>
        <w:tab/>
        <w:t>Allineamento fra sistemi — garanzia che sistemi diversi decodifichino il medesimo codice nel medesimo modo nel medesimo istante (RNF-05).</w:t>
      </w:r>
    </w:p>
    <w:p>
      <w:pPr>
        <w:pStyle w:val="ListParagraph"/>
        <w:jc w:val="both"/>
      </w:pPr>
      <w:r>
        <w:t>•</w:t>
        <w:tab/>
        <w:t>Resilienza — comportamento dei consumatori in caso di indisponibilità della componente di distribuzione (RNF-02, RNF-04).</w:t>
      </w:r>
    </w:p>
    <w:p>
      <w:pPr>
        <w:pStyle w:val="ListParagraph"/>
        <w:jc w:val="both"/>
      </w:pPr>
      <w:r>
        <w:t>•</w:t>
        <w:tab/>
        <w:t>Onere di esercizio — numero e complessità dei componenti da presidiare (RNF-06).</w:t>
      </w:r>
    </w:p>
    <w:p>
      <w:pPr>
        <w:pStyle w:val="ListParagraph"/>
        <w:jc w:val="both"/>
      </w:pPr>
      <w:r>
        <w:t>•</w:t>
        <w:tab/>
        <w:t>Auditabilità — tracciabilità della versione utilizzata per ciascuna risoluzione (RNF-03).</w:t>
      </w:r>
    </w:p>
    <w:p>
      <w:pPr>
        <w:pStyle w:val="ListParagraph"/>
        <w:jc w:val="both"/>
      </w:pPr>
      <w:r>
        <w:t>•</w:t>
        <w:tab/>
        <w:t>Adeguatezza alla scala — proporzione fra la soluzione e il volume effettivo del dato (§ 3.1).</w:t>
      </w:r>
    </w:p>
    <w:p>
      <w:pPr>
        <w:jc w:val="both"/>
      </w:pPr>
      <w:r>
        <w:t>Sul criterio dell’allineamento occorre soffermarsi, poiché costituisce il rischio meno evidente e più severo. Qualora ciascun sistema consumatore sincronizzasse autonomamente le decodifiche, sistemi che abbiano effettuato la sincronizzazione in momenti diversi deterrebbero versioni diverse della medesima tabella. Il medesimo codice risulterebbe pertanto decodificato in modo difforme a seconda del sistema interrogato. Trattandosi di atti di stato civile, ciò configura un problema di integrità del dato con potenziali riflessi sulla certificazione. Il rischio effettivo del progetto risiede qui, non nella latenza di accesso.</w:t>
      </w:r>
    </w:p>
    <w:p>
      <w:pPr>
        <w:pStyle w:val="Heading2"/>
      </w:pPr>
      <w:r>
        <w:t>Opzione A — Cache distribuita in memoria (Redis)</w:t>
      </w:r>
    </w:p>
    <w:p>
      <w:pPr>
        <w:jc w:val="both"/>
      </w:pPr>
      <w:r>
        <w:t>L’opzione prevede il caricamento delle decodifiche in un’istanza Redis condivisa, interrogata dai sistemi consumatori in fase di risoluzione.</w:t>
      </w:r>
    </w:p>
    <w:p>
      <w:pPr>
        <w:jc w:val="both"/>
      </w:pPr>
      <w:r>
        <w:t>Redis è tecnologia matura e appropriata alla propria classe di problemi: working set eccedente la memoria del singolo processo, necessità di coordinamento o invalidazione fra processi, volumi di accesso elevati con requisiti di latenza stringenti. La valutazione che segue non ne mette in discussione la qualità, bensì l’aderenza al problema in esame.</w:t>
      </w:r>
    </w:p>
    <w:p>
      <w:pPr>
        <w:jc w:val="both"/>
      </w:pPr>
      <w:r>
        <w:t>Rispetto ai criteri del § 5.1 emergono i seguenti rilievi.</w:t>
      </w:r>
    </w:p>
    <w:p>
      <w:pPr>
        <w:pStyle w:val="ListParagraph"/>
        <w:jc w:val="both"/>
      </w:pPr>
      <w:r>
        <w:t>•</w:t>
        <w:tab/>
        <w:t>Correttezza temporale — il modello chiave-valore di Redis restituisce il valore corrente. La risoluzione a una data richiederebbe di codificare l’intervallo di validità nella chiave o di replicare in Redis una struttura storicizzata, riproducendo su un motore non relazionale una funzione che un database relazionale assolve nativamente. Il requisito RF-02 non è soddisfatto senza sviluppo aggiuntivo significativo.</w:t>
      </w:r>
    </w:p>
    <w:p>
      <w:pPr>
        <w:pStyle w:val="ListParagraph"/>
        <w:jc w:val="both"/>
      </w:pPr>
      <w:r>
        <w:t>•</w:t>
        <w:tab/>
        <w:t>Resilienza — l’opzione trasforma una tabella di riferimento statica in una dipendenza di rete in esercizio. L’indisponibilità dell’istanza impedisce a tutti i consumatori di decodificare, introducendo un punto singolo di rottura a fronte di un dato che varia due volte al mese. Il requisito RNF-02 non è soddisfatto.</w:t>
      </w:r>
    </w:p>
    <w:p>
      <w:pPr>
        <w:pStyle w:val="ListParagraph"/>
        <w:jc w:val="both"/>
      </w:pPr>
      <w:r>
        <w:t>•</w:t>
        <w:tab/>
        <w:t>Onere di esercizio — l’adozione comporta il presidio di un componente aggiuntivo: alta disponibilità, replica, failover, aggiornamenti di sicurezza e monitoraggio, a fronte di 150 KB di dato.</w:t>
      </w:r>
    </w:p>
    <w:p>
      <w:pPr>
        <w:pStyle w:val="ListParagraph"/>
        <w:jc w:val="both"/>
      </w:pPr>
      <w:r>
        <w:t>•</w:t>
        <w:tab/>
        <w:t>Auditabilità — Redis non fornisce nativamente versionamento né storia delle modifiche. Il requisito RNF-03 richiederebbe una componente separata.</w:t>
      </w:r>
    </w:p>
    <w:p>
      <w:pPr>
        <w:pStyle w:val="ListParagraph"/>
        <w:jc w:val="both"/>
      </w:pPr>
      <w:r>
        <w:t>•</w:t>
        <w:tab/>
        <w:t>Allineamento — il criterio risulterebbe soddisfatto, poiché una cache condivisa assicura per costruzione che tutti i consumatori leggano il medesimo valore. Si tratta del punto di forza dell’opzione.</w:t>
      </w:r>
    </w:p>
    <w:p>
      <w:pPr>
        <w:pStyle w:val="ListParagraph"/>
        <w:jc w:val="both"/>
      </w:pPr>
      <w:r>
        <w:t>•</w:t>
        <w:tab/>
        <w:t>Adeguatezza alla scala — il beneficio proprio di Redis, ossia la riduzione della latenza su volumi elevati, non trova qui applicazione: un dataset di 200 KB risiede nella memoria del processo consumatore, con accesso in nanosecondi anziché in millisecondi attraverso la rete.</w:t>
      </w:r>
    </w:p>
    <w:p>
      <w:pPr>
        <w:jc w:val="both"/>
      </w:pPr>
      <w:r>
        <w:t>La valutazione conclusiva è che l’opzione risponda a un problema di scala che le misure del § 3.1 escludono, e non risolva il problema di correttezza temporale che le misure del § 3.2 documentano. Il beneficio di allineamento che essa offre è conseguibile con altri mezzi, come esposto al § 5.3.</w:t>
      </w:r>
    </w:p>
    <w:p>
      <w:pPr>
        <w:pStyle w:val="Heading2"/>
      </w:pPr>
      <w:r>
        <w:t>Opzione B — Artefatti versionati</w:t>
      </w:r>
    </w:p>
    <w:p>
      <w:pPr>
        <w:jc w:val="both"/>
      </w:pPr>
      <w:r>
        <w:t>L’opzione prevede che una catena di integrazione continua produca, a ogni variazione delle decodifiche, un pacchetto versionato per ciascuna piattaforma tecnologica in uso (ad esempio npm, Maven, PyPI), contenente le decodifiche sotto forma di enumerazioni tipizzate e di struttura dati interrogabile. Ciascun sistema consumatore dichiara la dipendenza da una versione determinata.</w:t>
      </w:r>
    </w:p>
    <w:p>
      <w:pPr>
        <w:pStyle w:val="ListParagraph"/>
        <w:jc w:val="both"/>
      </w:pPr>
      <w:r>
        <w:t>•</w:t>
        <w:tab/>
        <w:t>Correttezza temporale — soddisfatta, purché l’artefatto includa gli intervalli di validità e la libreria esponga la risoluzione a una data.</w:t>
      </w:r>
    </w:p>
    <w:p>
      <w:pPr>
        <w:pStyle w:val="ListParagraph"/>
        <w:jc w:val="both"/>
      </w:pPr>
      <w:r>
        <w:t>•</w:t>
        <w:tab/>
        <w:t>Allineamento — soddisfatto in modo governabile: la versione in uso presso ciascun sistema è esplicita, dichiarata e verificabile. La promozione di una nuova versione è un atto deliberato e coordinato anziché l’esito accidentale del momento in cui ciascun sistema ha effettuato la sincronizzazione.</w:t>
      </w:r>
    </w:p>
    <w:p>
      <w:pPr>
        <w:pStyle w:val="ListParagraph"/>
        <w:jc w:val="both"/>
      </w:pPr>
      <w:r>
        <w:t>•</w:t>
        <w:tab/>
        <w:t>Resilienza — massima: assenza di dipendenze in esercizio. Le decodifiche risiedono nel processo consumatore. Nessun componente esterno può impedirne la risoluzione.</w:t>
      </w:r>
    </w:p>
    <w:p>
      <w:pPr>
        <w:pStyle w:val="ListParagraph"/>
        <w:jc w:val="both"/>
      </w:pPr>
      <w:r>
        <w:t>•</w:t>
        <w:tab/>
        <w:t>Onere di esercizio — minimo: la catena di integrazione continua e un registro di artefatti, entrambi presumibilmente già disponibili. [DA VERIFICARE: disponibilità di un registro di artefatti presso Roma Capitale.]</w:t>
      </w:r>
    </w:p>
    <w:p>
      <w:pPr>
        <w:pStyle w:val="ListParagraph"/>
        <w:jc w:val="both"/>
      </w:pPr>
      <w:r>
        <w:t>•</w:t>
        <w:tab/>
        <w:t>Auditabilità — elevata: la versione utilizzata da ciascuna build è registrata nel file di dipendenze, e le build risultano riproducibili.</w:t>
      </w:r>
    </w:p>
    <w:p>
      <w:pPr>
        <w:pStyle w:val="ListParagraph"/>
        <w:jc w:val="both"/>
      </w:pPr>
      <w:r>
        <w:t>•</w:t>
        <w:tab/>
        <w:t>Adeguatezza alla scala — piena: 200 KB costituiscono una dipendenza di dimensione trascurabile.</w:t>
      </w:r>
    </w:p>
    <w:p>
      <w:pPr>
        <w:jc w:val="both"/>
      </w:pPr>
      <w:r>
        <w:t>Il limite dell’opzione risiede nel presupporre che il consumatore possa essere ricompilato e ridistribuito. Il presupposto non ricorre per i prodotti di mercato, per i sistemi in manutenzione presso terzi e per le componenti di presentazione che debbano riflettere una variazione senza attendere un rilascio.</w:t>
      </w:r>
    </w:p>
    <w:p>
      <w:pPr>
        <w:pStyle w:val="Heading2"/>
      </w:pPr>
      <w:r>
        <w:t>Opzione C — Servizio REST con storage bitemporale</w:t>
      </w:r>
    </w:p>
    <w:p>
      <w:pPr>
        <w:jc w:val="both"/>
      </w:pPr>
      <w:r>
        <w:t>L’opzione prevede una componente che sincronizzi le decodifiche da R901, le persista in un modello storicizzato e le esponga mediante un servizio REST di sola lettura, corredato da risoluzione a una data di riferimento.</w:t>
      </w:r>
    </w:p>
    <w:p>
      <w:pPr>
        <w:pStyle w:val="ListParagraph"/>
        <w:jc w:val="both"/>
      </w:pPr>
      <w:r>
        <w:t>•</w:t>
        <w:tab/>
        <w:t>Correttezza temporale — soddisfatta nativamente: il modello bitemporale (§ 6.3) risponde tanto alla domanda su ciò che era valido a una data quanto a quella su ciò che era noto a una data.</w:t>
      </w:r>
    </w:p>
    <w:p>
      <w:pPr>
        <w:pStyle w:val="ListParagraph"/>
        <w:jc w:val="both"/>
      </w:pPr>
      <w:r>
        <w:t>•</w:t>
        <w:tab/>
        <w:t>Allineamento — soddisfatto: fonte unica per tutti i consumatori.</w:t>
      </w:r>
    </w:p>
    <w:p>
      <w:pPr>
        <w:pStyle w:val="ListParagraph"/>
        <w:jc w:val="both"/>
      </w:pPr>
      <w:r>
        <w:t>•</w:t>
        <w:tab/>
        <w:t>Resilienza — intermedia: introduce una dipendenza in esercizio, mitigabile mediante la validazione della cache HTTP e l’impiego di un proxy inverso.</w:t>
      </w:r>
    </w:p>
    <w:p>
      <w:pPr>
        <w:pStyle w:val="ListParagraph"/>
        <w:jc w:val="both"/>
      </w:pPr>
      <w:r>
        <w:t>•</w:t>
        <w:tab/>
        <w:t>Onere di esercizio — contenuto: servizio privo di stato, con dataset residente in memoria; nessuna base dati nel percorso di risposta.</w:t>
      </w:r>
    </w:p>
    <w:p>
      <w:pPr>
        <w:pStyle w:val="ListParagraph"/>
        <w:jc w:val="both"/>
      </w:pPr>
      <w:r>
        <w:t>•</w:t>
        <w:tab/>
        <w:t>Auditabilità — elevata: ogni risposta è riconducibile a una versione.</w:t>
      </w:r>
    </w:p>
    <w:p>
      <w:pPr>
        <w:pStyle w:val="ListParagraph"/>
        <w:jc w:val="both"/>
      </w:pPr>
      <w:r>
        <w:t>•</w:t>
        <w:tab/>
        <w:t>Adeguatezza alla scala — piena.</w:t>
      </w:r>
    </w:p>
    <w:p>
      <w:pPr>
        <w:jc w:val="both"/>
      </w:pPr>
      <w:r>
        <w:t>L’opzione risolve il caso non coperto dall’opzione B, ossia i consumatori non ricompilabili.</w:t>
      </w:r>
    </w:p>
    <w:p>
      <w:pPr>
        <w:pStyle w:val="Heading2"/>
      </w:pPr>
      <w:r>
        <w:t>Confronto e razionale della scelta</w:t>
      </w:r>
    </w:p>
    <w:tbl>
      <w:tblPr>
        <w:tblStyle w:val="GridTable1Light"/>
        <w:tblW w:type="auto" w:w="0"/>
        <w:tblLook w:firstColumn="1" w:firstRow="1" w:lastColumn="0" w:lastRow="0" w:noHBand="0" w:noVBand="1" w:val="04A0"/>
      </w:tblPr>
      <w:tblGrid>
        <w:gridCol w:w="2340"/>
        <w:gridCol w:w="2340"/>
        <w:gridCol w:w="2340"/>
        <w:gridCol w:w="2340"/>
      </w:tblGrid>
      <w:tr>
        <w:tc>
          <w:tcPr>
            <w:tcW w:type="dxa" w:w="2340"/>
          </w:tcPr>
          <w:p>
            <w:r/>
            <w:r>
              <w:rPr>
                <w:b/>
              </w:rPr>
              <w:t>Criterio</w:t>
            </w:r>
          </w:p>
        </w:tc>
        <w:tc>
          <w:tcPr>
            <w:tcW w:type="dxa" w:w="2340"/>
          </w:tcPr>
          <w:p>
            <w:r/>
            <w:r>
              <w:rPr>
                <w:b/>
              </w:rPr>
              <w:t>A – Redis</w:t>
            </w:r>
          </w:p>
        </w:tc>
        <w:tc>
          <w:tcPr>
            <w:tcW w:type="dxa" w:w="2340"/>
          </w:tcPr>
          <w:p>
            <w:r/>
            <w:r>
              <w:rPr>
                <w:b/>
              </w:rPr>
              <w:t>B – Artefatti</w:t>
            </w:r>
          </w:p>
        </w:tc>
        <w:tc>
          <w:tcPr>
            <w:tcW w:type="dxa" w:w="2340"/>
          </w:tcPr>
          <w:p>
            <w:r/>
            <w:r>
              <w:rPr>
                <w:b/>
              </w:rPr>
              <w:t>C – Servizio REST</w:t>
            </w:r>
          </w:p>
        </w:tc>
      </w:tr>
      <w:tr>
        <w:tc>
          <w:tcPr>
            <w:tcW w:type="dxa" w:w="2340"/>
          </w:tcPr>
          <w:p>
            <w:r/>
            <w:r>
              <w:t>Correttezza temporale (RF-02)</w:t>
            </w:r>
          </w:p>
        </w:tc>
        <w:tc>
          <w:tcPr>
            <w:tcW w:type="dxa" w:w="2340"/>
          </w:tcPr>
          <w:p>
            <w:r/>
            <w:r>
              <w:t>Non soddisfatto senza sviluppo dedicato</w:t>
            </w:r>
          </w:p>
        </w:tc>
        <w:tc>
          <w:tcPr>
            <w:tcW w:type="dxa" w:w="2340"/>
          </w:tcPr>
          <w:p>
            <w:r/>
            <w:r>
              <w:t>Soddisfatto</w:t>
            </w:r>
          </w:p>
        </w:tc>
        <w:tc>
          <w:tcPr>
            <w:tcW w:type="dxa" w:w="2340"/>
          </w:tcPr>
          <w:p>
            <w:r/>
            <w:r>
              <w:t>Soddisfatto nativamente</w:t>
            </w:r>
          </w:p>
        </w:tc>
      </w:tr>
      <w:tr>
        <w:tc>
          <w:tcPr>
            <w:tcW w:type="dxa" w:w="2340"/>
          </w:tcPr>
          <w:p>
            <w:r/>
            <w:r>
              <w:t>Allineamento fra sistemi (RNF-05)</w:t>
            </w:r>
          </w:p>
        </w:tc>
        <w:tc>
          <w:tcPr>
            <w:tcW w:type="dxa" w:w="2340"/>
          </w:tcPr>
          <w:p>
            <w:r/>
            <w:r>
              <w:t>Soddisfatto</w:t>
            </w:r>
          </w:p>
        </w:tc>
        <w:tc>
          <w:tcPr>
            <w:tcW w:type="dxa" w:w="2340"/>
          </w:tcPr>
          <w:p>
            <w:r/>
            <w:r>
              <w:t>Soddisfatto e governabile</w:t>
            </w:r>
          </w:p>
        </w:tc>
        <w:tc>
          <w:tcPr>
            <w:tcW w:type="dxa" w:w="2340"/>
          </w:tcPr>
          <w:p>
            <w:r/>
            <w:r>
              <w:t>Soddisfatto</w:t>
            </w:r>
          </w:p>
        </w:tc>
      </w:tr>
      <w:tr>
        <w:tc>
          <w:tcPr>
            <w:tcW w:type="dxa" w:w="2340"/>
          </w:tcPr>
          <w:p>
            <w:r/>
            <w:r>
              <w:t>Resilienza (RNF-02)</w:t>
            </w:r>
          </w:p>
        </w:tc>
        <w:tc>
          <w:tcPr>
            <w:tcW w:type="dxa" w:w="2340"/>
          </w:tcPr>
          <w:p>
            <w:r/>
            <w:r>
              <w:t>Punto singolo di rottura</w:t>
            </w:r>
          </w:p>
        </w:tc>
        <w:tc>
          <w:tcPr>
            <w:tcW w:type="dxa" w:w="2340"/>
          </w:tcPr>
          <w:p>
            <w:r/>
            <w:r>
              <w:t>Nessuna dipendenza in esercizio</w:t>
            </w:r>
          </w:p>
        </w:tc>
        <w:tc>
          <w:tcPr>
            <w:tcW w:type="dxa" w:w="2340"/>
          </w:tcPr>
          <w:p>
            <w:r/>
            <w:r>
              <w:t>Dipendenza mitigabile</w:t>
            </w:r>
          </w:p>
        </w:tc>
      </w:tr>
      <w:tr>
        <w:tc>
          <w:tcPr>
            <w:tcW w:type="dxa" w:w="2340"/>
          </w:tcPr>
          <w:p>
            <w:r/>
            <w:r>
              <w:t>Onere di esercizio (RNF-06)</w:t>
            </w:r>
          </w:p>
        </w:tc>
        <w:tc>
          <w:tcPr>
            <w:tcW w:type="dxa" w:w="2340"/>
          </w:tcPr>
          <w:p>
            <w:r/>
            <w:r>
              <w:t>Componente aggiuntivo in alta disponibilità</w:t>
            </w:r>
          </w:p>
        </w:tc>
        <w:tc>
          <w:tcPr>
            <w:tcW w:type="dxa" w:w="2340"/>
          </w:tcPr>
          <w:p>
            <w:r/>
            <w:r>
              <w:t>Minimo</w:t>
            </w:r>
          </w:p>
        </w:tc>
        <w:tc>
          <w:tcPr>
            <w:tcW w:type="dxa" w:w="2340"/>
          </w:tcPr>
          <w:p>
            <w:r/>
            <w:r>
              <w:t>Contenuto</w:t>
            </w:r>
          </w:p>
        </w:tc>
      </w:tr>
      <w:tr>
        <w:tc>
          <w:tcPr>
            <w:tcW w:type="dxa" w:w="2340"/>
          </w:tcPr>
          <w:p>
            <w:r/>
            <w:r>
              <w:t>Auditabilità (RNF-03)</w:t>
            </w:r>
          </w:p>
        </w:tc>
        <w:tc>
          <w:tcPr>
            <w:tcW w:type="dxa" w:w="2340"/>
          </w:tcPr>
          <w:p>
            <w:r/>
            <w:r>
              <w:t>Assente nativamente</w:t>
            </w:r>
          </w:p>
        </w:tc>
        <w:tc>
          <w:tcPr>
            <w:tcW w:type="dxa" w:w="2340"/>
          </w:tcPr>
          <w:p>
            <w:r/>
            <w:r>
              <w:t>Elevata</w:t>
            </w:r>
          </w:p>
        </w:tc>
        <w:tc>
          <w:tcPr>
            <w:tcW w:type="dxa" w:w="2340"/>
          </w:tcPr>
          <w:p>
            <w:r/>
            <w:r>
              <w:t>Elevata</w:t>
            </w:r>
          </w:p>
        </w:tc>
      </w:tr>
      <w:tr>
        <w:tc>
          <w:tcPr>
            <w:tcW w:type="dxa" w:w="2340"/>
          </w:tcPr>
          <w:p>
            <w:r/>
            <w:r>
              <w:t>Adeguatezza alla scala</w:t>
            </w:r>
          </w:p>
        </w:tc>
        <w:tc>
          <w:tcPr>
            <w:tcW w:type="dxa" w:w="2340"/>
          </w:tcPr>
          <w:p>
            <w:r/>
            <w:r>
              <w:t>Sovradimensionata</w:t>
            </w:r>
          </w:p>
        </w:tc>
        <w:tc>
          <w:tcPr>
            <w:tcW w:type="dxa" w:w="2340"/>
          </w:tcPr>
          <w:p>
            <w:r/>
            <w:r>
              <w:t>Piena</w:t>
            </w:r>
          </w:p>
        </w:tc>
        <w:tc>
          <w:tcPr>
            <w:tcW w:type="dxa" w:w="2340"/>
          </w:tcPr>
          <w:p>
            <w:r/>
            <w:r>
              <w:t>Piena</w:t>
            </w:r>
          </w:p>
        </w:tc>
      </w:tr>
    </w:tbl>
    <w:p>
      <w:pPr>
        <w:pStyle w:val="Caption"/>
      </w:pPr>
      <w:r>
        <w:t>Tabella 10 – Confronto delle opzioni rispetto ai criteri del § 5.1</w:t>
      </w:r>
    </w:p>
    <w:p>
      <w:pPr>
        <w:jc w:val="both"/>
      </w:pPr>
      <w:r>
        <w:t>Le opzioni B e C non sono alternative fra loro, bensì complementari: rispondono a due popolazioni distinte di consumatori. Si propone pertanto di adottarle congiuntamente, secondo l’architettura esposta al § 6, privilegiando l’opzione B ove il consumatore possa essere ricompilato e ricorrendo all’opzione C nei restanti casi.</w:t>
      </w:r>
    </w:p>
    <w:p>
      <w:pPr>
        <w:jc w:val="both"/>
      </w:pPr>
      <w:r>
        <w:t>L’opzione A non viene proposta. La motivazione non risiede in un giudizio negativo sulla tecnologia, ma nella sua non aderenza al problema misurato: essa risolve una difficoltà di scala che le rilevazioni escludono, non risolve la difficoltà di correttezza temporale che le rilevazioni documentano, e introduce un punto singolo di rottura a fronte di un dato di 150 KB soggetto a variazione quindicinale. Si osserva inoltre che l’unico criterio su cui l’opzione A risulta pienamente soddisfacente — l’allineamento — è conseguito anche dalle opzioni B e C.</w:t>
      </w:r>
    </w:p>
    <w:p>
      <w:pPr>
        <w:jc w:val="both"/>
      </w:pPr>
      <w:r>
        <w:t>Resta impregiudicata l’adozione futura di Redis qualora il servizio di cui al § 6.4 dovesse in prospettiva eccedere la memoria di processo o richiedere coordinamento fra processi. L’architettura proposta non preclude tale evoluzione.</w:t>
      </w:r>
    </w:p>
    <w:p>
      <w:r>
        <w:br w:type="page"/>
      </w:r>
    </w:p>
    <w:p>
      <w:pPr>
        <w:pStyle w:val="Heading1"/>
      </w:pPr>
      <w:r>
        <w:t>Architettura della soluzione proposta</w:t>
      </w:r>
    </w:p>
    <w:p>
      <w:pPr>
        <w:pStyle w:val="Heading2"/>
      </w:pPr>
      <w:r>
        <w:t>Vista d’insieme</w:t>
      </w:r>
    </w:p>
    <w:p>
      <w:pPr>
        <w:jc w:val="both"/>
      </w:pPr>
      <w:r>
        <w:t>L’architettura si articola su quattro livelli. Il principio che la governa è che una sola componente dialoghi con ANSC.</w:t>
      </w:r>
    </w:p>
    <w:p>
      <w:pPr>
        <w:jc w:val="both"/>
      </w:pPr>
      <w:r>
        <w:t>Il principio ha fondamento operativo. Qualora ciascun sistema consumatore invocasse autonomamente R901, si moltiplicherebbero le credenziali da presidiare e le quote di servizio da negoziare; soprattutto, si perderebbe il controllo sull’allineamento, con le conseguenze esposte al § 5.1. La centralizzazione del punto di contatto costituisce pertanto il presupposto della sostenibilità della soluzione.</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Livello</w:t>
            </w:r>
          </w:p>
        </w:tc>
        <w:tc>
          <w:tcPr>
            <w:tcW w:type="dxa" w:w="3120"/>
          </w:tcPr>
          <w:p>
            <w:r/>
            <w:r>
              <w:rPr>
                <w:b/>
              </w:rPr>
              <w:t>Componente</w:t>
            </w:r>
          </w:p>
        </w:tc>
        <w:tc>
          <w:tcPr>
            <w:tcW w:type="dxa" w:w="3120"/>
          </w:tcPr>
          <w:p>
            <w:r/>
            <w:r>
              <w:rPr>
                <w:b/>
              </w:rPr>
              <w:t>Funzione</w:t>
            </w:r>
          </w:p>
        </w:tc>
      </w:tr>
      <w:tr>
        <w:tc>
          <w:tcPr>
            <w:tcW w:type="dxa" w:w="3120"/>
          </w:tcPr>
          <w:p>
            <w:r/>
            <w:r>
              <w:t>1</w:t>
            </w:r>
          </w:p>
        </w:tc>
        <w:tc>
          <w:tcPr>
            <w:tcW w:type="dxa" w:w="3120"/>
          </w:tcPr>
          <w:p>
            <w:r/>
            <w:r>
              <w:t>Sincronizzazione</w:t>
            </w:r>
          </w:p>
        </w:tc>
        <w:tc>
          <w:tcPr>
            <w:tcW w:type="dxa" w:w="3120"/>
          </w:tcPr>
          <w:p>
            <w:r/>
            <w:r>
              <w:t>Rileva le variazioni su R901 e ne acquisisce i contenuti.</w:t>
            </w:r>
          </w:p>
        </w:tc>
      </w:tr>
      <w:tr>
        <w:tc>
          <w:tcPr>
            <w:tcW w:type="dxa" w:w="3120"/>
          </w:tcPr>
          <w:p>
            <w:r/>
            <w:r>
              <w:t>2</w:t>
            </w:r>
          </w:p>
        </w:tc>
        <w:tc>
          <w:tcPr>
            <w:tcW w:type="dxa" w:w="3120"/>
          </w:tcPr>
          <w:p>
            <w:r/>
            <w:r>
              <w:t>Storage canonico</w:t>
            </w:r>
          </w:p>
        </w:tc>
        <w:tc>
          <w:tcPr>
            <w:tcW w:type="dxa" w:w="3120"/>
          </w:tcPr>
          <w:p>
            <w:r/>
            <w:r>
              <w:t>Persiste le decodifiche in modello bitemporale.</w:t>
            </w:r>
          </w:p>
        </w:tc>
      </w:tr>
      <w:tr>
        <w:tc>
          <w:tcPr>
            <w:tcW w:type="dxa" w:w="3120"/>
          </w:tcPr>
          <w:p>
            <w:r/>
            <w:r>
              <w:t>3</w:t>
            </w:r>
          </w:p>
        </w:tc>
        <w:tc>
          <w:tcPr>
            <w:tcW w:type="dxa" w:w="3120"/>
          </w:tcPr>
          <w:p>
            <w:r/>
            <w:r>
              <w:t>Distribuzione</w:t>
            </w:r>
          </w:p>
        </w:tc>
        <w:tc>
          <w:tcPr>
            <w:tcW w:type="dxa" w:w="3120"/>
          </w:tcPr>
          <w:p>
            <w:r/>
            <w:r>
              <w:t>Rende disponibili le decodifiche ai consumatori su due canali.</w:t>
            </w:r>
          </w:p>
        </w:tc>
      </w:tr>
      <w:tr>
        <w:tc>
          <w:tcPr>
            <w:tcW w:type="dxa" w:w="3120"/>
          </w:tcPr>
          <w:p>
            <w:r/>
            <w:r>
              <w:t>4</w:t>
            </w:r>
          </w:p>
        </w:tc>
        <w:tc>
          <w:tcPr>
            <w:tcW w:type="dxa" w:w="3120"/>
          </w:tcPr>
          <w:p>
            <w:r/>
            <w:r>
              <w:t>Interoperabilità</w:t>
            </w:r>
          </w:p>
        </w:tc>
        <w:tc>
          <w:tcPr>
            <w:tcW w:type="dxa" w:w="3120"/>
          </w:tcPr>
          <w:p>
            <w:r/>
            <w:r>
              <w:t>Pubblica le decodifiche secondo gli standard della PA.</w:t>
            </w:r>
          </w:p>
        </w:tc>
      </w:tr>
    </w:tbl>
    <w:p>
      <w:pPr>
        <w:pStyle w:val="Caption"/>
      </w:pPr>
      <w:r>
        <w:t>Tabella 11 – Livelli dell’architettura proposta</w:t>
      </w:r>
    </w:p>
    <w:p>
      <w:pPr>
        <w:jc w:val="both"/>
      </w:pPr>
      <w:r>
        <w:t>[DA VERIFICARE: rappresentazione grafica dell’architettura, da produrre secondo gli standard di diagrammazione del Dipartimento.]</w:t>
      </w:r>
    </w:p>
    <w:p>
      <w:pPr>
        <w:pStyle w:val="Heading2"/>
      </w:pPr>
      <w:r>
        <w:t>Livello 1 — Sincronizzazione da ANSC</w:t>
      </w:r>
    </w:p>
    <w:p>
      <w:pPr>
        <w:jc w:val="both"/>
      </w:pPr>
      <w:r>
        <w:t>La componente interroga periodicamente l’operazione di elenco di R901, ottenendo per ciascuna decodifica l’attributo versione. Confronta tali versioni con quelle detenute e invoca l’operazione di dettaglio limitatamente alle tabelle variate, delle quali acquisisce il contenuto CSV.</w:t>
      </w:r>
    </w:p>
    <w:p>
      <w:pPr>
        <w:jc w:val="both"/>
      </w:pPr>
      <w:r>
        <w:t>La cadenza giornaliera risulta ampiamente sufficiente a fronte di release quindicinali (§ 3.3). Si evidenzia che la sincronizzazione è asincrona rispetto all’utilizzo: l’eventuale indisponibilità di ANSC ritarda l’acquisizione di una variazione ma non impedisce ad alcun sistema di decodificare, in conformità al requisito RNF-04.</w:t>
      </w:r>
    </w:p>
    <w:p>
      <w:pPr>
        <w:jc w:val="both"/>
      </w:pPr>
      <w:r>
        <w:t>Il repository [R1] può essere impiegato quale riscontro indipendente per la verifica della sincronizzazione, non quale sorgente in esercizio.</w:t>
      </w:r>
    </w:p>
    <w:p>
      <w:pPr>
        <w:jc w:val="both"/>
      </w:pPr>
      <w:r>
        <w:t>[DA VERIFICARE: modalità di autenticazione al servizio R901 e credenziali assegnate a Roma Capitale; la specifica [R3] documenta l’esito 403 ma non lo schema di autenticazione.]</w:t>
      </w:r>
    </w:p>
    <w:p>
      <w:pPr>
        <w:pStyle w:val="Heading2"/>
      </w:pPr>
      <w:r>
        <w:t>Livello 2 — Storage canonico bitemporale</w:t>
      </w:r>
    </w:p>
    <w:p>
      <w:pPr>
        <w:jc w:val="both"/>
      </w:pPr>
      <w:r>
        <w:t>Si propone l’adozione di PostgreSQL quale archivio canonico. La scelta merita una giustificazione, poiché un motore relazionale per 1.376 righe appare a prima vista sovradimensionato.</w:t>
      </w:r>
    </w:p>
    <w:p>
      <w:pPr>
        <w:jc w:val="both"/>
      </w:pPr>
      <w:r>
        <w:t>La motivazione non risiede nel volume, bensì nella semantica. Il modello bitemporale richiede intervalli temporali, vincoli di non sovrapposizione e interrogazioni storiche: funzioni che PostgreSQL assolve nativamente mediante i tipi intervallo e i vincoli di esclusione. Si aggiunga che il motore è presumibilmente già in esercizio presso il Dipartimento, e che fornisce senza oneri aggiuntivi tracciabilità, salvataggi e capacità di interrogazione. Il costo marginale dell’adozione è pertanto prossimo allo zero, mentre il beneficio semantico è rilevante.</w:t>
      </w:r>
    </w:p>
    <w:p>
      <w:pPr>
        <w:jc w:val="both"/>
      </w:pPr>
      <w:r>
        <w:t>[DA VERIFICARE: disponibilità di un’istanza PostgreSQL presso il Dipartimento e relativi parametri di connessione.]</w:t>
      </w:r>
    </w:p>
    <w:p>
      <w:pPr>
        <w:pStyle w:val="Heading2"/>
      </w:pPr>
      <w:r>
        <w:t>Livello 3 — Distribuzione</w:t>
      </w:r>
    </w:p>
    <w:p>
      <w:pPr>
        <w:jc w:val="both"/>
      </w:pPr>
      <w:r>
        <w:t>La distribuzione avviene su due canali complementari, in coerenza con il § 5.5.</w:t>
      </w:r>
    </w:p>
    <w:p>
      <w:pPr>
        <w:jc w:val="both"/>
      </w:pPr>
      <w:r>
        <w:t>Il canale A, da privilegiare, è destinato ai sistemi che possono essere ricompilati. La catena di integrazione continua pubblica, a ogni variazione, un pacchetto versionato con enumerazioni tipizzate. Il consumatore ne dichiara la dipendenza: ne conseguono assenza di latenza, assenza di dipendenze in esercizio, verifica dei tipi in fase di compilazione e allineamento esplicito e governabile.</w:t>
      </w:r>
    </w:p>
    <w:p>
      <w:pPr>
        <w:jc w:val="both"/>
      </w:pPr>
      <w:r>
        <w:t>Il canale B è destinato ai sistemi che non possono essere ricompilati: prodotti di mercato, sistemi in manutenzione presso terzi, componenti di presentazione. Consiste in un servizio REST di sola lettura, privo di stato, che carica l’intero dataset in memoria all’avvio. Non si prevede accesso alla base dati nel percorso di risposta: 200 KB risiedono integralmente in memoria.</w:t>
      </w:r>
    </w:p>
    <w:tbl>
      <w:tblPr>
        <w:tblStyle w:val="GridTable1Light"/>
        <w:tblW w:type="auto" w:w="0"/>
        <w:tblLook w:firstColumn="1" w:firstRow="1" w:lastColumn="0" w:lastRow="0" w:noHBand="0" w:noVBand="1" w:val="04A0"/>
      </w:tblPr>
      <w:tblGrid>
        <w:gridCol w:w="4680"/>
        <w:gridCol w:w="4680"/>
      </w:tblGrid>
      <w:tr>
        <w:tc>
          <w:tcPr>
            <w:tcW w:type="dxa" w:w="4680"/>
          </w:tcPr>
          <w:p>
            <w:r/>
            <w:r>
              <w:rPr>
                <w:b/>
              </w:rPr>
              <w:t>Aspetto</w:t>
            </w:r>
          </w:p>
        </w:tc>
        <w:tc>
          <w:tcPr>
            <w:tcW w:type="dxa" w:w="4680"/>
          </w:tcPr>
          <w:p>
            <w:r/>
            <w:r>
              <w:rPr>
                <w:b/>
              </w:rPr>
              <w:t>Impostazione proposta</w:t>
            </w:r>
          </w:p>
        </w:tc>
      </w:tr>
      <w:tr>
        <w:tc>
          <w:tcPr>
            <w:tcW w:type="dxa" w:w="4680"/>
          </w:tcPr>
          <w:p>
            <w:r/>
            <w:r>
              <w:t>Risoluzione a data</w:t>
            </w:r>
          </w:p>
        </w:tc>
        <w:tc>
          <w:tcPr>
            <w:tcW w:type="dxa" w:w="4680"/>
          </w:tcPr>
          <w:p>
            <w:r/>
            <w:r>
              <w:t>GET /decodifiche/{tabella}?validAt=AAAA-MM-GG</w:t>
            </w:r>
          </w:p>
        </w:tc>
      </w:tr>
      <w:tr>
        <w:tc>
          <w:tcPr>
            <w:tcW w:type="dxa" w:w="4680"/>
          </w:tcPr>
          <w:p>
            <w:r/>
            <w:r>
              <w:t>Risoluzione puntuale</w:t>
            </w:r>
          </w:p>
        </w:tc>
        <w:tc>
          <w:tcPr>
            <w:tcW w:type="dxa" w:w="4680"/>
          </w:tcPr>
          <w:p>
            <w:r/>
            <w:r>
              <w:t>GET /decodifiche/{tabella}/{id}?validAt=AAAA-MM-GG</w:t>
            </w:r>
          </w:p>
        </w:tc>
      </w:tr>
      <w:tr>
        <w:tc>
          <w:tcPr>
            <w:tcW w:type="dxa" w:w="4680"/>
          </w:tcPr>
          <w:p>
            <w:r/>
            <w:r>
              <w:t>Elenco e versioni</w:t>
            </w:r>
          </w:p>
        </w:tc>
        <w:tc>
          <w:tcPr>
            <w:tcW w:type="dxa" w:w="4680"/>
          </w:tcPr>
          <w:p>
            <w:r/>
            <w:r>
              <w:t>GET /decodifiche</w:t>
            </w:r>
          </w:p>
        </w:tc>
      </w:tr>
      <w:tr>
        <w:tc>
          <w:tcPr>
            <w:tcW w:type="dxa" w:w="4680"/>
          </w:tcPr>
          <w:p>
            <w:r/>
            <w:r>
              <w:t>Validazione della cache</w:t>
            </w:r>
          </w:p>
        </w:tc>
        <w:tc>
          <w:tcPr>
            <w:tcW w:type="dxa" w:w="4680"/>
          </w:tcPr>
          <w:p>
            <w:r/>
            <w:r>
              <w:t>ETag su versione della tabella</w:t>
            </w:r>
          </w:p>
        </w:tc>
      </w:tr>
      <w:tr>
        <w:tc>
          <w:tcPr>
            <w:tcW w:type="dxa" w:w="4680"/>
          </w:tcPr>
          <w:p>
            <w:r/>
            <w:r>
              <w:t>Politica di cache</w:t>
            </w:r>
          </w:p>
        </w:tc>
        <w:tc>
          <w:tcPr>
            <w:tcW w:type="dxa" w:w="4680"/>
          </w:tcPr>
          <w:p>
            <w:r/>
            <w:r>
              <w:t>Cache-Control con stale-while-revalidate</w:t>
            </w:r>
          </w:p>
        </w:tc>
      </w:tr>
      <w:tr>
        <w:tc>
          <w:tcPr>
            <w:tcW w:type="dxa" w:w="4680"/>
          </w:tcPr>
          <w:p>
            <w:r/>
            <w:r>
              <w:t>Scalabilità</w:t>
            </w:r>
          </w:p>
        </w:tc>
        <w:tc>
          <w:tcPr>
            <w:tcW w:type="dxa" w:w="4680"/>
          </w:tcPr>
          <w:p>
            <w:r/>
            <w:r>
              <w:t>Orizzontale: servizio privo di stato, dati immutabili per versione</w:t>
            </w:r>
          </w:p>
        </w:tc>
      </w:tr>
    </w:tbl>
    <w:p>
      <w:pPr>
        <w:pStyle w:val="Caption"/>
      </w:pPr>
      <w:r>
        <w:t>Tabella 12 – Impostazione del servizio di distribuzione (canale B)</w:t>
      </w:r>
    </w:p>
    <w:p>
      <w:pPr>
        <w:jc w:val="both"/>
      </w:pPr>
      <w:r>
        <w:t>L’impiego di ETag e di un proxy inverso comporta che la maggior parte delle richieste si risolva senza raggiungere il servizio. Si osservi che il meccanismo di cache impiegato è quello nativo del protocollo HTTP, che non richiede componenti infrastrutturali dedicati: è questo il punto in cui l’esigenza di caching, che aveva motivato l’ipotesi Redis, trova risposta a costo di esercizio nullo.</w:t>
      </w:r>
    </w:p>
    <w:p>
      <w:pPr>
        <w:jc w:val="both"/>
      </w:pPr>
      <w:r>
        <w:t>[DA VERIFICARE: censimento dei sistemi consumatori, con indicazione per ciascuno della possibilità di ricompilazione. Il rapporto fra le due popolazioni determina il peso relativo dei due canali e l’eventuale non necessità del canale B.]</w:t>
      </w:r>
    </w:p>
    <w:p>
      <w:pPr>
        <w:pStyle w:val="Heading2"/>
      </w:pPr>
      <w:r>
        <w:t>Livello 4 — Interoperabilità</w:t>
      </w:r>
    </w:p>
    <w:p>
      <w:pPr>
        <w:jc w:val="both"/>
      </w:pPr>
      <w:r>
        <w:t>Si propone di allineare la pubblicazione delle decodifiche agli standard nazionali per i vocabolari controllati della Pubblica Amministrazione, segnatamente OntoPiA [R6] e SKOS [R7]. Le decodifiche ANSC sono, sotto il profilo concettuale, vocabolari controllati: SKOS ne è la rappresentazione standard e prevede nativamente le nozioni di concetto, etichetta preferita e relazioni gerarchiche.</w:t>
      </w:r>
    </w:p>
    <w:p>
      <w:pPr>
        <w:jc w:val="both"/>
      </w:pPr>
      <w:r>
        <w:t>Il beneficio è duplice: conformità agli indirizzi AGID in materia di interoperabilità semantica, e riusabilità della pubblicazione da parte di altri enti. L’onere è contenuto, trattandosi di una rappresentazione aggiuntiva del medesimo archivio canonico.</w:t>
      </w:r>
    </w:p>
    <w:p>
      <w:pPr>
        <w:jc w:val="both"/>
      </w:pPr>
      <w:r>
        <w:t>Il livello è proposto come evolutivo e non condiziona i livelli da 1 a 3.</w:t>
      </w:r>
    </w:p>
    <w:p>
      <w:r>
        <w:br w:type="page"/>
      </w:r>
    </w:p>
    <w:p>
      <w:pPr>
        <w:pStyle w:val="Heading1"/>
      </w:pPr>
      <w:r>
        <w:t>Modello di dati</w:t>
      </w:r>
    </w:p>
    <w:p>
      <w:pPr>
        <w:jc w:val="both"/>
      </w:pPr>
      <w:r>
        <w:t>Si propone un modello unico per tutte le 145 decodifiche, in luogo di uno schema dedicato per tabella. La scelta è sostenuta dall’uniformità rilevata al § 3.2: 140 tabelle su 145 condividono la medesima intestazione, e le difformità residue riguardano attributi aggiuntivi isolati.</w:t>
      </w:r>
    </w:p>
    <w:p>
      <w:pPr>
        <w:pStyle w:val="Heading2"/>
      </w:pPr>
      <w:r>
        <w:t>Entità primaria</w:t>
      </w:r>
    </w:p>
    <w:p>
      <w:pPr>
        <w:jc w:val="both"/>
      </w:pPr>
      <w:r>
        <w:t>La seguente tabella riporta l’entità primaria del modello proposto.</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Colonna</w:t>
            </w:r>
          </w:p>
        </w:tc>
        <w:tc>
          <w:tcPr>
            <w:tcW w:type="dxa" w:w="3120"/>
          </w:tcPr>
          <w:p>
            <w:r/>
            <w:r>
              <w:rPr>
                <w:b/>
              </w:rPr>
              <w:t>Tipo</w:t>
            </w:r>
          </w:p>
        </w:tc>
        <w:tc>
          <w:tcPr>
            <w:tcW w:type="dxa" w:w="3120"/>
          </w:tcPr>
          <w:p>
            <w:r/>
            <w:r>
              <w:rPr>
                <w:b/>
              </w:rPr>
              <w:t>Descrizione</w:t>
            </w:r>
          </w:p>
        </w:tc>
      </w:tr>
      <w:tr>
        <w:tc>
          <w:tcPr>
            <w:tcW w:type="dxa" w:w="3120"/>
          </w:tcPr>
          <w:p>
            <w:r/>
            <w:r>
              <w:t>id_tabella</w:t>
            </w:r>
          </w:p>
        </w:tc>
        <w:tc>
          <w:tcPr>
            <w:tcW w:type="dxa" w:w="3120"/>
          </w:tcPr>
          <w:p>
            <w:r/>
            <w:r>
              <w:t>integer</w:t>
            </w:r>
          </w:p>
        </w:tc>
        <w:tc>
          <w:tcPr>
            <w:tcW w:type="dxa" w:w="3120"/>
          </w:tcPr>
          <w:p>
            <w:r/>
            <w:r>
              <w:t>Identificativo della decodifica (prefisso numerico del nome file, es. 61).</w:t>
            </w:r>
          </w:p>
        </w:tc>
      </w:tr>
      <w:tr>
        <w:tc>
          <w:tcPr>
            <w:tcW w:type="dxa" w:w="3120"/>
          </w:tcPr>
          <w:p>
            <w:r/>
            <w:r>
              <w:t>nome_tabella</w:t>
            </w:r>
          </w:p>
        </w:tc>
        <w:tc>
          <w:tcPr>
            <w:tcW w:type="dxa" w:w="3120"/>
          </w:tcPr>
          <w:p>
            <w:r/>
            <w:r>
              <w:t>text</w:t>
            </w:r>
          </w:p>
        </w:tc>
        <w:tc>
          <w:tcPr>
            <w:tcW w:type="dxa" w:w="3120"/>
          </w:tcPr>
          <w:p>
            <w:r/>
            <w:r>
              <w:t>Nome della decodifica (es. dec_stato_civile).</w:t>
            </w:r>
          </w:p>
        </w:tc>
      </w:tr>
      <w:tr>
        <w:tc>
          <w:tcPr>
            <w:tcW w:type="dxa" w:w="3120"/>
          </w:tcPr>
          <w:p>
            <w:r/>
            <w:r>
              <w:t>id_voce</w:t>
            </w:r>
          </w:p>
        </w:tc>
        <w:tc>
          <w:tcPr>
            <w:tcW w:type="dxa" w:w="3120"/>
          </w:tcPr>
          <w:p>
            <w:r/>
            <w:r>
              <w:t>text</w:t>
            </w:r>
          </w:p>
        </w:tc>
        <w:tc>
          <w:tcPr>
            <w:tcW w:type="dxa" w:w="3120"/>
          </w:tcPr>
          <w:p>
            <w:r/>
            <w:r>
              <w:t>Codice della voce entro la decodifica (colonna ID della sorgente).</w:t>
            </w:r>
          </w:p>
        </w:tc>
      </w:tr>
      <w:tr>
        <w:tc>
          <w:tcPr>
            <w:tcW w:type="dxa" w:w="3120"/>
          </w:tcPr>
          <w:p>
            <w:r/>
            <w:r>
              <w:t>descrizione</w:t>
            </w:r>
          </w:p>
        </w:tc>
        <w:tc>
          <w:tcPr>
            <w:tcW w:type="dxa" w:w="3120"/>
          </w:tcPr>
          <w:p>
            <w:r/>
            <w:r>
              <w:t>text</w:t>
            </w:r>
          </w:p>
        </w:tc>
        <w:tc>
          <w:tcPr>
            <w:tcW w:type="dxa" w:w="3120"/>
          </w:tcPr>
          <w:p>
            <w:r/>
            <w:r>
              <w:t>Descrizione della voce (colonna DESCRIZIONE).</w:t>
            </w:r>
          </w:p>
        </w:tc>
      </w:tr>
      <w:tr>
        <w:tc>
          <w:tcPr>
            <w:tcW w:type="dxa" w:w="3120"/>
          </w:tcPr>
          <w:p>
            <w:r/>
            <w:r>
              <w:t>data_inizio_val</w:t>
            </w:r>
          </w:p>
        </w:tc>
        <w:tc>
          <w:tcPr>
            <w:tcW w:type="dxa" w:w="3120"/>
          </w:tcPr>
          <w:p>
            <w:r/>
            <w:r>
              <w:t>timestamp</w:t>
            </w:r>
          </w:p>
        </w:tc>
        <w:tc>
          <w:tcPr>
            <w:tcW w:type="dxa" w:w="3120"/>
          </w:tcPr>
          <w:p>
            <w:r/>
            <w:r>
              <w:t>Inizio validità. Nullo ove non valorizzato in sorgente (§ 3.5).</w:t>
            </w:r>
          </w:p>
        </w:tc>
      </w:tr>
      <w:tr>
        <w:tc>
          <w:tcPr>
            <w:tcW w:type="dxa" w:w="3120"/>
          </w:tcPr>
          <w:p>
            <w:r/>
            <w:r>
              <w:t>data_fine_val</w:t>
            </w:r>
          </w:p>
        </w:tc>
        <w:tc>
          <w:tcPr>
            <w:tcW w:type="dxa" w:w="3120"/>
          </w:tcPr>
          <w:p>
            <w:r/>
            <w:r>
              <w:t>timestamp</w:t>
            </w:r>
          </w:p>
        </w:tc>
        <w:tc>
          <w:tcPr>
            <w:tcW w:type="dxa" w:w="3120"/>
          </w:tcPr>
          <w:p>
            <w:r/>
            <w:r>
              <w:t>Fine validità. Il valore 9999-12-31 indica validità aperta.</w:t>
            </w:r>
          </w:p>
        </w:tc>
      </w:tr>
      <w:tr>
        <w:tc>
          <w:tcPr>
            <w:tcW w:type="dxa" w:w="3120"/>
          </w:tcPr>
          <w:p>
            <w:r/>
            <w:r>
              <w:t>ordinamento</w:t>
            </w:r>
          </w:p>
        </w:tc>
        <w:tc>
          <w:tcPr>
            <w:tcW w:type="dxa" w:w="3120"/>
          </w:tcPr>
          <w:p>
            <w:r/>
            <w:r>
              <w:t>integer</w:t>
            </w:r>
          </w:p>
        </w:tc>
        <w:tc>
          <w:tcPr>
            <w:tcW w:type="dxa" w:w="3120"/>
          </w:tcPr>
          <w:p>
            <w:r/>
            <w:r>
              <w:t>Ordinamento di presentazione (colonna ORDINAMENTO).</w:t>
            </w:r>
          </w:p>
        </w:tc>
      </w:tr>
      <w:tr>
        <w:tc>
          <w:tcPr>
            <w:tcW w:type="dxa" w:w="3120"/>
          </w:tcPr>
          <w:p>
            <w:r/>
            <w:r>
              <w:t>attributi</w:t>
            </w:r>
          </w:p>
        </w:tc>
        <w:tc>
          <w:tcPr>
            <w:tcW w:type="dxa" w:w="3120"/>
          </w:tcPr>
          <w:p>
            <w:r/>
            <w:r>
              <w:t>jsonb</w:t>
            </w:r>
          </w:p>
        </w:tc>
        <w:tc>
          <w:tcPr>
            <w:tcW w:type="dxa" w:w="3120"/>
          </w:tcPr>
          <w:p>
            <w:r/>
            <w:r>
              <w:t>Attributi aggiuntivi specifici della decodifica (IDTIPOCONTENUTO, CODICECONSOLATO).</w:t>
            </w:r>
          </w:p>
        </w:tc>
      </w:tr>
      <w:tr>
        <w:tc>
          <w:tcPr>
            <w:tcW w:type="dxa" w:w="3120"/>
          </w:tcPr>
          <w:p>
            <w:r/>
            <w:r>
              <w:t>versione_tabella</w:t>
            </w:r>
          </w:p>
        </w:tc>
        <w:tc>
          <w:tcPr>
            <w:tcW w:type="dxa" w:w="3120"/>
          </w:tcPr>
          <w:p>
            <w:r/>
            <w:r>
              <w:t>text</w:t>
            </w:r>
          </w:p>
        </w:tc>
        <w:tc>
          <w:tcPr>
            <w:tcW w:type="dxa" w:w="3120"/>
          </w:tcPr>
          <w:p>
            <w:r/>
            <w:r>
              <w:t>Versione della decodifica, come restituita da R901.</w:t>
            </w:r>
          </w:p>
        </w:tc>
      </w:tr>
      <w:tr>
        <w:tc>
          <w:tcPr>
            <w:tcW w:type="dxa" w:w="3120"/>
          </w:tcPr>
          <w:p>
            <w:r/>
            <w:r>
              <w:t>sys_period</w:t>
            </w:r>
          </w:p>
        </w:tc>
        <w:tc>
          <w:tcPr>
            <w:tcW w:type="dxa" w:w="3120"/>
          </w:tcPr>
          <w:p>
            <w:r/>
            <w:r>
              <w:t>tstzrange</w:t>
            </w:r>
          </w:p>
        </w:tc>
        <w:tc>
          <w:tcPr>
            <w:tcW w:type="dxa" w:w="3120"/>
          </w:tcPr>
          <w:p>
            <w:r/>
            <w:r>
              <w:t>Tempo di registrazione: intervallo in cui la riga è stata ritenuta vigente dal sistema.</w:t>
            </w:r>
          </w:p>
        </w:tc>
      </w:tr>
    </w:tbl>
    <w:p>
      <w:pPr>
        <w:pStyle w:val="Caption"/>
      </w:pPr>
      <w:r>
        <w:t>Tabella 13 – Entità decodifica_voce</w:t>
      </w:r>
    </w:p>
    <w:p>
      <w:pPr>
        <w:pStyle w:val="Heading2"/>
      </w:pPr>
      <w:r>
        <w:t>Razionale del modello</w:t>
      </w:r>
    </w:p>
    <w:p>
      <w:pPr>
        <w:jc w:val="both"/>
      </w:pPr>
      <w:r>
        <w:t>Due scelte meritano di essere esplicitate.</w:t>
      </w:r>
    </w:p>
    <w:p>
      <w:pPr>
        <w:jc w:val="both"/>
      </w:pPr>
      <w:r>
        <w:t>La colonna attributi di tipo jsonb assorbe l’eterogeneità rilevata al § 3.2 senza imporre uno schema per ciascuna delle 145 decodifiche e senza richiedere modifiche strutturali qualora ANSC introduca nuovi attributi. Le due difformità attualmente note — IDTIPOCONTENUTO in 3_dec_use_case e CODICECONSOLATO in 97_dec_consolato — vi trovano collocazione naturale.</w:t>
      </w:r>
    </w:p>
    <w:p>
      <w:pPr>
        <w:jc w:val="both"/>
      </w:pPr>
      <w:r>
        <w:t>La coesistenza delle colonne di validità e della colonna sys_period realizza il modello bitemporale. Le due dimensioni rispondono a domande distinte, entrambe pertinenti in sede di verifica: le prime consentono di stabilire quale voce fosse valida alla data dell’atto; la seconda consente di stabilire quale voce il sistema conoscesse a una data determinata. La distinzione diviene rilevante allorché ANSC rettifichi retroattivamente una decodifica: senza la dimensione di registrazione non sarebbe possibile ricostruire il motivo per cui un atto fu formato con una descrizione successivamente modificata.</w:t>
      </w:r>
    </w:p>
    <w:p>
      <w:r>
        <w:br w:type="page"/>
      </w:r>
    </w:p>
    <w:p>
      <w:pPr>
        <w:pStyle w:val="Heading1"/>
      </w:pPr>
      <w:r>
        <w:t>Classi di rischio</w:t>
      </w:r>
    </w:p>
    <w:p>
      <w:pPr>
        <w:jc w:val="both"/>
      </w:pPr>
      <w:r>
        <w:t>I rischi sono classificati secondo le classi previste dallo standard documentale.</w:t>
      </w:r>
    </w:p>
    <w:p>
      <w:pPr>
        <w:pStyle w:val="Heading2"/>
      </w:pPr>
      <w:r>
        <w:t>Classe A – Alta</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Rischio</w:t>
            </w:r>
          </w:p>
        </w:tc>
        <w:tc>
          <w:tcPr>
            <w:tcW w:type="dxa" w:w="3120"/>
          </w:tcPr>
          <w:p>
            <w:r/>
            <w:r>
              <w:rPr>
                <w:b/>
              </w:rPr>
              <w:t>Mitigazione proposta</w:t>
            </w:r>
          </w:p>
        </w:tc>
      </w:tr>
      <w:tr>
        <w:tc>
          <w:tcPr>
            <w:tcW w:type="dxa" w:w="3120"/>
          </w:tcPr>
          <w:p>
            <w:r/>
            <w:r>
              <w:t>RA-01</w:t>
            </w:r>
          </w:p>
        </w:tc>
        <w:tc>
          <w:tcPr>
            <w:tcW w:type="dxa" w:w="3120"/>
          </w:tcPr>
          <w:p>
            <w:r/>
            <w:r>
              <w:t>Disallineamento fra sistemi consumatori: sistemi sincronizzati in momenti diversi decodificano il medesimo codice in modo difforme, con riflessi sull’integrità degli atti.</w:t>
            </w:r>
          </w:p>
        </w:tc>
        <w:tc>
          <w:tcPr>
            <w:tcW w:type="dxa" w:w="3120"/>
          </w:tcPr>
          <w:p>
            <w:r/>
            <w:r>
              <w:t>Punto di contatto unico verso ANSC (§ 6.1) e versionamento esplicito delle dipendenze (§ 6.4, canale A).</w:t>
            </w:r>
          </w:p>
        </w:tc>
      </w:tr>
      <w:tr>
        <w:tc>
          <w:tcPr>
            <w:tcW w:type="dxa" w:w="3120"/>
          </w:tcPr>
          <w:p>
            <w:r/>
            <w:r>
              <w:t>RA-02</w:t>
            </w:r>
          </w:p>
        </w:tc>
        <w:tc>
          <w:tcPr>
            <w:tcW w:type="dxa" w:w="3120"/>
          </w:tcPr>
          <w:p>
            <w:r/>
            <w:r>
              <w:t>Decodifica di atti pregressi mediante voci non vigenti alla data dell’atto, con esito non conforme.</w:t>
            </w:r>
          </w:p>
        </w:tc>
        <w:tc>
          <w:tcPr>
            <w:tcW w:type="dxa" w:w="3120"/>
          </w:tcPr>
          <w:p>
            <w:r/>
            <w:r>
              <w:t>Modello bitemporale (§ 6.3) e risoluzione a data obbligatoria (RF-02).</w:t>
            </w:r>
          </w:p>
        </w:tc>
      </w:tr>
    </w:tbl>
    <w:p>
      <w:pPr>
        <w:pStyle w:val="Caption"/>
      </w:pPr>
      <w:r>
        <w:t>Tabella 14 – Rischi di classe A</w:t>
      </w:r>
    </w:p>
    <w:p>
      <w:pPr>
        <w:pStyle w:val="Heading2"/>
      </w:pPr>
      <w:r>
        <w:t>Classe B – Media</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Rischio</w:t>
            </w:r>
          </w:p>
        </w:tc>
        <w:tc>
          <w:tcPr>
            <w:tcW w:type="dxa" w:w="3120"/>
          </w:tcPr>
          <w:p>
            <w:r/>
            <w:r>
              <w:rPr>
                <w:b/>
              </w:rPr>
              <w:t>Mitigazione proposta</w:t>
            </w:r>
          </w:p>
        </w:tc>
      </w:tr>
      <w:tr>
        <w:tc>
          <w:tcPr>
            <w:tcW w:type="dxa" w:w="3120"/>
          </w:tcPr>
          <w:p>
            <w:r/>
            <w:r>
              <w:t>RB-01</w:t>
            </w:r>
          </w:p>
        </w:tc>
        <w:tc>
          <w:tcPr>
            <w:tcW w:type="dxa" w:w="3120"/>
          </w:tcPr>
          <w:p>
            <w:r/>
            <w:r>
              <w:t>Indisponibilità del servizio R901 durante la sincronizzazione.</w:t>
            </w:r>
          </w:p>
        </w:tc>
        <w:tc>
          <w:tcPr>
            <w:tcW w:type="dxa" w:w="3120"/>
          </w:tcPr>
          <w:p>
            <w:r/>
            <w:r>
              <w:t>Sincronizzazione asincrona: i consumatori continuano a operare sull’ultima versione acquisita (§ 6.2).</w:t>
            </w:r>
          </w:p>
        </w:tc>
      </w:tr>
      <w:tr>
        <w:tc>
          <w:tcPr>
            <w:tcW w:type="dxa" w:w="3120"/>
          </w:tcPr>
          <w:p>
            <w:r/>
            <w:r>
              <w:t>RB-02</w:t>
            </w:r>
          </w:p>
        </w:tc>
        <w:tc>
          <w:tcPr>
            <w:tcW w:type="dxa" w:w="3120"/>
          </w:tcPr>
          <w:p>
            <w:r/>
            <w:r>
              <w:t>Variazione della semantica delle decodifiche da parte di ANSC senza preavviso.</w:t>
            </w:r>
          </w:p>
        </w:tc>
        <w:tc>
          <w:tcPr>
            <w:tcW w:type="dxa" w:w="3120"/>
          </w:tcPr>
          <w:p>
            <w:r/>
            <w:r>
              <w:t>Presidio delle note di rilascio del repository [R1] e riscontro automatico sulle variazioni acquisite.</w:t>
            </w:r>
          </w:p>
        </w:tc>
      </w:tr>
      <w:tr>
        <w:tc>
          <w:tcPr>
            <w:tcW w:type="dxa" w:w="3120"/>
          </w:tcPr>
          <w:p>
            <w:r/>
            <w:r>
              <w:t>RB-03</w:t>
            </w:r>
          </w:p>
        </w:tc>
        <w:tc>
          <w:tcPr>
            <w:tcW w:type="dxa" w:w="3120"/>
          </w:tcPr>
          <w:p>
            <w:r/>
            <w:r>
              <w:t>Interpretazione errata delle 55 voci con date non valorizzate (§ 3.5).</w:t>
            </w:r>
          </w:p>
        </w:tc>
        <w:tc>
          <w:tcPr>
            <w:tcW w:type="dxa" w:w="3120"/>
          </w:tcPr>
          <w:p>
            <w:r/>
            <w:r>
              <w:t>Chiarimento preventivo con ANSC; cfr. punto aperto PA-02.</w:t>
            </w:r>
          </w:p>
        </w:tc>
      </w:tr>
    </w:tbl>
    <w:p>
      <w:pPr>
        <w:pStyle w:val="Caption"/>
      </w:pPr>
      <w:r>
        <w:t>Tabella 15 – Rischi di classe B</w:t>
      </w:r>
    </w:p>
    <w:p>
      <w:pPr>
        <w:pStyle w:val="Heading2"/>
      </w:pPr>
      <w:r>
        <w:t>Classe C – Bassa</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Rischio</w:t>
            </w:r>
          </w:p>
        </w:tc>
        <w:tc>
          <w:tcPr>
            <w:tcW w:type="dxa" w:w="3120"/>
          </w:tcPr>
          <w:p>
            <w:r/>
            <w:r>
              <w:rPr>
                <w:b/>
              </w:rPr>
              <w:t>Mitigazione proposta</w:t>
            </w:r>
          </w:p>
        </w:tc>
      </w:tr>
      <w:tr>
        <w:tc>
          <w:tcPr>
            <w:tcW w:type="dxa" w:w="3120"/>
          </w:tcPr>
          <w:p>
            <w:r/>
            <w:r>
              <w:t>RC-01</w:t>
            </w:r>
          </w:p>
        </w:tc>
        <w:tc>
          <w:tcPr>
            <w:tcW w:type="dxa" w:w="3120"/>
          </w:tcPr>
          <w:p>
            <w:r/>
            <w:r>
              <w:t>Divergenza fra i formati CSV e XLSX pubblicati.</w:t>
            </w:r>
          </w:p>
        </w:tc>
        <w:tc>
          <w:tcPr>
            <w:tcW w:type="dxa" w:w="3120"/>
          </w:tcPr>
          <w:p>
            <w:r/>
            <w:r>
              <w:t>Adozione del CSV quale formato canonico, coerentemente con R901 (§ 3.1).</w:t>
            </w:r>
          </w:p>
        </w:tc>
      </w:tr>
      <w:tr>
        <w:tc>
          <w:tcPr>
            <w:tcW w:type="dxa" w:w="3120"/>
          </w:tcPr>
          <w:p>
            <w:r/>
            <w:r>
              <w:t>RC-02</w:t>
            </w:r>
          </w:p>
        </w:tc>
        <w:tc>
          <w:tcPr>
            <w:tcW w:type="dxa" w:w="3120"/>
          </w:tcPr>
          <w:p>
            <w:r/>
            <w:r>
              <w:t>Crescita del volume delle decodifiche oltre la capienza della memoria di processo.</w:t>
            </w:r>
          </w:p>
        </w:tc>
        <w:tc>
          <w:tcPr>
            <w:tcW w:type="dxa" w:w="3120"/>
          </w:tcPr>
          <w:p>
            <w:r/>
            <w:r>
              <w:t>Improbabile: cfr. § 3.1. L’architettura non preclude l’introduzione successiva di una cache condivisa (§ 5.5).</w:t>
            </w:r>
          </w:p>
        </w:tc>
      </w:tr>
    </w:tbl>
    <w:p>
      <w:pPr>
        <w:pStyle w:val="Caption"/>
      </w:pPr>
      <w:r>
        <w:t>Tabella 16 – Rischi di classe C</w:t>
      </w:r>
    </w:p>
    <w:p>
      <w:r>
        <w:br w:type="page"/>
      </w:r>
    </w:p>
    <w:p>
      <w:pPr>
        <w:pStyle w:val="Heading1"/>
      </w:pPr>
      <w:r>
        <w:t>Punti aperti</w:t>
      </w:r>
    </w:p>
    <w:p>
      <w:pPr>
        <w:jc w:val="both"/>
      </w:pPr>
      <w:r>
        <w:t>Il presente capitolo riepiloga i segnaposto [DA VERIFICARE] presenti nel documento. La loro risoluzione è condizione per il passaggio dallo studio al disegno di dettaglio.</w:t>
      </w:r>
    </w:p>
    <w:tbl>
      <w:tblPr>
        <w:tblStyle w:val="GridTable1Light"/>
        <w:tblW w:type="auto" w:w="0"/>
        <w:tblLook w:firstColumn="1" w:firstRow="1" w:lastColumn="0" w:lastRow="0" w:noHBand="0" w:noVBand="1" w:val="04A0"/>
      </w:tblPr>
      <w:tblGrid>
        <w:gridCol w:w="2340"/>
        <w:gridCol w:w="2340"/>
        <w:gridCol w:w="2340"/>
        <w:gridCol w:w="2340"/>
      </w:tblGrid>
      <w:tr>
        <w:tc>
          <w:tcPr>
            <w:tcW w:type="dxa" w:w="2340"/>
          </w:tcPr>
          <w:p>
            <w:r/>
            <w:r>
              <w:rPr>
                <w:b/>
              </w:rPr>
              <w:t>ID</w:t>
            </w:r>
          </w:p>
        </w:tc>
        <w:tc>
          <w:tcPr>
            <w:tcW w:type="dxa" w:w="2340"/>
          </w:tcPr>
          <w:p>
            <w:r/>
            <w:r>
              <w:rPr>
                <w:b/>
              </w:rPr>
              <w:t>§</w:t>
            </w:r>
          </w:p>
        </w:tc>
        <w:tc>
          <w:tcPr>
            <w:tcW w:type="dxa" w:w="2340"/>
          </w:tcPr>
          <w:p>
            <w:r/>
            <w:r>
              <w:rPr>
                <w:b/>
              </w:rPr>
              <w:t>Elemento da verificare</w:t>
            </w:r>
          </w:p>
        </w:tc>
        <w:tc>
          <w:tcPr>
            <w:tcW w:type="dxa" w:w="2340"/>
          </w:tcPr>
          <w:p>
            <w:r/>
            <w:r>
              <w:rPr>
                <w:b/>
              </w:rPr>
              <w:t>Priorità</w:t>
            </w:r>
          </w:p>
        </w:tc>
      </w:tr>
      <w:tr>
        <w:tc>
          <w:tcPr>
            <w:tcW w:type="dxa" w:w="2340"/>
          </w:tcPr>
          <w:p>
            <w:r/>
            <w:r>
              <w:t>PA-01</w:t>
            </w:r>
          </w:p>
        </w:tc>
        <w:tc>
          <w:tcPr>
            <w:tcW w:type="dxa" w:w="2340"/>
          </w:tcPr>
          <w:p>
            <w:r/>
            <w:r>
              <w:t>6.4</w:t>
            </w:r>
          </w:p>
        </w:tc>
        <w:tc>
          <w:tcPr>
            <w:tcW w:type="dxa" w:w="2340"/>
          </w:tcPr>
          <w:p>
            <w:r/>
            <w:r>
              <w:t>Censimento dei sistemi consumatori e relativa possibilità di ricompilazione. Determina il peso dei due canali di distribuzione e l’eventuale non necessità del canale B.</w:t>
            </w:r>
          </w:p>
        </w:tc>
        <w:tc>
          <w:tcPr>
            <w:tcW w:type="dxa" w:w="2340"/>
          </w:tcPr>
          <w:p>
            <w:r/>
            <w:r>
              <w:t>Alta</w:t>
            </w:r>
          </w:p>
        </w:tc>
      </w:tr>
      <w:tr>
        <w:tc>
          <w:tcPr>
            <w:tcW w:type="dxa" w:w="2340"/>
          </w:tcPr>
          <w:p>
            <w:r/>
            <w:r>
              <w:t>PA-02</w:t>
            </w:r>
          </w:p>
        </w:tc>
        <w:tc>
          <w:tcPr>
            <w:tcW w:type="dxa" w:w="2340"/>
          </w:tcPr>
          <w:p>
            <w:r/>
            <w:r>
              <w:t>3.5</w:t>
            </w:r>
          </w:p>
        </w:tc>
        <w:tc>
          <w:tcPr>
            <w:tcW w:type="dxa" w:w="2340"/>
          </w:tcPr>
          <w:p>
            <w:r/>
            <w:r>
              <w:t>Semantica ANSC delle 55 voci con date di validità non valorizzate: validità illimitata o dato mancante.</w:t>
            </w:r>
          </w:p>
        </w:tc>
        <w:tc>
          <w:tcPr>
            <w:tcW w:type="dxa" w:w="2340"/>
          </w:tcPr>
          <w:p>
            <w:r/>
            <w:r>
              <w:t>Alta</w:t>
            </w:r>
          </w:p>
        </w:tc>
      </w:tr>
      <w:tr>
        <w:tc>
          <w:tcPr>
            <w:tcW w:type="dxa" w:w="2340"/>
          </w:tcPr>
          <w:p>
            <w:r/>
            <w:r>
              <w:t>PA-03</w:t>
            </w:r>
          </w:p>
        </w:tc>
        <w:tc>
          <w:tcPr>
            <w:tcW w:type="dxa" w:w="2340"/>
          </w:tcPr>
          <w:p>
            <w:r/>
            <w:r>
              <w:t>6.2</w:t>
            </w:r>
          </w:p>
        </w:tc>
        <w:tc>
          <w:tcPr>
            <w:tcW w:type="dxa" w:w="2340"/>
          </w:tcPr>
          <w:p>
            <w:r/>
            <w:r>
              <w:t>Schema di autenticazione al servizio R901 e credenziali assegnate a Roma Capitale.</w:t>
            </w:r>
          </w:p>
        </w:tc>
        <w:tc>
          <w:tcPr>
            <w:tcW w:type="dxa" w:w="2340"/>
          </w:tcPr>
          <w:p>
            <w:r/>
            <w:r>
              <w:t>Alta</w:t>
            </w:r>
          </w:p>
        </w:tc>
      </w:tr>
      <w:tr>
        <w:tc>
          <w:tcPr>
            <w:tcW w:type="dxa" w:w="2340"/>
          </w:tcPr>
          <w:p>
            <w:r/>
            <w:r>
              <w:t>PA-04</w:t>
            </w:r>
          </w:p>
        </w:tc>
        <w:tc>
          <w:tcPr>
            <w:tcW w:type="dxa" w:w="2340"/>
          </w:tcPr>
          <w:p>
            <w:r/>
            <w:r>
              <w:t>–</w:t>
            </w:r>
          </w:p>
        </w:tc>
        <w:tc>
          <w:tcPr>
            <w:tcW w:type="dxa" w:w="2340"/>
          </w:tcPr>
          <w:p>
            <w:r/>
            <w:r>
              <w:t>Esistenza di un’integrazione con R901 già attiva presso Roma Capitale. In caso affermativo l’intervento configura un consolidamento anziché una realizzazione.</w:t>
            </w:r>
          </w:p>
        </w:tc>
        <w:tc>
          <w:tcPr>
            <w:tcW w:type="dxa" w:w="2340"/>
          </w:tcPr>
          <w:p>
            <w:r/>
            <w:r>
              <w:t>Alta</w:t>
            </w:r>
          </w:p>
        </w:tc>
      </w:tr>
      <w:tr>
        <w:tc>
          <w:tcPr>
            <w:tcW w:type="dxa" w:w="2340"/>
          </w:tcPr>
          <w:p>
            <w:r/>
            <w:r>
              <w:t>PA-05</w:t>
            </w:r>
          </w:p>
        </w:tc>
        <w:tc>
          <w:tcPr>
            <w:tcW w:type="dxa" w:w="2340"/>
          </w:tcPr>
          <w:p>
            <w:r/>
            <w:r>
              <w:t>4.2</w:t>
            </w:r>
          </w:p>
        </w:tc>
        <w:tc>
          <w:tcPr>
            <w:tcW w:type="dxa" w:w="2340"/>
          </w:tcPr>
          <w:p>
            <w:r/>
            <w:r>
              <w:t>Volumi di traffico attesi, SLA di disponibilità e finestre di aggiornamento ammesse.</w:t>
            </w:r>
          </w:p>
        </w:tc>
        <w:tc>
          <w:tcPr>
            <w:tcW w:type="dxa" w:w="2340"/>
          </w:tcPr>
          <w:p>
            <w:r/>
            <w:r>
              <w:t>Media</w:t>
            </w:r>
          </w:p>
        </w:tc>
      </w:tr>
      <w:tr>
        <w:tc>
          <w:tcPr>
            <w:tcW w:type="dxa" w:w="2340"/>
          </w:tcPr>
          <w:p>
            <w:r/>
            <w:r>
              <w:t>PA-06</w:t>
            </w:r>
          </w:p>
        </w:tc>
        <w:tc>
          <w:tcPr>
            <w:tcW w:type="dxa" w:w="2340"/>
          </w:tcPr>
          <w:p>
            <w:r/>
            <w:r>
              <w:t>6.3</w:t>
            </w:r>
          </w:p>
        </w:tc>
        <w:tc>
          <w:tcPr>
            <w:tcW w:type="dxa" w:w="2340"/>
          </w:tcPr>
          <w:p>
            <w:r/>
            <w:r>
              <w:t>Disponibilità di un’istanza PostgreSQL e parametri di connessione.</w:t>
            </w:r>
          </w:p>
        </w:tc>
        <w:tc>
          <w:tcPr>
            <w:tcW w:type="dxa" w:w="2340"/>
          </w:tcPr>
          <w:p>
            <w:r/>
            <w:r>
              <w:t>Media</w:t>
            </w:r>
          </w:p>
        </w:tc>
      </w:tr>
      <w:tr>
        <w:tc>
          <w:tcPr>
            <w:tcW w:type="dxa" w:w="2340"/>
          </w:tcPr>
          <w:p>
            <w:r/>
            <w:r>
              <w:t>PA-07</w:t>
            </w:r>
          </w:p>
        </w:tc>
        <w:tc>
          <w:tcPr>
            <w:tcW w:type="dxa" w:w="2340"/>
          </w:tcPr>
          <w:p>
            <w:r/>
            <w:r>
              <w:t>6.4</w:t>
            </w:r>
          </w:p>
        </w:tc>
        <w:tc>
          <w:tcPr>
            <w:tcW w:type="dxa" w:w="2340"/>
          </w:tcPr>
          <w:p>
            <w:r/>
            <w:r>
              <w:t>Disponibilità di un registro di artefatti (npm, Maven, PyPI) presso Roma Capitale.</w:t>
            </w:r>
          </w:p>
        </w:tc>
        <w:tc>
          <w:tcPr>
            <w:tcW w:type="dxa" w:w="2340"/>
          </w:tcPr>
          <w:p>
            <w:r/>
            <w:r>
              <w:t>Media</w:t>
            </w:r>
          </w:p>
        </w:tc>
      </w:tr>
      <w:tr>
        <w:tc>
          <w:tcPr>
            <w:tcW w:type="dxa" w:w="2340"/>
          </w:tcPr>
          <w:p>
            <w:r/>
            <w:r>
              <w:t>PA-08</w:t>
            </w:r>
          </w:p>
        </w:tc>
        <w:tc>
          <w:tcPr>
            <w:tcW w:type="dxa" w:w="2340"/>
          </w:tcPr>
          <w:p>
            <w:r/>
            <w:r>
              <w:t>2</w:t>
            </w:r>
          </w:p>
        </w:tc>
        <w:tc>
          <w:tcPr>
            <w:tcW w:type="dxa" w:w="2340"/>
          </w:tcPr>
          <w:p>
            <w:r/>
            <w:r>
              <w:t>Inquadramento nel programma di adesione ad ANSC: fasi, milestone e vincoli già assunti.</w:t>
            </w:r>
          </w:p>
        </w:tc>
        <w:tc>
          <w:tcPr>
            <w:tcW w:type="dxa" w:w="2340"/>
          </w:tcPr>
          <w:p>
            <w:r/>
            <w:r>
              <w:t>Media</w:t>
            </w:r>
          </w:p>
        </w:tc>
      </w:tr>
      <w:tr>
        <w:tc>
          <w:tcPr>
            <w:tcW w:type="dxa" w:w="2340"/>
          </w:tcPr>
          <w:p>
            <w:r/>
            <w:r>
              <w:t>PA-09</w:t>
            </w:r>
          </w:p>
        </w:tc>
        <w:tc>
          <w:tcPr>
            <w:tcW w:type="dxa" w:w="2340"/>
          </w:tcPr>
          <w:p>
            <w:r/>
            <w:r>
              <w:t>6.1</w:t>
            </w:r>
          </w:p>
        </w:tc>
        <w:tc>
          <w:tcPr>
            <w:tcW w:type="dxa" w:w="2340"/>
          </w:tcPr>
          <w:p>
            <w:r/>
            <w:r>
              <w:t>Rappresentazione grafica dell’architettura secondo gli standard di diagrammazione del Dipartimento.</w:t>
            </w:r>
          </w:p>
        </w:tc>
        <w:tc>
          <w:tcPr>
            <w:tcW w:type="dxa" w:w="2340"/>
          </w:tcPr>
          <w:p>
            <w:r/>
            <w:r>
              <w:t>Bassa</w:t>
            </w:r>
          </w:p>
        </w:tc>
      </w:tr>
      <w:tr>
        <w:tc>
          <w:tcPr>
            <w:tcW w:type="dxa" w:w="2340"/>
          </w:tcPr>
          <w:p>
            <w:r/>
            <w:r>
              <w:t>PA-10</w:t>
            </w:r>
          </w:p>
        </w:tc>
        <w:tc>
          <w:tcPr>
            <w:tcW w:type="dxa" w:w="2340"/>
          </w:tcPr>
          <w:p>
            <w:r/>
            <w:r>
              <w:t>1.2</w:t>
            </w:r>
          </w:p>
        </w:tc>
        <w:tc>
          <w:tcPr>
            <w:tcW w:type="dxa" w:w="2340"/>
          </w:tcPr>
          <w:p>
            <w:r/>
            <w:r>
              <w:t>Analisi della Guida operativa ANSC [R5], non esaminata nel presente studio.</w:t>
            </w:r>
          </w:p>
        </w:tc>
        <w:tc>
          <w:tcPr>
            <w:tcW w:type="dxa" w:w="2340"/>
          </w:tcPr>
          <w:p>
            <w:r/>
            <w:r>
              <w:t>Bassa</w:t>
            </w:r>
          </w:p>
        </w:tc>
      </w:tr>
      <w:tr>
        <w:tc>
          <w:tcPr>
            <w:tcW w:type="dxa" w:w="2340"/>
          </w:tcPr>
          <w:p>
            <w:r/>
            <w:r>
              <w:t>PA-11</w:t>
            </w:r>
          </w:p>
        </w:tc>
        <w:tc>
          <w:tcPr>
            <w:tcW w:type="dxa" w:w="2340"/>
          </w:tcPr>
          <w:p>
            <w:r/>
            <w:r>
              <w:t>–</w:t>
            </w:r>
          </w:p>
        </w:tc>
        <w:tc>
          <w:tcPr>
            <w:tcW w:type="dxa" w:w="2340"/>
          </w:tcPr>
          <w:p>
            <w:r/>
            <w:r>
              <w:t>Stima dell’effort e roadmap realizzativa, escluse dal perimetro dello studio in assenza dei dati di cui a PA-01 e PA-05.</w:t>
            </w:r>
          </w:p>
        </w:tc>
        <w:tc>
          <w:tcPr>
            <w:tcW w:type="dxa" w:w="2340"/>
          </w:tcPr>
          <w:p>
            <w:r/>
            <w:r>
              <w:t>Bassa</w:t>
            </w:r>
          </w:p>
        </w:tc>
      </w:tr>
    </w:tbl>
    <w:p>
      <w:pPr>
        <w:pStyle w:val="Caption"/>
      </w:pPr>
      <w:r>
        <w:t>Tabella 17 – Riepilogo dei punti aperti</w:t>
      </w:r>
    </w:p>
    <w:p>
      <w:r>
        <w:br w:type="page"/>
      </w:r>
    </w:p>
    <w:p>
      <w:pPr>
        <w:pStyle w:val="Heading1"/>
      </w:pPr>
      <w:r>
        <w:t>Riferimenti e standard</w:t>
      </w:r>
    </w:p>
    <w:p>
      <w:pPr>
        <w:jc w:val="both"/>
      </w:pPr>
      <w:r>
        <w:t>Oltre alle sorgenti elencate al § 1.2, la proposta si richiama agli standard seguenti.</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Standard</w:t>
            </w:r>
          </w:p>
        </w:tc>
        <w:tc>
          <w:tcPr>
            <w:tcW w:type="dxa" w:w="3120"/>
          </w:tcPr>
          <w:p>
            <w:r/>
            <w:r>
              <w:rPr>
                <w:b/>
              </w:rPr>
              <w:t>Ambito</w:t>
            </w:r>
          </w:p>
        </w:tc>
        <w:tc>
          <w:tcPr>
            <w:tcW w:type="dxa" w:w="3120"/>
          </w:tcPr>
          <w:p>
            <w:r/>
            <w:r>
              <w:rPr>
                <w:b/>
              </w:rPr>
              <w:t>Pertinenza</w:t>
            </w:r>
          </w:p>
        </w:tc>
      </w:tr>
      <w:tr>
        <w:tc>
          <w:tcPr>
            <w:tcW w:type="dxa" w:w="3120"/>
          </w:tcPr>
          <w:p>
            <w:r/>
            <w:r>
              <w:t>OntoPiA – vocabolari controllati (AGID)</w:t>
            </w:r>
          </w:p>
        </w:tc>
        <w:tc>
          <w:tcPr>
            <w:tcW w:type="dxa" w:w="3120"/>
          </w:tcPr>
          <w:p>
            <w:r/>
            <w:r>
              <w:t>Interoperabilità semantica PA</w:t>
            </w:r>
          </w:p>
        </w:tc>
        <w:tc>
          <w:tcPr>
            <w:tcW w:type="dxa" w:w="3120"/>
          </w:tcPr>
          <w:p>
            <w:r/>
            <w:r>
              <w:t>Riferimento nazionale per la pubblicazione di vocabolari controllati (§ 6.5).</w:t>
            </w:r>
          </w:p>
        </w:tc>
      </w:tr>
      <w:tr>
        <w:tc>
          <w:tcPr>
            <w:tcW w:type="dxa" w:w="3120"/>
          </w:tcPr>
          <w:p>
            <w:r/>
            <w:r>
              <w:t>W3C SKOS</w:t>
            </w:r>
          </w:p>
        </w:tc>
        <w:tc>
          <w:tcPr>
            <w:tcW w:type="dxa" w:w="3120"/>
          </w:tcPr>
          <w:p>
            <w:r/>
            <w:r>
              <w:t>Rappresentazione di vocabolari controllati</w:t>
            </w:r>
          </w:p>
        </w:tc>
        <w:tc>
          <w:tcPr>
            <w:tcW w:type="dxa" w:w="3120"/>
          </w:tcPr>
          <w:p>
            <w:r/>
            <w:r>
              <w:t>Modello di rappresentazione proposto per il livello 4.</w:t>
            </w:r>
          </w:p>
        </w:tc>
      </w:tr>
      <w:tr>
        <w:tc>
          <w:tcPr>
            <w:tcW w:type="dxa" w:w="3120"/>
          </w:tcPr>
          <w:p>
            <w:r/>
            <w:r>
              <w:t>OpenAPI 3.0</w:t>
            </w:r>
          </w:p>
        </w:tc>
        <w:tc>
          <w:tcPr>
            <w:tcW w:type="dxa" w:w="3120"/>
          </w:tcPr>
          <w:p>
            <w:r/>
            <w:r>
              <w:t>Specifica di interfacce REST</w:t>
            </w:r>
          </w:p>
        </w:tc>
        <w:tc>
          <w:tcPr>
            <w:tcW w:type="dxa" w:w="3120"/>
          </w:tcPr>
          <w:p>
            <w:r/>
            <w:r>
              <w:t>Adottato da ANSC per R901 [R3]; da adottare per il servizio di cui al § 6.4.</w:t>
            </w:r>
          </w:p>
        </w:tc>
      </w:tr>
      <w:tr>
        <w:tc>
          <w:tcPr>
            <w:tcW w:type="dxa" w:w="3120"/>
          </w:tcPr>
          <w:p>
            <w:r/>
            <w:r>
              <w:t>RFC 9110 – HTTP Semantics</w:t>
            </w:r>
          </w:p>
        </w:tc>
        <w:tc>
          <w:tcPr>
            <w:tcW w:type="dxa" w:w="3120"/>
          </w:tcPr>
          <w:p>
            <w:r/>
            <w:r>
              <w:t>Semantica HTTP</w:t>
            </w:r>
          </w:p>
        </w:tc>
        <w:tc>
          <w:tcPr>
            <w:tcW w:type="dxa" w:w="3120"/>
          </w:tcPr>
          <w:p>
            <w:r/>
            <w:r>
              <w:t>Validazione della cache mediante ETag (§ 6.4).</w:t>
            </w:r>
          </w:p>
        </w:tc>
      </w:tr>
      <w:tr>
        <w:tc>
          <w:tcPr>
            <w:tcW w:type="dxa" w:w="3120"/>
          </w:tcPr>
          <w:p>
            <w:r/>
            <w:r>
              <w:t>Versionamento semantico</w:t>
            </w:r>
          </w:p>
        </w:tc>
        <w:tc>
          <w:tcPr>
            <w:tcW w:type="dxa" w:w="3120"/>
          </w:tcPr>
          <w:p>
            <w:r/>
            <w:r>
              <w:t>Versionamento degli artefatti</w:t>
            </w:r>
          </w:p>
        </w:tc>
        <w:tc>
          <w:tcPr>
            <w:tcW w:type="dxa" w:w="3120"/>
          </w:tcPr>
          <w:p>
            <w:r/>
            <w:r>
              <w:t>Applicabile agli artefatti del canale A (§ 6.4).</w:t>
            </w:r>
          </w:p>
        </w:tc>
      </w:tr>
    </w:tbl>
    <w:p>
      <w:pPr>
        <w:pStyle w:val="Caption"/>
      </w:pPr>
      <w:r>
        <w:t>Tabella 18 – Standard di riferimento</w:t>
      </w:r>
    </w:p>
    <w:p>
      <w:pPr>
        <w:jc w:val="both"/>
      </w:pPr>
      <w:r>
        <w:t>[DA VERIFICARE: conformità della proposta alle linee guida di Roma Capitale in materia di architetture applicative, ove esistenti.]</w:t>
      </w:r>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