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w:t>
      </w:r>
    </w:p>
    <w:p w14:paraId="71440EED" w14:textId="3A30D41E" w:rsidR="006116EA" w:rsidRDefault="006116EA" w:rsidP="006116EA">
      <w:pPr>
        <w:pStyle w:val="Title"/>
        <w:jc w:val="center"/>
        <w:rPr>
          <w:lang w:val="it-IT"/>
        </w:rPr>
      </w:pPr>
      <w:r>
        <w:rPr>
          <w:lang w:val="it-IT"/>
        </w:rPr>
        <w:t>“Decodifiche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Studio di fattibilità tecnologica per la distribuzione applicativa delle tabelle di decodifica ANSC ai sistemi di Roma Capitale</w:t>
      </w:r>
      <w:r w:rsidR="00E260B4">
        <w:rPr>
          <w:lang w:val="it-IT"/>
        </w:rPr>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r>
              <w:t>Dipartimento Trasformazione Digitale – Roma Capitale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r>
              <w:t>[DA VERIFICARE: RTI di riferimento]</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r>
              <w:t>[DA VERIFICARE: società redattrice]</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r>
              <w:t>[DA VERIFICARE: estremi del contratto esecutivo]</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r>
              <w:t>[DA VERIFICARE: accordo quadro di riferimento]</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Area Stato Civile – Decodifiche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16/07/2026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0.3</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Studio di fattibilità tecnologica – Distribuzione applicativa delle tabelle di decodifica ANSC</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r>
              <w:t>[DA VERIFICARE: da aggiornare a impaginazione definitiva]</w:t>
            </w: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r>
              <w:t>[DA VERIFICARE: codice area applicativa]</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r>
              <w:t>[DA VERIFICARE: codice asset]</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r>
              <w:t>[DA VERIFICARE: nome redattore]</w:t>
            </w: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r>
              <w:t>[DA VERIFICARE: nome validatore]</w:t>
            </w: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r>
              <w:t>[DA VERIFICARE: nome approvatore]</w:t>
            </w: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16/07/2026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Tutti</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emissione. Studio di fattibilità sulla distribuzione delle decodifiche ANSC.</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16/07/2026</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0.2</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1, 2, 4 (nuovo), 5, 6, 7, 8, 9, 10</w:t>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Aggiornamento sulla base dell’analisi dei sorgenti applicativi SIPO. Nuovo cap. 4 (sistema consumatore). Revisione dell’archivio canonico da PostgreSQL a Oracle e inversione di priorità fra i canali di distribuzione. Chiusi i punti aperti PA-01, PA-04, PA-06, PA-07.</w:t>
            </w: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r>
              <w:t>16/07/2026</w:t>
            </w: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r>
              <w:t>0.3</w:t>
            </w: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r>
              <w:t>3.1, 3.5, 4.5, 4.6 (nuovo), 8.1, 9, 10</w:t>
            </w: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r>
              <w:t>Esito del confronto sistematico fra i vocabolari (PA-14). Nuovo § 4.6 (confronto strutturale sulle 145 decodifiche). Rettifica del § 4.5: ANSC espone due vocabolari di stato civile. Tre anomalie ANSC documentate al § 3.5, fra cui la collisione dell’identificativo 134 (nuovo rischio RA-04).</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r>
            <w:fldChar w:fldCharType="begin" w:dirty="true"/>
          </w:r>
          <w:r>
            <w:instrText xml:space="preserve"> TOC \o "1-3" \z \u \h </w:instrText>
          </w:r>
          <w:r>
            <w:fldChar w:fldCharType="separate"/>
          </w:r>
          <w:r>
            <w:t>Aggiornare il sommario: selezionare e premere F9.</w:t>
          </w: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jc w:val="both"/>
      </w:pPr>
      <w:r>
        <w:t>Il presente documento espone lo studio di fattibilità tecnologica relativo alla distribuzione applicativa delle tabelle di decodifica dell’Archivio Nazionale dello Stato Civile (ANSC) verso i sistemi informativi di Roma Capitale. Lo studio nasce da un quesito specifico: individuare una soluzione tecnologicamente sostenibile, aggiornata e moderna che renda tali strutture dati disponibili ai diversi sistemi consumatori, valutando in particolare l’ipotesi iniziale di adozione di una cache distribuita (Redis).</w:t>
      </w:r>
    </w:p>
    <w:p>
      <w:pPr>
        <w:jc w:val="both"/>
      </w:pPr>
      <w:r>
        <w:t>Il documento non costituisce un Documento di Analisi e Disegno (DAD): non descrive il disegno di dettaglio di una soluzione approvata, ma istruisce la scelta architetturale a monte, fornendo le evidenze quantitative necessarie a motivarla. Ne eredita tuttavia forma, stili e struttura documentale, in conformità allo standard documentale del Dipartimento.</w:t>
      </w:r>
    </w:p>
    <w:p>
      <w:pPr>
        <w:jc w:val="both"/>
      </w:pPr>
      <w:r>
        <w:t>La versione 0.2 ha aggiornato la 0.1 sulla base dell’analisi dei sorgenti applicativi del sistema SIPO, resi disponibili successivamente alla prima emissione. L’evidenza acquisita ha consentito di chiudere quattro punti aperti e ha imposto la revisione di due scelte architetturali. Le modifiche di maggior rilievo sono state le seguenti.</w:t>
      </w:r>
    </w:p>
    <w:p>
      <w:pPr>
        <w:pStyle w:val="ListParagraph"/>
        <w:jc w:val="both"/>
      </w:pPr>
      <w:r>
        <w:t>•</w:t>
        <w:tab/>
        <w:t>È stato introdotto il capitolo 4, che descrive il sistema consumatore effettivo (SIPO) e i vincoli che ne derivano. La versione 0.1 ragionava su un consumatore ipotetico.</w:t>
      </w:r>
    </w:p>
    <w:p>
      <w:pPr>
        <w:pStyle w:val="ListParagraph"/>
        <w:jc w:val="both"/>
      </w:pPr>
      <w:r>
        <w:t>•</w:t>
        <w:tab/>
        <w:t>L’archivio canonico passa da PostgreSQL a Oracle (§ 7.3). La motivazione addotta nella versione 0.1 — la presunta disponibilità di un’istanza PostgreSQL — è risultata infondata: SIPO è esclusivamente Oracle.</w:t>
      </w:r>
    </w:p>
    <w:p>
      <w:pPr>
        <w:pStyle w:val="ListParagraph"/>
        <w:jc w:val="both"/>
      </w:pPr>
      <w:r>
        <w:t>•</w:t>
        <w:tab/>
        <w:t>La priorità fra i due canali di distribuzione si inverte (§ 6.5 e § 7.4). L’assenza di un registro di artefatti e la numerosità dei moduli rendono il canale ad artefatti non praticabile come canale primario.</w:t>
      </w:r>
    </w:p>
    <w:p>
      <w:pPr>
        <w:pStyle w:val="ListParagraph"/>
        <w:jc w:val="both"/>
      </w:pPr>
      <w:r>
        <w:t>•</w:t>
        <w:tab/>
        <w:t>Il punto aperto PA-04 si chiude in senso negativo: non esiste alcuna integrazione ANSC. L’intervento è una realizzazione ex novo, non un consolidamento (§ 4.4).</w:t>
      </w:r>
    </w:p>
    <w:p>
      <w:pPr>
        <w:jc w:val="both"/>
      </w:pPr>
      <w:r>
        <w:t>La presente versione 0.3 dà conto dell’esito del confronto sistematico fra i vocabolari ANSC e SIPO, richiesto dal punto aperto PA-14 della versione precedente. Le modifiche sono le seguenti.</w:t>
      </w:r>
    </w:p>
    <w:p>
      <w:pPr>
        <w:pStyle w:val="ListParagraph"/>
        <w:jc w:val="both"/>
      </w:pPr>
      <w:r>
        <w:t>•</w:t>
        <w:tab/>
        <w:t>Nuovo § 4.6: confronto strutturale esteso a tutte le decodifiche. L’esito è che l’81% del vocabolario ANSC non ha alcuna controparte in SIPO.</w:t>
      </w:r>
    </w:p>
    <w:p>
      <w:pPr>
        <w:pStyle w:val="ListParagraph"/>
        <w:jc w:val="both"/>
      </w:pPr>
      <w:r>
        <w:t>•</w:t>
        <w:tab/>
        <w:t>Rettifica del § 4.5. La versione 0.2 affermava che SIPO e ANSC omettessero entrambi il codice 5, inferendone una discendenza comune. L’affermazione è esatta rispetto alla decodifica 61 ma non rispetto alla 168: ANSC espone due distinti vocabolari di stato civile. La conclusione del § 4.5 dipende da quale si assuma a riferimento.</w:t>
      </w:r>
    </w:p>
    <w:p>
      <w:pPr>
        <w:pStyle w:val="ListParagraph"/>
        <w:jc w:val="both"/>
      </w:pPr>
      <w:r>
        <w:t>•</w:t>
        <w:tab/>
        <w:t>Nuovo § 3.5.1: tre anomalie interne ad ANSC, fra cui la collisione dell’identificativo 134, assegnato a due decodifiche divergenti. Poiché R901 impiega l’identificativo quale chiave, la collisione incide direttamente sul modello dati (§ 8.1) ed è recepita quale rischio di classe A (RA-04).</w:t>
      </w:r>
    </w:p>
    <w:p>
      <w:pPr>
        <w:pStyle w:val="ListParagraph"/>
        <w:jc w:val="both"/>
      </w:pPr>
      <w:r>
        <w:t>•</w:t>
        <w:tab/>
        <w:t>Il confronto delle descrizioni sulle rimanenti decodifiche non è risultato eseguibile con le sorgenti disponibili: PA-14 è riformulato in tal senso (§ 4.6).</w:t>
      </w:r>
    </w:p>
    <w:p>
      <w:pPr>
        <w:jc w:val="both"/>
      </w:pPr>
      <w:r>
        <w:t>Le conclusioni si fondano esclusivamente su evidenze misurate sulle sorgenti indicate al § 1.2. Ogni elemento non ricavabile dalle sorgenti è marcato con un segnaposto esplicito [DA VERIFICARE] ed è riepilogato al § 10.</w:t>
      </w:r>
    </w:p>
    <w:p>
      <w:pPr>
        <w:pStyle w:val="Heading2"/>
      </w:pPr>
      <w:r>
        <w:t>Glossario</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Acronimo</w:t>
            </w:r>
          </w:p>
        </w:tc>
        <w:tc>
          <w:tcPr>
            <w:tcW w:type="dxa" w:w="3120"/>
          </w:tcPr>
          <w:p>
            <w:r/>
            <w:r>
              <w:rPr>
                <w:b/>
              </w:rPr>
              <w:t>Significato</w:t>
            </w:r>
          </w:p>
        </w:tc>
        <w:tc>
          <w:tcPr>
            <w:tcW w:type="dxa" w:w="3120"/>
          </w:tcPr>
          <w:p>
            <w:r/>
            <w:r>
              <w:rPr>
                <w:b/>
              </w:rPr>
              <w:t>Descrizione</w:t>
            </w:r>
          </w:p>
        </w:tc>
      </w:tr>
      <w:tr>
        <w:tc>
          <w:tcPr>
            <w:tcW w:type="dxa" w:w="3120"/>
          </w:tcPr>
          <w:p>
            <w:r/>
            <w:r>
              <w:t>ANSC</w:t>
            </w:r>
          </w:p>
        </w:tc>
        <w:tc>
          <w:tcPr>
            <w:tcW w:type="dxa" w:w="3120"/>
          </w:tcPr>
          <w:p>
            <w:r/>
            <w:r>
              <w:t>Archivio Nazionale dello Stato Civile</w:t>
            </w:r>
          </w:p>
        </w:tc>
        <w:tc>
          <w:tcPr>
            <w:tcW w:type="dxa" w:w="3120"/>
          </w:tcPr>
          <w:p>
            <w:r/>
            <w:r>
              <w:t>Archivio nazionale degli atti di stato civile, gestito nell’ambito ANPR.</w:t>
            </w:r>
          </w:p>
        </w:tc>
      </w:tr>
      <w:tr>
        <w:tc>
          <w:tcPr>
            <w:tcW w:type="dxa" w:w="3120"/>
          </w:tcPr>
          <w:p>
            <w:r/>
            <w:r>
              <w:t>ANPR</w:t>
            </w:r>
          </w:p>
        </w:tc>
        <w:tc>
          <w:tcPr>
            <w:tcW w:type="dxa" w:w="3120"/>
          </w:tcPr>
          <w:p>
            <w:r/>
            <w:r>
              <w:t>Anagrafe Nazionale della Popolazione Residente</w:t>
            </w:r>
          </w:p>
        </w:tc>
        <w:tc>
          <w:tcPr>
            <w:tcW w:type="dxa" w:w="3120"/>
          </w:tcPr>
          <w:p>
            <w:r/>
            <w:r>
              <w:t>Infrastruttura anagrafica nazionale nel cui perimetro opera ANSC.</w:t>
            </w:r>
          </w:p>
        </w:tc>
      </w:tr>
      <w:tr>
        <w:tc>
          <w:tcPr>
            <w:tcW w:type="dxa" w:w="3120"/>
          </w:tcPr>
          <w:p>
            <w:r/>
            <w:r>
              <w:t>SIPO</w:t>
            </w:r>
          </w:p>
        </w:tc>
        <w:tc>
          <w:tcPr>
            <w:tcW w:type="dxa" w:w="3120"/>
          </w:tcPr>
          <w:p>
            <w:r/>
            <w:r>
              <w:t>Sistema Informativo Popolazione</w:t>
            </w:r>
          </w:p>
        </w:tc>
        <w:tc>
          <w:tcPr>
            <w:tcW w:type="dxa" w:w="3120"/>
          </w:tcPr>
          <w:p>
            <w:r/>
            <w:r>
              <w:t>Suite applicativa dei servizi demografici di Roma Capitale. Il sistema consumatore.</w:t>
            </w:r>
          </w:p>
        </w:tc>
      </w:tr>
      <w:tr>
        <w:tc>
          <w:tcPr>
            <w:tcW w:type="dxa" w:w="3120"/>
          </w:tcPr>
          <w:p>
            <w:r/>
            <w:r>
              <w:t>Decodifica</w:t>
            </w:r>
          </w:p>
        </w:tc>
        <w:tc>
          <w:tcPr>
            <w:tcW w:type="dxa" w:w="3120"/>
          </w:tcPr>
          <w:p>
            <w:r/>
            <w:r>
              <w:t>Tabella di decodifica</w:t>
            </w:r>
          </w:p>
        </w:tc>
        <w:tc>
          <w:tcPr>
            <w:tcW w:type="dxa" w:w="3120"/>
          </w:tcPr>
          <w:p>
            <w:r/>
            <w:r>
              <w:t>Vocabolario controllato che associa un codice a una descrizione, con validità temporale.</w:t>
            </w:r>
          </w:p>
        </w:tc>
      </w:tr>
      <w:tr>
        <w:tc>
          <w:tcPr>
            <w:tcW w:type="dxa" w:w="3120"/>
          </w:tcPr>
          <w:p>
            <w:r/>
            <w:r>
              <w:t>R901</w:t>
            </w:r>
          </w:p>
        </w:tc>
        <w:tc>
          <w:tcPr>
            <w:tcW w:type="dxa" w:w="3120"/>
          </w:tcPr>
          <w:p>
            <w:r/>
            <w:r>
              <w:t>Servizio di configurazione decodifiche</w:t>
            </w:r>
          </w:p>
        </w:tc>
        <w:tc>
          <w:tcPr>
            <w:tcW w:type="dxa" w:w="3120"/>
          </w:tcPr>
          <w:p>
            <w:r/>
            <w:r>
              <w:t>Servizio ANSC che espone elenco e dettaglio delle tabelle di decodifica.</w:t>
            </w:r>
          </w:p>
        </w:tc>
      </w:tr>
      <w:tr>
        <w:tc>
          <w:tcPr>
            <w:tcW w:type="dxa" w:w="3120"/>
          </w:tcPr>
          <w:p>
            <w:r/>
            <w:r>
              <w:t>CONF_*</w:t>
            </w:r>
          </w:p>
        </w:tc>
        <w:tc>
          <w:tcPr>
            <w:tcW w:type="dxa" w:w="3120"/>
          </w:tcPr>
          <w:p>
            <w:r/>
            <w:r>
              <w:t>Tabelle di configurazione SIPO</w:t>
            </w:r>
          </w:p>
        </w:tc>
        <w:tc>
          <w:tcPr>
            <w:tcW w:type="dxa" w:w="3120"/>
          </w:tcPr>
          <w:p>
            <w:r/>
            <w:r>
              <w:t>Convenzione di denominazione delle tabelle di lookup di SIPO; equivalente funzionale delle decodifiche.</w:t>
            </w:r>
          </w:p>
        </w:tc>
      </w:tr>
      <w:tr>
        <w:tc>
          <w:tcPr>
            <w:tcW w:type="dxa" w:w="3120"/>
          </w:tcPr>
          <w:p>
            <w:r/>
            <w:r>
              <w:t>USC</w:t>
            </w:r>
          </w:p>
        </w:tc>
        <w:tc>
          <w:tcPr>
            <w:tcW w:type="dxa" w:w="3120"/>
          </w:tcPr>
          <w:p>
            <w:r/>
            <w:r>
              <w:t>Ufficiale di Stato Civile</w:t>
            </w:r>
          </w:p>
        </w:tc>
        <w:tc>
          <w:tcPr>
            <w:tcW w:type="dxa" w:w="3120"/>
          </w:tcPr>
          <w:p>
            <w:r/>
            <w:r>
              <w:t>Soggetto competente alla formazione degli atti di stato civile.</w:t>
            </w:r>
          </w:p>
        </w:tc>
      </w:tr>
      <w:tr>
        <w:tc>
          <w:tcPr>
            <w:tcW w:type="dxa" w:w="3120"/>
          </w:tcPr>
          <w:p>
            <w:r/>
            <w:r>
              <w:t>DMNM</w:t>
            </w:r>
          </w:p>
        </w:tc>
        <w:tc>
          <w:tcPr>
            <w:tcW w:type="dxa" w:w="3120"/>
          </w:tcPr>
          <w:p>
            <w:r/>
            <w:r>
              <w:t>Denuncia di Morte / Necroscopica</w:t>
            </w:r>
          </w:p>
        </w:tc>
        <w:tc>
          <w:tcPr>
            <w:tcW w:type="dxa" w:w="3120"/>
          </w:tcPr>
          <w:p>
            <w:r/>
            <w:r>
              <w:t>Prefisso delle decodifiche afferenti al dominio della denuncia di morte.</w:t>
            </w:r>
          </w:p>
        </w:tc>
      </w:tr>
      <w:tr>
        <w:tc>
          <w:tcPr>
            <w:tcW w:type="dxa" w:w="3120"/>
          </w:tcPr>
          <w:p>
            <w:r/>
            <w:r>
              <w:t>Bitemporale</w:t>
            </w:r>
          </w:p>
        </w:tc>
        <w:tc>
          <w:tcPr>
            <w:tcW w:type="dxa" w:w="3120"/>
          </w:tcPr>
          <w:p>
            <w:r/>
            <w:r>
              <w:t>Modello bitemporale</w:t>
            </w:r>
          </w:p>
        </w:tc>
        <w:tc>
          <w:tcPr>
            <w:tcW w:type="dxa" w:w="3120"/>
          </w:tcPr>
          <w:p>
            <w:r/>
            <w:r>
              <w:t>Modello dati che traccia sia il tempo di validità sia il tempo di registrazione.</w:t>
            </w:r>
          </w:p>
        </w:tc>
      </w:tr>
      <w:tr>
        <w:tc>
          <w:tcPr>
            <w:tcW w:type="dxa" w:w="3120"/>
          </w:tcPr>
          <w:p>
            <w:r/>
            <w:r>
              <w:t>Validity time</w:t>
            </w:r>
          </w:p>
        </w:tc>
        <w:tc>
          <w:tcPr>
            <w:tcW w:type="dxa" w:w="3120"/>
          </w:tcPr>
          <w:p>
            <w:r/>
            <w:r>
              <w:t>Tempo di validità</w:t>
            </w:r>
          </w:p>
        </w:tc>
        <w:tc>
          <w:tcPr>
            <w:tcW w:type="dxa" w:w="3120"/>
          </w:tcPr>
          <w:p>
            <w:r/>
            <w:r>
              <w:t>Intervallo in cui un dato è vero nel mondo reale (DATAINIZIOVALIDITA / DATAFINEVALIDITA).</w:t>
            </w:r>
          </w:p>
        </w:tc>
      </w:tr>
      <w:tr>
        <w:tc>
          <w:tcPr>
            <w:tcW w:type="dxa" w:w="3120"/>
          </w:tcPr>
          <w:p>
            <w:r/>
            <w:r>
              <w:t>Transaction time</w:t>
            </w:r>
          </w:p>
        </w:tc>
        <w:tc>
          <w:tcPr>
            <w:tcW w:type="dxa" w:w="3120"/>
          </w:tcPr>
          <w:p>
            <w:r/>
            <w:r>
              <w:t>Tempo di registrazione</w:t>
            </w:r>
          </w:p>
        </w:tc>
        <w:tc>
          <w:tcPr>
            <w:tcW w:type="dxa" w:w="3120"/>
          </w:tcPr>
          <w:p>
            <w:r/>
            <w:r>
              <w:t>Istante in cui il sistema ha appreso un dato; consente di ricostruire ciò che si sapeva a una data.</w:t>
            </w:r>
          </w:p>
        </w:tc>
      </w:tr>
      <w:tr>
        <w:tc>
          <w:tcPr>
            <w:tcW w:type="dxa" w:w="3120"/>
          </w:tcPr>
          <w:p>
            <w:r/>
            <w:r>
              <w:t>Temporal Validity</w:t>
            </w:r>
          </w:p>
        </w:tc>
        <w:tc>
          <w:tcPr>
            <w:tcW w:type="dxa" w:w="3120"/>
          </w:tcPr>
          <w:p>
            <w:r/>
            <w:r>
              <w:t>Funzione Oracle 12c</w:t>
            </w:r>
          </w:p>
        </w:tc>
        <w:tc>
          <w:tcPr>
            <w:tcW w:type="dxa" w:w="3120"/>
          </w:tcPr>
          <w:p>
            <w:r/>
            <w:r>
              <w:t>Supporto nativo Oracle al tempo di validità mediante clausola PERIOD FOR.</w:t>
            </w:r>
          </w:p>
        </w:tc>
      </w:tr>
      <w:tr>
        <w:tc>
          <w:tcPr>
            <w:tcW w:type="dxa" w:w="3120"/>
          </w:tcPr>
          <w:p>
            <w:r/>
            <w:r>
              <w:t>FDA</w:t>
            </w:r>
          </w:p>
        </w:tc>
        <w:tc>
          <w:tcPr>
            <w:tcW w:type="dxa" w:w="3120"/>
          </w:tcPr>
          <w:p>
            <w:r/>
            <w:r>
              <w:t>Flashback Data Archive</w:t>
            </w:r>
          </w:p>
        </w:tc>
        <w:tc>
          <w:tcPr>
            <w:tcW w:type="dxa" w:w="3120"/>
          </w:tcPr>
          <w:p>
            <w:r/>
            <w:r>
              <w:t>Funzione Oracle che storicizza automaticamente le modifiche: fornisce il tempo di registrazione.</w:t>
            </w:r>
          </w:p>
        </w:tc>
      </w:tr>
      <w:tr>
        <w:tc>
          <w:tcPr>
            <w:tcW w:type="dxa" w:w="3120"/>
          </w:tcPr>
          <w:p>
            <w:r/>
            <w:r>
              <w:t>SKOS</w:t>
            </w:r>
          </w:p>
        </w:tc>
        <w:tc>
          <w:tcPr>
            <w:tcW w:type="dxa" w:w="3120"/>
          </w:tcPr>
          <w:p>
            <w:r/>
            <w:r>
              <w:t>Simple Knowledge Organization System</w:t>
            </w:r>
          </w:p>
        </w:tc>
        <w:tc>
          <w:tcPr>
            <w:tcW w:type="dxa" w:w="3120"/>
          </w:tcPr>
          <w:p>
            <w:r/>
            <w:r>
              <w:t>Standard W3C per la rappresentazione di vocabolari controllati.</w:t>
            </w:r>
          </w:p>
        </w:tc>
      </w:tr>
      <w:tr>
        <w:tc>
          <w:tcPr>
            <w:tcW w:type="dxa" w:w="3120"/>
          </w:tcPr>
          <w:p>
            <w:r/>
            <w:r>
              <w:t>OntoPiA</w:t>
            </w:r>
          </w:p>
        </w:tc>
        <w:tc>
          <w:tcPr>
            <w:tcW w:type="dxa" w:w="3120"/>
          </w:tcPr>
          <w:p>
            <w:r/>
            <w:r>
              <w:t>Rete di ontologie e vocabolari controllati della PA</w:t>
            </w:r>
          </w:p>
        </w:tc>
        <w:tc>
          <w:tcPr>
            <w:tcW w:type="dxa" w:w="3120"/>
          </w:tcPr>
          <w:p>
            <w:r/>
            <w:r>
              <w:t>Iniziativa AGID per l’interoperabilità semantica.</w:t>
            </w:r>
          </w:p>
        </w:tc>
      </w:tr>
      <w:tr>
        <w:tc>
          <w:tcPr>
            <w:tcW w:type="dxa" w:w="3120"/>
          </w:tcPr>
          <w:p>
            <w:r/>
            <w:r>
              <w:t>ETag</w:t>
            </w:r>
          </w:p>
        </w:tc>
        <w:tc>
          <w:tcPr>
            <w:tcW w:type="dxa" w:w="3120"/>
          </w:tcPr>
          <w:p>
            <w:r/>
            <w:r>
              <w:t>Entity Tag</w:t>
            </w:r>
          </w:p>
        </w:tc>
        <w:tc>
          <w:tcPr>
            <w:tcW w:type="dxa" w:w="3120"/>
          </w:tcPr>
          <w:p>
            <w:r/>
            <w:r>
              <w:t>Intestazione HTTP che identifica la versione di una risorsa, abilitando la validazione della cache.</w:t>
            </w:r>
          </w:p>
        </w:tc>
      </w:tr>
      <w:tr>
        <w:tc>
          <w:tcPr>
            <w:tcW w:type="dxa" w:w="3120"/>
          </w:tcPr>
          <w:p>
            <w:r/>
            <w:r>
              <w:t>COTS</w:t>
            </w:r>
          </w:p>
        </w:tc>
        <w:tc>
          <w:tcPr>
            <w:tcW w:type="dxa" w:w="3120"/>
          </w:tcPr>
          <w:p>
            <w:r/>
            <w:r>
              <w:t>Commercial Off-The-Shelf</w:t>
            </w:r>
          </w:p>
        </w:tc>
        <w:tc>
          <w:tcPr>
            <w:tcW w:type="dxa" w:w="3120"/>
          </w:tcPr>
          <w:p>
            <w:r/>
            <w:r>
              <w:t>Software di mercato non modificabile dall’ente.</w:t>
            </w:r>
          </w:p>
        </w:tc>
      </w:tr>
    </w:tbl>
    <w:p>
      <w:pPr>
        <w:pStyle w:val="Heading2"/>
      </w:pPr>
      <w:r>
        <w:t>Riferimenti</w:t>
      </w:r>
    </w:p>
    <w:p>
      <w:pPr>
        <w:jc w:val="both"/>
      </w:pPr>
      <w:r>
        <w:t>Nella tabella che segue sono elencate le sorgenti documentali e applicative da cui derivano i contenuti tecnici. Tutte le misure riportate ai § 3 e § 4 sono state rilevate direttamente su tali sorgenti alla data del 16/07/2026.</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ID</w:t>
            </w:r>
          </w:p>
        </w:tc>
        <w:tc>
          <w:tcPr>
            <w:tcW w:type="dxa" w:w="1872"/>
          </w:tcPr>
          <w:p>
            <w:r/>
            <w:r>
              <w:rPr>
                <w:b/>
              </w:rPr>
              <w:t>Data Ri.o</w:t>
            </w:r>
          </w:p>
        </w:tc>
        <w:tc>
          <w:tcPr>
            <w:tcW w:type="dxa" w:w="1872"/>
          </w:tcPr>
          <w:p>
            <w:r/>
            <w:r>
              <w:rPr>
                <w:b/>
              </w:rPr>
              <w:t>Versione</w:t>
            </w:r>
          </w:p>
        </w:tc>
        <w:tc>
          <w:tcPr>
            <w:tcW w:type="dxa" w:w="1872"/>
          </w:tcPr>
          <w:p>
            <w:r/>
            <w:r>
              <w:rPr>
                <w:b/>
              </w:rPr>
              <w:t>Documento</w:t>
            </w:r>
          </w:p>
        </w:tc>
        <w:tc>
          <w:tcPr>
            <w:tcW w:type="dxa" w:w="1872"/>
          </w:tcPr>
          <w:p>
            <w:r/>
            <w:r>
              <w:rPr>
                <w:b/>
              </w:rPr>
              <w:t>Descrizione</w:t>
            </w:r>
          </w:p>
        </w:tc>
      </w:tr>
      <w:tr>
        <w:tc>
          <w:tcPr>
            <w:tcW w:type="dxa" w:w="1872"/>
          </w:tcPr>
          <w:p>
            <w:r/>
            <w:r>
              <w:t>[R1]</w:t>
            </w:r>
          </w:p>
        </w:tc>
        <w:tc>
          <w:tcPr>
            <w:tcW w:type="dxa" w:w="1872"/>
          </w:tcPr>
          <w:p>
            <w:r/>
            <w:r>
              <w:t>30/06/2026</w:t>
            </w:r>
          </w:p>
        </w:tc>
        <w:tc>
          <w:tcPr>
            <w:tcW w:type="dxa" w:w="1872"/>
          </w:tcPr>
          <w:p>
            <w:r/>
            <w:r>
              <w:t>v1.53.0</w:t>
            </w:r>
          </w:p>
        </w:tc>
        <w:tc>
          <w:tcPr>
            <w:tcW w:type="dxa" w:w="1872"/>
          </w:tcPr>
          <w:p>
            <w:r/>
            <w:r>
              <w:t>Repository italia/ansc – docs/Decodifiche</w:t>
            </w:r>
          </w:p>
        </w:tc>
        <w:tc>
          <w:tcPr>
            <w:tcW w:type="dxa" w:w="1872"/>
          </w:tcPr>
          <w:p>
            <w:r/>
            <w:r>
              <w:t>145 tabelle di decodifica in formato CSV e XLSX. Sorgente delle misure di volumetria e struttura.</w:t>
            </w:r>
          </w:p>
        </w:tc>
      </w:tr>
      <w:tr>
        <w:tc>
          <w:tcPr>
            <w:tcW w:type="dxa" w:w="1872"/>
          </w:tcPr>
          <w:p>
            <w:r/>
            <w:r>
              <w:t>[R2]</w:t>
            </w:r>
          </w:p>
        </w:tc>
        <w:tc>
          <w:tcPr>
            <w:tcW w:type="dxa" w:w="1872"/>
          </w:tcPr>
          <w:p>
            <w:r/>
            <w:r>
              <w:t>16/07/2026</w:t>
            </w:r>
          </w:p>
        </w:tc>
        <w:tc>
          <w:tcPr>
            <w:tcW w:type="dxa" w:w="1872"/>
          </w:tcPr>
          <w:p>
            <w:r/>
            <w:r>
              <w:t>v1.53.0</w:t>
            </w:r>
          </w:p>
        </w:tc>
        <w:tc>
          <w:tcPr>
            <w:tcW w:type="dxa" w:w="1872"/>
          </w:tcPr>
          <w:p>
            <w:r/>
            <w:r>
              <w:t>Repository italia/ansc – storia Git</w:t>
            </w:r>
          </w:p>
        </w:tc>
        <w:tc>
          <w:tcPr>
            <w:tcW w:type="dxa" w:w="1872"/>
          </w:tcPr>
          <w:p>
            <w:r/>
            <w:r>
              <w:t>Storia dei commit dal 14/02/2023 al 01/07/2026. Sorgente della cadenza di aggiornamento.</w:t>
            </w:r>
          </w:p>
        </w:tc>
      </w:tr>
      <w:tr>
        <w:tc>
          <w:tcPr>
            <w:tcW w:type="dxa" w:w="1872"/>
          </w:tcPr>
          <w:p>
            <w:r/>
            <w:r>
              <w:t>[R3]</w:t>
            </w:r>
          </w:p>
        </w:tc>
        <w:tc>
          <w:tcPr>
            <w:tcW w:type="dxa" w:w="1872"/>
          </w:tcPr>
          <w:p>
            <w:r/>
            <w:r>
              <w:t>–</w:t>
            </w:r>
          </w:p>
        </w:tc>
        <w:tc>
          <w:tcPr>
            <w:tcW w:type="dxa" w:w="1872"/>
          </w:tcPr>
          <w:p>
            <w:r/>
            <w:r>
              <w:t>v1.5.0</w:t>
            </w:r>
          </w:p>
        </w:tc>
        <w:tc>
          <w:tcPr>
            <w:tcW w:type="dxa" w:w="1872"/>
          </w:tcPr>
          <w:p>
            <w:r/>
            <w:r>
              <w:t>docs/openapi/R901_config_decodifica.yaml</w:t>
            </w:r>
          </w:p>
        </w:tc>
        <w:tc>
          <w:tcPr>
            <w:tcW w:type="dxa" w:w="1872"/>
          </w:tcPr>
          <w:p>
            <w:r/>
            <w:r>
              <w:t>Specifica OpenAPI del servizio ANSC di reperimento delle tabelle di decodifica.</w:t>
            </w:r>
          </w:p>
        </w:tc>
      </w:tr>
      <w:tr>
        <w:tc>
          <w:tcPr>
            <w:tcW w:type="dxa" w:w="1872"/>
          </w:tcPr>
          <w:p>
            <w:r/>
            <w:r>
              <w:t>[R4]</w:t>
            </w:r>
          </w:p>
        </w:tc>
        <w:tc>
          <w:tcPr>
            <w:tcW w:type="dxa" w:w="1872"/>
          </w:tcPr>
          <w:p>
            <w:r/>
            <w:r>
              <w:t>–</w:t>
            </w:r>
          </w:p>
        </w:tc>
        <w:tc>
          <w:tcPr>
            <w:tcW w:type="dxa" w:w="1872"/>
          </w:tcPr>
          <w:p>
            <w:r/>
            <w:r>
              <w:t>–</w:t>
            </w:r>
          </w:p>
        </w:tc>
        <w:tc>
          <w:tcPr>
            <w:tcW w:type="dxa" w:w="1872"/>
          </w:tcPr>
          <w:p>
            <w:r/>
            <w:r>
              <w:t>docs/openapi/base_servizi.yaml</w:t>
            </w:r>
          </w:p>
        </w:tc>
        <w:tc>
          <w:tcPr>
            <w:tcW w:type="dxa" w:w="1872"/>
          </w:tcPr>
          <w:p>
            <w:r/>
            <w:r>
              <w:t>Schemi comuni AnscRequest / AnscResponse richiamati da R901.</w:t>
            </w:r>
          </w:p>
        </w:tc>
      </w:tr>
      <w:tr>
        <w:tc>
          <w:tcPr>
            <w:tcW w:type="dxa" w:w="1872"/>
          </w:tcPr>
          <w:p>
            <w:r/>
            <w:r>
              <w:t>[R5]</w:t>
            </w:r>
          </w:p>
        </w:tc>
        <w:tc>
          <w:tcPr>
            <w:tcW w:type="dxa" w:w="1872"/>
          </w:tcPr>
          <w:p>
            <w:r/>
            <w:r>
              <w:t>–</w:t>
            </w:r>
          </w:p>
        </w:tc>
        <w:tc>
          <w:tcPr>
            <w:tcW w:type="dxa" w:w="1872"/>
          </w:tcPr>
          <w:p>
            <w:r/>
            <w:r>
              <w:t>–</w:t>
            </w:r>
          </w:p>
        </w:tc>
        <w:tc>
          <w:tcPr>
            <w:tcW w:type="dxa" w:w="1872"/>
          </w:tcPr>
          <w:p>
            <w:r/>
            <w:r>
              <w:t>Sorgenti SIPO – back-end/ (53 moduli)</w:t>
            </w:r>
          </w:p>
        </w:tc>
        <w:tc>
          <w:tcPr>
            <w:tcW w:type="dxa" w:w="1872"/>
          </w:tcPr>
          <w:p>
            <w:r/>
            <w:r>
              <w:t>Microservizi Spring Boot dei domini stato civile, anagrafe ed elettorale. NUOVO in v0.2.</w:t>
            </w:r>
          </w:p>
        </w:tc>
      </w:tr>
      <w:tr>
        <w:tc>
          <w:tcPr>
            <w:tcW w:type="dxa" w:w="1872"/>
          </w:tcPr>
          <w:p>
            <w:r/>
            <w:r>
              <w:t>[R6]</w:t>
            </w:r>
          </w:p>
        </w:tc>
        <w:tc>
          <w:tcPr>
            <w:tcW w:type="dxa" w:w="1872"/>
          </w:tcPr>
          <w:p>
            <w:r/>
            <w:r>
              <w:t>–</w:t>
            </w:r>
          </w:p>
        </w:tc>
        <w:tc>
          <w:tcPr>
            <w:tcW w:type="dxa" w:w="1872"/>
          </w:tcPr>
          <w:p>
            <w:r/>
            <w:r>
              <w:t>–</w:t>
            </w:r>
          </w:p>
        </w:tc>
        <w:tc>
          <w:tcPr>
            <w:tcW w:type="dxa" w:w="1872"/>
          </w:tcPr>
          <w:p>
            <w:r/>
            <w:r>
              <w:t>Sorgenti SIPO – common/ (26 moduli)</w:t>
            </w:r>
          </w:p>
        </w:tc>
        <w:tc>
          <w:tcPr>
            <w:tcW w:type="dxa" w:w="1872"/>
          </w:tcPr>
          <w:p>
            <w:r/>
            <w:r>
              <w:t>Librerie condivise: entità JPA, anpr-client, profilazione utente. NUOVO in v0.2.</w:t>
            </w:r>
          </w:p>
        </w:tc>
      </w:tr>
      <w:tr>
        <w:tc>
          <w:tcPr>
            <w:tcW w:type="dxa" w:w="1872"/>
          </w:tcPr>
          <w:p>
            <w:r/>
            <w:r>
              <w:t>[R7]</w:t>
            </w:r>
          </w:p>
        </w:tc>
        <w:tc>
          <w:tcPr>
            <w:tcW w:type="dxa" w:w="1872"/>
          </w:tcPr>
          <w:p>
            <w:r/>
            <w:r>
              <w:t>–</w:t>
            </w:r>
          </w:p>
        </w:tc>
        <w:tc>
          <w:tcPr>
            <w:tcW w:type="dxa" w:w="1872"/>
          </w:tcPr>
          <w:p>
            <w:r/>
            <w:r>
              <w:t>–</w:t>
            </w:r>
          </w:p>
        </w:tc>
        <w:tc>
          <w:tcPr>
            <w:tcW w:type="dxa" w:w="1872"/>
          </w:tcPr>
          <w:p>
            <w:r/>
            <w:r>
              <w:t>Sorgenti SIPO – front-end/ (35 moduli)</w:t>
            </w:r>
          </w:p>
        </w:tc>
        <w:tc>
          <w:tcPr>
            <w:tcW w:type="dxa" w:w="1872"/>
          </w:tcPr>
          <w:p>
            <w:r/>
            <w:r>
              <w:t>Strato di presentazione Spring Boot + Thymeleaf. NUOVO in v0.2.</w:t>
            </w:r>
          </w:p>
        </w:tc>
      </w:tr>
      <w:tr>
        <w:tc>
          <w:tcPr>
            <w:tcW w:type="dxa" w:w="1872"/>
          </w:tcPr>
          <w:p>
            <w:r/>
            <w:r>
              <w:t>[R8]</w:t>
            </w:r>
          </w:p>
        </w:tc>
        <w:tc>
          <w:tcPr>
            <w:tcW w:type="dxa" w:w="1872"/>
          </w:tcPr>
          <w:p>
            <w:r/>
            <w:r>
              <w:t>–</w:t>
            </w:r>
          </w:p>
        </w:tc>
        <w:tc>
          <w:tcPr>
            <w:tcW w:type="dxa" w:w="1872"/>
          </w:tcPr>
          <w:p>
            <w:r/>
            <w:r>
              <w:t>–</w:t>
            </w:r>
          </w:p>
        </w:tc>
        <w:tc>
          <w:tcPr>
            <w:tcW w:type="dxa" w:w="1872"/>
          </w:tcPr>
          <w:p>
            <w:r/>
            <w:r>
              <w:t>Sorgenti SIPO – cross/ (11 moduli)</w:t>
            </w:r>
          </w:p>
        </w:tc>
        <w:tc>
          <w:tcPr>
            <w:tcW w:type="dxa" w:w="1872"/>
          </w:tcPr>
          <w:p>
            <w:r/>
            <w:r>
              <w:t>Strumenti trasversali, incluso il sottosistema .NET cert-online-dotnet. NUOVO in v0.2.</w:t>
            </w:r>
          </w:p>
        </w:tc>
      </w:tr>
      <w:tr>
        <w:tc>
          <w:tcPr>
            <w:tcW w:type="dxa" w:w="1872"/>
          </w:tcPr>
          <w:p>
            <w:r/>
            <w:r>
              <w:t>[R9]</w:t>
            </w:r>
          </w:p>
        </w:tc>
        <w:tc>
          <w:tcPr>
            <w:tcW w:type="dxa" w:w="1872"/>
          </w:tcPr>
          <w:p>
            <w:r/>
            <w:r>
              <w:t>23/07/2019</w:t>
            </w:r>
          </w:p>
        </w:tc>
        <w:tc>
          <w:tcPr>
            <w:tcW w:type="dxa" w:w="1872"/>
          </w:tcPr>
          <w:p>
            <w:r/>
            <w:r>
              <w:t>–</w:t>
            </w:r>
          </w:p>
        </w:tc>
        <w:tc>
          <w:tcPr>
            <w:tcW w:type="dxa" w:w="1872"/>
          </w:tcPr>
          <w:p>
            <w:r/>
            <w:r>
              <w:t>Sorgenti SIPO – sipo-root/sql/</w:t>
            </w:r>
          </w:p>
        </w:tc>
        <w:tc>
          <w:tcPr>
            <w:tcW w:type="dxa" w:w="1872"/>
          </w:tcPr>
          <w:p>
            <w:r/>
            <w:r>
              <w:t>Export DDL Oracle dello schema ANAG_USR (153 tabelle) e ANAG_STORICO (47). NUOVO in v0.2.</w:t>
            </w:r>
          </w:p>
        </w:tc>
      </w:tr>
      <w:tr>
        <w:tc>
          <w:tcPr>
            <w:tcW w:type="dxa" w:w="1872"/>
          </w:tcPr>
          <w:p>
            <w:r/>
            <w:r>
              <w:t>[R10]</w:t>
            </w:r>
          </w:p>
        </w:tc>
        <w:tc>
          <w:tcPr>
            <w:tcW w:type="dxa" w:w="1872"/>
          </w:tcPr>
          <w:p>
            <w:r/>
            <w:r>
              <w:t>–</w:t>
            </w:r>
          </w:p>
        </w:tc>
        <w:tc>
          <w:tcPr>
            <w:tcW w:type="dxa" w:w="1872"/>
          </w:tcPr>
          <w:p>
            <w:r/>
            <w:r>
              <w:t>v1.00</w:t>
            </w:r>
          </w:p>
        </w:tc>
        <w:tc>
          <w:tcPr>
            <w:tcW w:type="dxa" w:w="1872"/>
          </w:tcPr>
          <w:p>
            <w:r/>
            <w:r>
              <w:t>B9DA959E80-05-008-05-002 – Disegno Base Dati</w:t>
            </w:r>
          </w:p>
        </w:tc>
        <w:tc>
          <w:tcPr>
            <w:tcW w:type="dxa" w:w="1872"/>
          </w:tcPr>
          <w:p>
            <w:r/>
            <w:r>
              <w:t>Data dictionary del modello dati di stato civile: 24 schemi, ~322 tabelle.</w:t>
            </w:r>
          </w:p>
        </w:tc>
      </w:tr>
      <w:tr>
        <w:tc>
          <w:tcPr>
            <w:tcW w:type="dxa" w:w="1872"/>
          </w:tcPr>
          <w:p>
            <w:r/>
            <w:r>
              <w:t>[R11]</w:t>
            </w:r>
          </w:p>
        </w:tc>
        <w:tc>
          <w:tcPr>
            <w:tcW w:type="dxa" w:w="1872"/>
          </w:tcPr>
          <w:p>
            <w:r/>
            <w:r>
              <w:t>–</w:t>
            </w:r>
          </w:p>
        </w:tc>
        <w:tc>
          <w:tcPr>
            <w:tcW w:type="dxa" w:w="1872"/>
          </w:tcPr>
          <w:p>
            <w:r/>
            <w:r>
              <w:t>–</w:t>
            </w:r>
          </w:p>
        </w:tc>
        <w:tc>
          <w:tcPr>
            <w:tcW w:type="dxa" w:w="1872"/>
          </w:tcPr>
          <w:p>
            <w:r/>
            <w:r>
              <w:t>AGID – OntoPiA, vocabolari controllati</w:t>
            </w:r>
          </w:p>
        </w:tc>
        <w:tc>
          <w:tcPr>
            <w:tcW w:type="dxa" w:w="1872"/>
          </w:tcPr>
          <w:p>
            <w:r/>
            <w:r>
              <w:t>Standard nazionale per la pubblicazione di vocabolari controllati della PA (§ 7.6).</w:t>
            </w:r>
          </w:p>
        </w:tc>
      </w:tr>
      <w:tr>
        <w:tc>
          <w:tcPr>
            <w:tcW w:type="dxa" w:w="1872"/>
          </w:tcPr>
          <w:p>
            <w:r/>
            <w:r>
              <w:t>[R12]</w:t>
            </w:r>
          </w:p>
        </w:tc>
        <w:tc>
          <w:tcPr>
            <w:tcW w:type="dxa" w:w="1872"/>
          </w:tcPr>
          <w:p>
            <w:r/>
            <w:r>
              <w:t>–</w:t>
            </w:r>
          </w:p>
        </w:tc>
        <w:tc>
          <w:tcPr>
            <w:tcW w:type="dxa" w:w="1872"/>
          </w:tcPr>
          <w:p>
            <w:r/>
            <w:r>
              <w:t>–</w:t>
            </w:r>
          </w:p>
        </w:tc>
        <w:tc>
          <w:tcPr>
            <w:tcW w:type="dxa" w:w="1872"/>
          </w:tcPr>
          <w:p>
            <w:r/>
            <w:r>
              <w:t>W3C – SKOS Reference</w:t>
            </w:r>
          </w:p>
        </w:tc>
        <w:tc>
          <w:tcPr>
            <w:tcW w:type="dxa" w:w="1872"/>
          </w:tcPr>
          <w:p>
            <w:r/>
            <w:r>
              <w:t>Standard per la rappresentazione di vocabolari controllati.</w:t>
            </w:r>
          </w:p>
        </w:tc>
      </w:tr>
      <w:tr>
        <w:tc>
          <w:tcPr>
            <w:tcW w:type="dxa" w:w="1872"/>
          </w:tcPr>
          <w:p>
            <w:r/>
            <w:r>
              <w:t>[R13]</w:t>
            </w:r>
          </w:p>
        </w:tc>
        <w:tc>
          <w:tcPr>
            <w:tcW w:type="dxa" w:w="1872"/>
          </w:tcPr>
          <w:p>
            <w:r/>
            <w:r>
              <w:t>–</w:t>
            </w:r>
          </w:p>
        </w:tc>
        <w:tc>
          <w:tcPr>
            <w:tcW w:type="dxa" w:w="1872"/>
          </w:tcPr>
          <w:p>
            <w:r/>
            <w:r>
              <w:t>–</w:t>
            </w:r>
          </w:p>
        </w:tc>
        <w:tc>
          <w:tcPr>
            <w:tcW w:type="dxa" w:w="1872"/>
          </w:tcPr>
          <w:p>
            <w:r/>
            <w:r>
              <w:t>docs/Guida_operativa_ANSC.pdf</w:t>
            </w:r>
          </w:p>
        </w:tc>
        <w:tc>
          <w:tcPr>
            <w:tcW w:type="dxa" w:w="1872"/>
          </w:tcPr>
          <w:p>
            <w:r/>
            <w:r>
              <w:t>Guida operativa ANSC. [DA VERIFICARE: non analizzata nel presente studio]</w:t>
            </w:r>
          </w:p>
        </w:tc>
      </w:tr>
    </w:tbl>
    <w:p>
      <w:r>
        <w:br w:type="page"/>
      </w:r>
    </w:p>
    <w:p>
      <w:pPr>
        <w:pStyle w:val="Heading1"/>
      </w:pPr>
      <w:r>
        <w:t>Contesto di riferimento</w:t>
      </w:r>
    </w:p>
    <w:p>
      <w:pPr>
        <w:jc w:val="both"/>
      </w:pPr>
      <w:r>
        <w:t>Le tabelle di decodifica ANSC costituiscono i vocabolari controllati del dominio dello stato civile: associano codici numerici a descrizioni normalizzate (ad esempio lo stato civile di una persona, il grado di parentela di un dichiarante, la tipologia di un atto). Ogni sistema che produca, consumi o presenti dati di stato civile deve poter risolvere tali codici in modo coerente con ANSC.</w:t>
      </w:r>
    </w:p>
    <w:p>
      <w:pPr>
        <w:jc w:val="both"/>
      </w:pPr>
      <w:r>
        <w:t>Il quesito posto è come rendere queste strutture dati disponibili applicativamente ai diversi sistemi di Roma Capitale. L’ipotesi iniziale prevedeva l’adozione di Redis quale repository condiviso in memoria. Lo studio verifica tale ipotesi rispetto alle caratteristiche misurate del dato e del sistema consumatore, e la confronta con opzioni alternative.</w:t>
      </w:r>
    </w:p>
    <w:p>
      <w:pPr>
        <w:jc w:val="both"/>
      </w:pPr>
      <w:r>
        <w:t>La tesi dello studio, argomentata al § 6, è che il problema non abbia natura di scala o di latenza — dimensioni per le quali una cache distribuita sarebbe la risposta appropriata — bensì di correttezza temporale e di allineamento fra sistemi. Le misure dei § 3 e § 4 sostengono questa lettura.</w:t>
      </w:r>
    </w:p>
    <w:p>
      <w:pPr>
        <w:jc w:val="both"/>
      </w:pPr>
      <w:r>
        <w:t>Rispetto alla versione 0.1, il contesto risulta ora definito su entrambi i lati: il § 3 descrive la sorgente (ANSC), il § 4 il sistema consumatore (SIPO). Il divario fra i due è l’oggetto proprio dello studio.</w:t>
      </w:r>
    </w:p>
    <w:p>
      <w:pPr>
        <w:jc w:val="both"/>
      </w:pPr>
      <w:r>
        <w:t>[DA VERIFICARE: inquadramento del presente studio nel programma di adesione di Roma Capitale ad ANSC, con indicazione di fasi, milestone e vincoli progettuali già assunti.]</w:t>
      </w:r>
    </w:p>
    <w:p>
      <w:r>
        <w:br w:type="page"/>
      </w:r>
    </w:p>
    <w:p>
      <w:pPr>
        <w:pStyle w:val="Heading1"/>
      </w:pPr>
      <w:r>
        <w:t>Analisi della sorgente: le decodifiche ANSC</w:t>
      </w:r>
    </w:p>
    <w:p>
      <w:pPr>
        <w:jc w:val="both"/>
      </w:pPr>
      <w:r>
        <w:t>Il presente capitolo riporta le evidenze quantitative rilevate sulle sorgenti [R1], [R2] e [R3]. Le conclusioni architetturali discendono da tali misure e non da assunzioni preliminari.</w:t>
      </w:r>
    </w:p>
    <w:p>
      <w:pPr>
        <w:pStyle w:val="Heading2"/>
      </w:pPr>
      <w:r>
        <w:t>Perimetro e volumetria</w:t>
      </w:r>
    </w:p>
    <w:p>
      <w:pPr>
        <w:jc w:val="both"/>
      </w:pPr>
      <w:r>
        <w:t>La cartella docs/Decodifiche del repository [R1] contiene 291 file, corrispondenti a 145 tabelle distinte: ogni decodifica è pubblicata in duplice formato, CSV e XLSX. Il confronto su un campione di coppie ha verificato l’identità dei dati fra i due formati. Il formato CSV è assunto come canonico, coerentemente con il servizio R901 [R3] che restituisce le tabelle in CSV.</w:t>
      </w:r>
    </w:p>
    <w:tbl>
      <w:tblPr>
        <w:tblStyle w:val="GridTable1Light"/>
        <w:tblW w:type="auto" w:w="0"/>
        <w:tblLook w:firstColumn="1" w:firstRow="1" w:lastColumn="0" w:lastRow="0" w:noHBand="0" w:noVBand="1" w:val="04A0"/>
      </w:tblPr>
      <w:tblGrid>
        <w:gridCol w:w="4680"/>
        <w:gridCol w:w="4680"/>
      </w:tblGrid>
      <w:tr>
        <w:tc>
          <w:tcPr>
            <w:tcW w:type="dxa" w:w="4680"/>
          </w:tcPr>
          <w:p>
            <w:r/>
            <w:r>
              <w:rPr>
                <w:b/>
              </w:rPr>
              <w:t>Grandezza</w:t>
            </w:r>
          </w:p>
        </w:tc>
        <w:tc>
          <w:tcPr>
            <w:tcW w:type="dxa" w:w="4680"/>
          </w:tcPr>
          <w:p>
            <w:r/>
            <w:r>
              <w:rPr>
                <w:b/>
              </w:rPr>
              <w:t>Valore misurato</w:t>
            </w:r>
          </w:p>
        </w:tc>
      </w:tr>
      <w:tr>
        <w:tc>
          <w:tcPr>
            <w:tcW w:type="dxa" w:w="4680"/>
          </w:tcPr>
          <w:p>
            <w:r/>
            <w:r>
              <w:t>File CSV distinti</w:t>
            </w:r>
          </w:p>
        </w:tc>
        <w:tc>
          <w:tcPr>
            <w:tcW w:type="dxa" w:w="4680"/>
          </w:tcPr>
          <w:p>
            <w:r/>
            <w:r>
              <w:t>145</w:t>
            </w:r>
          </w:p>
        </w:tc>
      </w:tr>
      <w:tr>
        <w:tc>
          <w:tcPr>
            <w:tcW w:type="dxa" w:w="4680"/>
          </w:tcPr>
          <w:p>
            <w:r/>
            <w:r>
              <w:t>Decodifiche logiche distinte</w:t>
            </w:r>
          </w:p>
        </w:tc>
        <w:tc>
          <w:tcPr>
            <w:tcW w:type="dxa" w:w="4680"/>
          </w:tcPr>
          <w:p>
            <w:r/>
            <w:r>
              <w:t>144 (una è pubblicata due volte: cfr. § 3.5.1)</w:t>
            </w:r>
          </w:p>
        </w:tc>
      </w:tr>
      <w:tr>
        <w:tc>
          <w:tcPr>
            <w:tcW w:type="dxa" w:w="4680"/>
          </w:tcPr>
          <w:p>
            <w:r/>
            <w:r>
              <w:t>File presenti (CSV + XLSX)</w:t>
            </w:r>
          </w:p>
        </w:tc>
        <w:tc>
          <w:tcPr>
            <w:tcW w:type="dxa" w:w="4680"/>
          </w:tcPr>
          <w:p>
            <w:r/>
            <w:r>
              <w:t>291</w:t>
            </w:r>
          </w:p>
        </w:tc>
      </w:tr>
      <w:tr>
        <w:tc>
          <w:tcPr>
            <w:tcW w:type="dxa" w:w="4680"/>
          </w:tcPr>
          <w:p>
            <w:r/>
            <w:r>
              <w:t>Righe dati totali (escluse le intestazioni)</w:t>
            </w:r>
          </w:p>
        </w:tc>
        <w:tc>
          <w:tcPr>
            <w:tcW w:type="dxa" w:w="4680"/>
          </w:tcPr>
          <w:p>
            <w:r/>
            <w:r>
              <w:t>1.376</w:t>
            </w:r>
          </w:p>
        </w:tc>
      </w:tr>
      <w:tr>
        <w:tc>
          <w:tcPr>
            <w:tcW w:type="dxa" w:w="4680"/>
          </w:tcPr>
          <w:p>
            <w:r/>
            <w:r>
              <w:t>Righe per tabella – media</w:t>
            </w:r>
          </w:p>
        </w:tc>
        <w:tc>
          <w:tcPr>
            <w:tcW w:type="dxa" w:w="4680"/>
          </w:tcPr>
          <w:p>
            <w:r/>
            <w:r>
              <w:t>9,5</w:t>
            </w:r>
          </w:p>
        </w:tc>
      </w:tr>
      <w:tr>
        <w:tc>
          <w:tcPr>
            <w:tcW w:type="dxa" w:w="4680"/>
          </w:tcPr>
          <w:p>
            <w:r/>
            <w:r>
              <w:t>Righe per tabella – mediana</w:t>
            </w:r>
          </w:p>
        </w:tc>
        <w:tc>
          <w:tcPr>
            <w:tcW w:type="dxa" w:w="4680"/>
          </w:tcPr>
          <w:p>
            <w:r/>
            <w:r>
              <w:t>3</w:t>
            </w:r>
          </w:p>
        </w:tc>
      </w:tr>
      <w:tr>
        <w:tc>
          <w:tcPr>
            <w:tcW w:type="dxa" w:w="4680"/>
          </w:tcPr>
          <w:p>
            <w:r/>
            <w:r>
              <w:t>Dimensione complessiva dei soli CSV</w:t>
            </w:r>
          </w:p>
        </w:tc>
        <w:tc>
          <w:tcPr>
            <w:tcW w:type="dxa" w:w="4680"/>
          </w:tcPr>
          <w:p>
            <w:r/>
            <w:r>
              <w:t>150 KB</w:t>
            </w:r>
          </w:p>
        </w:tc>
      </w:tr>
      <w:tr>
        <w:tc>
          <w:tcPr>
            <w:tcW w:type="dxa" w:w="4680"/>
          </w:tcPr>
          <w:p>
            <w:r/>
            <w:r>
              <w:t>Dimensione complessiva dei soli XLSX</w:t>
            </w:r>
          </w:p>
        </w:tc>
        <w:tc>
          <w:tcPr>
            <w:tcW w:type="dxa" w:w="4680"/>
          </w:tcPr>
          <w:p>
            <w:r/>
            <w:r>
              <w:t>562 KB</w:t>
            </w:r>
          </w:p>
        </w:tc>
      </w:tr>
    </w:tbl>
    <w:p>
      <w:pPr>
        <w:pStyle w:val="Caption"/>
      </w:pPr>
      <w:r>
        <w:t>Tabella 1 – Volumetria complessiva delle decodifiche ANSC (fonte: [R1], rilevazione 16/07/2026)</w:t>
      </w:r>
    </w:p>
    <w:p>
      <w:pPr>
        <w:jc w:val="both"/>
      </w:pPr>
      <w:r>
        <w:t>Il dato dirimente è la dimensione assoluta: l’intero corpus ammonta a 1.376 righe e occupa 150 KB in CSV; una rappresentazione JSON equivalente si colloca nell’ordine dei 200 KB. È un volume che risiede integralmente nella memoria di processo di qualunque applicazione consumatrice, con margine di alcuni ordini di grandezza.</w:t>
      </w:r>
    </w:p>
    <w:p>
      <w:pPr>
        <w:jc w:val="both"/>
      </w:pPr>
      <w:r>
        <w:t>La distribuzione è fortemente asimmetrica: la mediana di 3 righe indica che metà delle decodifiche contiene non più di tre voci. Le prime tre tabelle (3_dec_use_case con 377 righe, 97_dec_consolato con 243, 9_dec_tipo_allegato con 128) raccolgono 748 righe, pari a circa il 54% del totale.</w:t>
      </w:r>
    </w:p>
    <w:p>
      <w:pPr>
        <w:pStyle w:val="Heading2"/>
      </w:pPr>
      <w:r>
        <w:t>Struttura dati e validità temporale</w:t>
      </w:r>
    </w:p>
    <w:p>
      <w:pPr>
        <w:jc w:val="both"/>
      </w:pPr>
      <w:r>
        <w:t>Sono state rilevate quattro varianti di intestazione: 140 tabelle adottano lo schema ID, DESCRIZIONE, DATAINIZIOVALIDITA, DATAFINEVALIDITA, ORDINAMENTO; 3 tabelle recano il solo schema ID, DESCRIZIONE; una aggiunge IDTIPOCONTENUTO e una CODICECONSOLATO.</w:t>
      </w:r>
    </w:p>
    <w:p>
      <w:pPr>
        <w:jc w:val="both"/>
      </w:pPr>
      <w:r>
        <w:t>L’elemento architetturalmente rilevante è la presenza, in 142 tabelle su 145, delle colonne di validità. Le decodifiche non sono semplici associazioni chiave-valore, ma vocabolari storicizzati: ogni voce è valida entro un intervallo temporale definito.</w:t>
      </w:r>
    </w:p>
    <w:tbl>
      <w:tblPr>
        <w:tblStyle w:val="GridTable1Light"/>
        <w:tblW w:type="auto" w:w="0"/>
        <w:tblLook w:firstColumn="1" w:firstRow="1" w:lastColumn="0" w:lastRow="0" w:noHBand="0" w:noVBand="1" w:val="04A0"/>
      </w:tblPr>
      <w:tblGrid>
        <w:gridCol w:w="4680"/>
        <w:gridCol w:w="4680"/>
      </w:tblGrid>
      <w:tr>
        <w:tc>
          <w:tcPr>
            <w:tcW w:type="dxa" w:w="4680"/>
          </w:tcPr>
          <w:p>
            <w:r/>
            <w:r>
              <w:rPr>
                <w:b/>
              </w:rPr>
              <w:t>Stato della voce</w:t>
            </w:r>
          </w:p>
        </w:tc>
        <w:tc>
          <w:tcPr>
            <w:tcW w:type="dxa" w:w="4680"/>
          </w:tcPr>
          <w:p>
            <w:r/>
            <w:r>
              <w:rPr>
                <w:b/>
              </w:rPr>
              <w:t>N. voci</w:t>
            </w:r>
          </w:p>
        </w:tc>
      </w:tr>
      <w:tr>
        <w:tc>
          <w:tcPr>
            <w:tcW w:type="dxa" w:w="4680"/>
          </w:tcPr>
          <w:p>
            <w:r/>
            <w:r>
              <w:t>Validità aperta (DATAFINEVALIDITA = 9999-12-31)</w:t>
            </w:r>
          </w:p>
        </w:tc>
        <w:tc>
          <w:tcPr>
            <w:tcW w:type="dxa" w:w="4680"/>
          </w:tcPr>
          <w:p>
            <w:r/>
            <w:r>
              <w:t>1.238</w:t>
            </w:r>
          </w:p>
        </w:tc>
      </w:tr>
      <w:tr>
        <w:tc>
          <w:tcPr>
            <w:tcW w:type="dxa" w:w="4680"/>
          </w:tcPr>
          <w:p>
            <w:r/>
            <w:r>
              <w:t>Validità chiusa (DATAFINEVALIDITA = data reale)</w:t>
            </w:r>
          </w:p>
        </w:tc>
        <w:tc>
          <w:tcPr>
            <w:tcW w:type="dxa" w:w="4680"/>
          </w:tcPr>
          <w:p>
            <w:r/>
            <w:r>
              <w:t>76</w:t>
            </w:r>
          </w:p>
        </w:tc>
      </w:tr>
      <w:tr>
        <w:tc>
          <w:tcPr>
            <w:tcW w:type="dxa" w:w="4680"/>
          </w:tcPr>
          <w:p>
            <w:r/>
            <w:r>
              <w:t>Date di validità non valorizzate</w:t>
            </w:r>
          </w:p>
        </w:tc>
        <w:tc>
          <w:tcPr>
            <w:tcW w:type="dxa" w:w="4680"/>
          </w:tcPr>
          <w:p>
            <w:r/>
            <w:r>
              <w:t>55</w:t>
            </w:r>
          </w:p>
        </w:tc>
      </w:tr>
      <w:tr>
        <w:tc>
          <w:tcPr>
            <w:tcW w:type="dxa" w:w="4680"/>
          </w:tcPr>
          <w:p>
            <w:r/>
            <w:r>
              <w:t>Voci in tabelle prive di colonne temporali</w:t>
            </w:r>
          </w:p>
        </w:tc>
        <w:tc>
          <w:tcPr>
            <w:tcW w:type="dxa" w:w="4680"/>
          </w:tcPr>
          <w:p>
            <w:r/>
            <w:r>
              <w:t>7</w:t>
            </w:r>
          </w:p>
        </w:tc>
      </w:tr>
      <w:tr>
        <w:tc>
          <w:tcPr>
            <w:tcW w:type="dxa" w:w="4680"/>
          </w:tcPr>
          <w:p>
            <w:r/>
            <w:r>
              <w:t>Totale</w:t>
            </w:r>
          </w:p>
        </w:tc>
        <w:tc>
          <w:tcPr>
            <w:tcW w:type="dxa" w:w="4680"/>
          </w:tcPr>
          <w:p>
            <w:r/>
            <w:r>
              <w:t>1.376</w:t>
            </w:r>
          </w:p>
        </w:tc>
      </w:tr>
    </w:tbl>
    <w:p>
      <w:pPr>
        <w:pStyle w:val="Caption"/>
      </w:pPr>
      <w:r>
        <w:t>Tabella 2 – Stato della validità temporale delle voci (fonte: [R1])</w:t>
      </w:r>
    </w:p>
    <w:p>
      <w:pPr>
        <w:jc w:val="both"/>
      </w:pPr>
      <w:r>
        <w:t>La storicizzazione non ha carattere meramente formale: 76 voci hanno validità effettivamente chiusa, distribuite su quattro tabelle (3_dec_use_case, 97_dec_consolato, 100_dec_versione, 96_dec_motivo_recupero). Fra queste figurano le due decodifiche più estese del corpus, ossia quelle che governano i casi d’uso degli atti e i consolati. Le date di inizio validità si distribuiscono su un arco ventennale, dal 2005 al 04/06/2026.</w:t>
      </w:r>
    </w:p>
    <w:p>
      <w:pPr>
        <w:jc w:val="both"/>
      </w:pPr>
      <w:r>
        <w:t>Ne discende il requisito centrale dello studio. La domanda cui il sistema deve rispondere non è «quale descrizione corrisponde oggi al codice 3?», bensì «quale descrizione corrispondeva al codice 3 alla data dell’atto?». Un atto di stato civile formato nel 2019 deve essere decodificato secondo le voci vigenti nel 2019, non secondo quelle vigenti alla data di consultazione. In un contesto di atti pubblici, dotati di efficacia giuridica e soggetti a certificazione, ciò costituisce un requisito di correttezza.</w:t>
      </w:r>
    </w:p>
    <w:p>
      <w:pPr>
        <w:pStyle w:val="Heading2"/>
      </w:pPr>
      <w:r>
        <w:t>Cadenza di aggiornamento</w:t>
      </w:r>
    </w:p>
    <w:p>
      <w:pPr>
        <w:jc w:val="both"/>
      </w:pPr>
      <w:r>
        <w:t>L’analisi della storia Git [R2] mostra che le decodifiche sono aggiornate contestualmente alle release ANSC, con cadenza compresa fra le due e le quattro settimane, e ampiezza variabile: da un singolo file fino a 54 file modificati in un’unica release (v1.51.2 del 21/05/2026).</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Data</w:t>
            </w:r>
          </w:p>
        </w:tc>
        <w:tc>
          <w:tcPr>
            <w:tcW w:type="dxa" w:w="3120"/>
          </w:tcPr>
          <w:p>
            <w:r/>
            <w:r>
              <w:rPr>
                <w:b/>
              </w:rPr>
              <w:t>Release</w:t>
            </w:r>
          </w:p>
        </w:tc>
        <w:tc>
          <w:tcPr>
            <w:tcW w:type="dxa" w:w="3120"/>
          </w:tcPr>
          <w:p>
            <w:r/>
            <w:r>
              <w:rPr>
                <w:b/>
              </w:rPr>
              <w:t>N. file di decodifica modificati</w:t>
            </w:r>
          </w:p>
        </w:tc>
      </w:tr>
      <w:tr>
        <w:tc>
          <w:tcPr>
            <w:tcW w:type="dxa" w:w="3120"/>
          </w:tcPr>
          <w:p>
            <w:r/>
            <w:r>
              <w:t>30/06/2026</w:t>
            </w:r>
          </w:p>
        </w:tc>
        <w:tc>
          <w:tcPr>
            <w:tcW w:type="dxa" w:w="3120"/>
          </w:tcPr>
          <w:p>
            <w:r/>
            <w:r>
              <w:t>v1.53.0</w:t>
            </w:r>
          </w:p>
        </w:tc>
        <w:tc>
          <w:tcPr>
            <w:tcW w:type="dxa" w:w="3120"/>
          </w:tcPr>
          <w:p>
            <w:r/>
            <w:r>
              <w:t>2</w:t>
            </w:r>
          </w:p>
        </w:tc>
      </w:tr>
      <w:tr>
        <w:tc>
          <w:tcPr>
            <w:tcW w:type="dxa" w:w="3120"/>
          </w:tcPr>
          <w:p>
            <w:r/>
            <w:r>
              <w:t>18/06/2026</w:t>
            </w:r>
          </w:p>
        </w:tc>
        <w:tc>
          <w:tcPr>
            <w:tcW w:type="dxa" w:w="3120"/>
          </w:tcPr>
          <w:p>
            <w:r/>
            <w:r>
              <w:t>v1.52.1</w:t>
            </w:r>
          </w:p>
        </w:tc>
        <w:tc>
          <w:tcPr>
            <w:tcW w:type="dxa" w:w="3120"/>
          </w:tcPr>
          <w:p>
            <w:r/>
            <w:r>
              <w:t>2</w:t>
            </w:r>
          </w:p>
        </w:tc>
      </w:tr>
      <w:tr>
        <w:tc>
          <w:tcPr>
            <w:tcW w:type="dxa" w:w="3120"/>
          </w:tcPr>
          <w:p>
            <w:r/>
            <w:r>
              <w:t>04/06/2026</w:t>
            </w:r>
          </w:p>
        </w:tc>
        <w:tc>
          <w:tcPr>
            <w:tcW w:type="dxa" w:w="3120"/>
          </w:tcPr>
          <w:p>
            <w:r/>
            <w:r>
              <w:t>v1.52.0</w:t>
            </w:r>
          </w:p>
        </w:tc>
        <w:tc>
          <w:tcPr>
            <w:tcW w:type="dxa" w:w="3120"/>
          </w:tcPr>
          <w:p>
            <w:r/>
            <w:r>
              <w:t>10</w:t>
            </w:r>
          </w:p>
        </w:tc>
      </w:tr>
      <w:tr>
        <w:tc>
          <w:tcPr>
            <w:tcW w:type="dxa" w:w="3120"/>
          </w:tcPr>
          <w:p>
            <w:r/>
            <w:r>
              <w:t>21/05/2026</w:t>
            </w:r>
          </w:p>
        </w:tc>
        <w:tc>
          <w:tcPr>
            <w:tcW w:type="dxa" w:w="3120"/>
          </w:tcPr>
          <w:p>
            <w:r/>
            <w:r>
              <w:t>v1.51.2</w:t>
            </w:r>
          </w:p>
        </w:tc>
        <w:tc>
          <w:tcPr>
            <w:tcW w:type="dxa" w:w="3120"/>
          </w:tcPr>
          <w:p>
            <w:r/>
            <w:r>
              <w:t>54</w:t>
            </w:r>
          </w:p>
        </w:tc>
      </w:tr>
      <w:tr>
        <w:tc>
          <w:tcPr>
            <w:tcW w:type="dxa" w:w="3120"/>
          </w:tcPr>
          <w:p>
            <w:r/>
            <w:r>
              <w:t>04/05/2026</w:t>
            </w:r>
          </w:p>
        </w:tc>
        <w:tc>
          <w:tcPr>
            <w:tcW w:type="dxa" w:w="3120"/>
          </w:tcPr>
          <w:p>
            <w:r/>
            <w:r>
              <w:t>v1.51.0</w:t>
            </w:r>
          </w:p>
        </w:tc>
        <w:tc>
          <w:tcPr>
            <w:tcW w:type="dxa" w:w="3120"/>
          </w:tcPr>
          <w:p>
            <w:r/>
            <w:r>
              <w:t>8</w:t>
            </w:r>
          </w:p>
        </w:tc>
      </w:tr>
      <w:tr>
        <w:tc>
          <w:tcPr>
            <w:tcW w:type="dxa" w:w="3120"/>
          </w:tcPr>
          <w:p>
            <w:r/>
            <w:r>
              <w:t>31/03/2026</w:t>
            </w:r>
          </w:p>
        </w:tc>
        <w:tc>
          <w:tcPr>
            <w:tcW w:type="dxa" w:w="3120"/>
          </w:tcPr>
          <w:p>
            <w:r/>
            <w:r>
              <w:t>v1.50.0</w:t>
            </w:r>
          </w:p>
        </w:tc>
        <w:tc>
          <w:tcPr>
            <w:tcW w:type="dxa" w:w="3120"/>
          </w:tcPr>
          <w:p>
            <w:r/>
            <w:r>
              <w:t>14</w:t>
            </w:r>
          </w:p>
        </w:tc>
      </w:tr>
      <w:tr>
        <w:tc>
          <w:tcPr>
            <w:tcW w:type="dxa" w:w="3120"/>
          </w:tcPr>
          <w:p>
            <w:r/>
            <w:r>
              <w:t>03/03/2026</w:t>
            </w:r>
          </w:p>
        </w:tc>
        <w:tc>
          <w:tcPr>
            <w:tcW w:type="dxa" w:w="3120"/>
          </w:tcPr>
          <w:p>
            <w:r/>
            <w:r>
              <w:t>v1.49.0</w:t>
            </w:r>
          </w:p>
        </w:tc>
        <w:tc>
          <w:tcPr>
            <w:tcW w:type="dxa" w:w="3120"/>
          </w:tcPr>
          <w:p>
            <w:r/>
            <w:r>
              <w:t>9</w:t>
            </w:r>
          </w:p>
        </w:tc>
      </w:tr>
    </w:tbl>
    <w:p>
      <w:pPr>
        <w:pStyle w:val="Caption"/>
      </w:pPr>
      <w:r>
        <w:t>Tabella 3 – Ultime release con modifica alle decodifiche (fonte: [R2])</w:t>
      </w:r>
    </w:p>
    <w:p>
      <w:pPr>
        <w:jc w:val="both"/>
      </w:pPr>
      <w:r>
        <w:t>Il dato qualifica la natura del dato in esame: non è dato transazionale ad alta mutabilità, ma dato di riferimento che varia con cadenza quindicinale o mensile, in modo pianificato e versionato. La circostanza è determinante ai fini della valutazione al § 6 e, come si vedrà al § 6.5, entra in tensione con il ciclo di rilascio del sistema consumatore.</w:t>
      </w:r>
    </w:p>
    <w:p>
      <w:pPr>
        <w:pStyle w:val="Heading2"/>
      </w:pPr>
      <w:r>
        <w:t>Servizi di decodifica già esposti da ANSC</w:t>
      </w:r>
    </w:p>
    <w:p>
      <w:pPr>
        <w:jc w:val="both"/>
      </w:pPr>
      <w:r>
        <w:t>La specifica OpenAPI R901 [R3], versione 1.5.0, documenta un servizio ANSC già in esercizio, dedicato al reperimento delle tabelle di decodifica, esposto su produzione (anscservice.anpr.interno.it), preproduzione e mock locale.</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Operazione</w:t>
            </w:r>
          </w:p>
        </w:tc>
        <w:tc>
          <w:tcPr>
            <w:tcW w:type="dxa" w:w="3120"/>
          </w:tcPr>
          <w:p>
            <w:r/>
            <w:r>
              <w:rPr>
                <w:b/>
              </w:rPr>
              <w:t>Descrizione</w:t>
            </w:r>
          </w:p>
        </w:tc>
        <w:tc>
          <w:tcPr>
            <w:tcW w:type="dxa" w:w="3120"/>
          </w:tcPr>
          <w:p>
            <w:r/>
            <w:r>
              <w:rPr>
                <w:b/>
              </w:rPr>
              <w:t>Rilevanza</w:t>
            </w:r>
          </w:p>
        </w:tc>
      </w:tr>
      <w:tr>
        <w:tc>
          <w:tcPr>
            <w:tcW w:type="dxa" w:w="3120"/>
          </w:tcPr>
          <w:p>
            <w:r/>
            <w:r>
              <w:t>POST /config/decodifica/elenco/{version}</w:t>
            </w:r>
          </w:p>
        </w:tc>
        <w:tc>
          <w:tcPr>
            <w:tcW w:type="dxa" w:w="3120"/>
          </w:tcPr>
          <w:p>
            <w:r/>
            <w:r>
              <w:t>Restituisce l’elenco delle decodifiche; per ciascuna: id, descrizione e versione.</w:t>
            </w:r>
          </w:p>
        </w:tc>
        <w:tc>
          <w:tcPr>
            <w:tcW w:type="dxa" w:w="3120"/>
          </w:tcPr>
          <w:p>
            <w:r/>
            <w:r>
              <w:t>Abilita il rilevamento delle variazioni senza scaricare i contenuti.</w:t>
            </w:r>
          </w:p>
        </w:tc>
      </w:tr>
      <w:tr>
        <w:tc>
          <w:tcPr>
            <w:tcW w:type="dxa" w:w="3120"/>
          </w:tcPr>
          <w:p>
            <w:r/>
            <w:r>
              <w:t>POST /config/decodifica/dettaglio/{version}</w:t>
            </w:r>
          </w:p>
        </w:tc>
        <w:tc>
          <w:tcPr>
            <w:tcW w:type="dxa" w:w="3120"/>
          </w:tcPr>
          <w:p>
            <w:r/>
            <w:r>
              <w:t>Restituisce il contenuto di una decodifica in CSV, opzionalmente compresso e in base64.</w:t>
            </w:r>
          </w:p>
        </w:tc>
        <w:tc>
          <w:tcPr>
            <w:tcW w:type="dxa" w:w="3120"/>
          </w:tcPr>
          <w:p>
            <w:r/>
            <w:r>
              <w:t>Reperimento del contenuto delle sole tabelle variate.</w:t>
            </w:r>
          </w:p>
        </w:tc>
      </w:tr>
      <w:tr>
        <w:tc>
          <w:tcPr>
            <w:tcW w:type="dxa" w:w="3120"/>
          </w:tcPr>
          <w:p>
            <w:r/>
            <w:r>
              <w:t>POST /config/decodifica/data_adesione/{version}</w:t>
            </w:r>
          </w:p>
        </w:tc>
        <w:tc>
          <w:tcPr>
            <w:tcW w:type="dxa" w:w="3120"/>
          </w:tcPr>
          <w:p>
            <w:r/>
            <w:r>
              <w:t>Verifica la data di adesione di un comune.</w:t>
            </w:r>
          </w:p>
        </w:tc>
        <w:tc>
          <w:tcPr>
            <w:tcW w:type="dxa" w:w="3120"/>
          </w:tcPr>
          <w:p>
            <w:r/>
            <w:r>
              <w:t>Non pertinente alla distribuzione delle decodifiche.</w:t>
            </w:r>
          </w:p>
        </w:tc>
      </w:tr>
      <w:tr>
        <w:tc>
          <w:tcPr>
            <w:tcW w:type="dxa" w:w="3120"/>
          </w:tcPr>
          <w:p>
            <w:r/>
            <w:r>
              <w:t>POST /config/decodifica/usecase-multilingua/{version}</w:t>
            </w:r>
          </w:p>
        </w:tc>
        <w:tc>
          <w:tcPr>
            <w:tcW w:type="dxa" w:w="3120"/>
          </w:tcPr>
          <w:p>
            <w:r/>
            <w:r>
              <w:t>Restituisce l’elenco dei casi d’uso multilingua supportati.</w:t>
            </w:r>
          </w:p>
        </w:tc>
        <w:tc>
          <w:tcPr>
            <w:tcW w:type="dxa" w:w="3120"/>
          </w:tcPr>
          <w:p>
            <w:r/>
            <w:r>
              <w:t>Rilevante per eventuali esigenze di localizzazione.</w:t>
            </w:r>
          </w:p>
        </w:tc>
      </w:tr>
    </w:tbl>
    <w:p>
      <w:pPr>
        <w:pStyle w:val="Caption"/>
      </w:pPr>
      <w:r>
        <w:t>Tabella 4 – Operazioni esposte dal servizio R901 (fonte: [R3])</w:t>
      </w:r>
    </w:p>
    <w:p>
      <w:pPr>
        <w:jc w:val="both"/>
      </w:pPr>
      <w:r>
        <w:t>Merita attenzione lo schema ModelSintesiDecodifica restituito dall’operazione di elenco, che espone per ciascuna tabella un attributo versione distinto. Tale attributo costituisce un protocollo di sincronizzazione già disponibile: è sufficiente interrogare l’elenco, confrontare le versioni con quelle detenute localmente e richiedere il dettaglio delle sole tabelle variate. Non occorre progettare un meccanismo proprietario di rilevamento delle variazioni. Il repository [R1] ha natura documentale; l’autorità in esercizio è il servizio R901.</w:t>
      </w:r>
    </w:p>
    <w:p>
      <w:pPr>
        <w:pStyle w:val="Heading2"/>
      </w:pPr>
      <w:r>
        <w:t>Anomalie e qualità del dato</w:t>
      </w:r>
    </w:p>
    <w:p>
      <w:pPr>
        <w:pStyle w:val="ListParagraph"/>
        <w:jc w:val="both"/>
      </w:pPr>
      <w:r>
        <w:t>•</w:t>
        <w:tab/>
        <w:t>Tre decodifiche — 28_dec_tipo_firma, 60_dec_dichiarazione_congiunta e 63_dec_ruolo_usc — sono prive delle colonne di validità temporale: vanno trattate come permanentemente valide.</w:t>
      </w:r>
    </w:p>
    <w:p>
      <w:pPr>
        <w:pStyle w:val="ListParagraph"/>
        <w:jc w:val="both"/>
      </w:pPr>
      <w:r>
        <w:t>•</w:t>
        <w:tab/>
        <w:t>Cinquantacinque voci, su undici tabelle, presentano le date di validità non valorizzate. In tutti gli undici casi l’omissione riguarda la totalità delle righe della tabella, il che suggerisce una caratteristica sistematica della sorgente anziché un errore isolato. Nove delle undici tabelle appartengono al dominio DMNM.</w:t>
      </w:r>
    </w:p>
    <w:p>
      <w:pPr>
        <w:pStyle w:val="ListParagraph"/>
        <w:jc w:val="both"/>
      </w:pPr>
      <w:r>
        <w:t>•</w:t>
        <w:tab/>
        <w:t>La duplicazione CSV/XLSX è una ridondanza, non un conflitto: il contenuto coincide.</w:t>
      </w:r>
    </w:p>
    <w:p>
      <w:pPr>
        <w:jc w:val="both"/>
      </w:pPr>
      <w:r>
        <w:t>[DA VERIFICARE: semantica attribuita da ANSC alle date di validità non valorizzate. È necessario stabilire se debbano interpretarsi come validità illimitata o come dato mancante, poiché le due letture producono esiti diversi nella risoluzione storica.]</w:t>
      </w:r>
    </w:p>
    <w:p>
      <w:pPr>
        <w:pStyle w:val="Heading3"/>
      </w:pPr>
      <w:r>
        <w:t>Anomalie interne al vocabolario ANSC</w:t>
      </w:r>
    </w:p>
    <w:p>
      <w:pPr>
        <w:jc w:val="both"/>
      </w:pPr>
      <w:r>
        <w:t>Il confronto sistematico condotto per la versione 0.3 (§ 4.6) ha portato alla luce tre anomalie interne ad ANSC, non rilevate nelle versioni precedenti. Non attengono al rapporto con SIPO, ma alla coerenza del vocabolario ANSC in sé, e incidono sul disegno della soluzione.</w:t>
      </w:r>
    </w:p>
    <w:p>
      <w:pPr>
        <w:jc w:val="both"/>
      </w:pPr>
      <w:r>
        <w:t>Anomalia 1 — la decodifica 135 è pubblicata due volte. Sono presenti i file 135_dec_motivo_perdita_cittadinanaza.csv, con refuso, e 135_dec_motivo_perdita_cittadinanza.csv, nella grafia corretta. Il contenuto è identico, come verificato per impronta MD5 (586089e9c244309e40deb6ab92a5fad8 per entrambi). Si tratta con ogni evidenza di una ridenominazione non completata, con il file originario non rimosso. Ne consegue che i file CSV sono 145 ma le decodifiche logiche 144. L’anomalia è innocua di per sé, purché la componente di sincronizzazione non tratti i due file come decodifiche distinte.</w:t>
      </w:r>
    </w:p>
    <w:p>
      <w:pPr>
        <w:jc w:val="both"/>
      </w:pPr>
      <w:r>
        <w:t>Anomalia 2 — l’identificativo 134 è assegnato a due decodifiche diverse, che divergono. È l’anomalia di maggior rilievo. I file 134_dec_dichiarante_trascr_nascita e 134_dec_dichiarante_trascr_postuma condividono il medesimo numero ma non il medesimo contenuto.</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Codice</w:t>
            </w:r>
          </w:p>
        </w:tc>
        <w:tc>
          <w:tcPr>
            <w:tcW w:type="dxa" w:w="3120"/>
          </w:tcPr>
          <w:p>
            <w:r/>
            <w:r>
              <w:rPr>
                <w:b/>
              </w:rPr>
              <w:t>134_dec_dichiarante_trascr_nascita</w:t>
            </w:r>
          </w:p>
        </w:tc>
        <w:tc>
          <w:tcPr>
            <w:tcW w:type="dxa" w:w="3120"/>
          </w:tcPr>
          <w:p>
            <w:r/>
            <w:r>
              <w:rPr>
                <w:b/>
              </w:rPr>
              <w:t>134_dec_dichiarante_trascr_postuma</w:t>
            </w:r>
          </w:p>
        </w:tc>
      </w:tr>
      <w:tr>
        <w:tc>
          <w:tcPr>
            <w:tcW w:type="dxa" w:w="3120"/>
          </w:tcPr>
          <w:p>
            <w:r/>
            <w:r>
              <w:t>1</w:t>
            </w:r>
          </w:p>
        </w:tc>
        <w:tc>
          <w:tcPr>
            <w:tcW w:type="dxa" w:w="3120"/>
          </w:tcPr>
          <w:p>
            <w:r/>
            <w:r>
              <w:t>Padre</w:t>
            </w:r>
          </w:p>
        </w:tc>
        <w:tc>
          <w:tcPr>
            <w:tcW w:type="dxa" w:w="3120"/>
          </w:tcPr>
          <w:p>
            <w:r/>
            <w:r>
              <w:t>Padre</w:t>
            </w:r>
          </w:p>
        </w:tc>
      </w:tr>
      <w:tr>
        <w:tc>
          <w:tcPr>
            <w:tcW w:type="dxa" w:w="3120"/>
          </w:tcPr>
          <w:p>
            <w:r/>
            <w:r>
              <w:t>2</w:t>
            </w:r>
          </w:p>
        </w:tc>
        <w:tc>
          <w:tcPr>
            <w:tcW w:type="dxa" w:w="3120"/>
          </w:tcPr>
          <w:p>
            <w:r/>
            <w:r>
              <w:t>Madre</w:t>
            </w:r>
          </w:p>
        </w:tc>
        <w:tc>
          <w:tcPr>
            <w:tcW w:type="dxa" w:w="3120"/>
          </w:tcPr>
          <w:p>
            <w:r/>
            <w:r>
              <w:t>Madre</w:t>
            </w:r>
          </w:p>
        </w:tc>
      </w:tr>
      <w:tr>
        <w:tc>
          <w:tcPr>
            <w:tcW w:type="dxa" w:w="3120"/>
          </w:tcPr>
          <w:p>
            <w:r/>
            <w:r>
              <w:t>3</w:t>
            </w:r>
          </w:p>
        </w:tc>
        <w:tc>
          <w:tcPr>
            <w:tcW w:type="dxa" w:w="3120"/>
          </w:tcPr>
          <w:p>
            <w:r/>
            <w:r>
              <w:t>Soggetto</w:t>
            </w:r>
          </w:p>
        </w:tc>
        <w:tc>
          <w:tcPr>
            <w:tcW w:type="dxa" w:w="3120"/>
          </w:tcPr>
          <w:p>
            <w:r/>
            <w:r>
              <w:t>Soggetto</w:t>
            </w:r>
          </w:p>
        </w:tc>
      </w:tr>
      <w:tr>
        <w:tc>
          <w:tcPr>
            <w:tcW w:type="dxa" w:w="3120"/>
          </w:tcPr>
          <w:p>
            <w:r/>
            <w:r>
              <w:t>4</w:t>
            </w:r>
          </w:p>
        </w:tc>
        <w:tc>
          <w:tcPr>
            <w:tcW w:type="dxa" w:w="3120"/>
          </w:tcPr>
          <w:p>
            <w:r/>
            <w:r>
              <w:t>Altro</w:t>
            </w:r>
          </w:p>
        </w:tc>
        <w:tc>
          <w:tcPr>
            <w:tcW w:type="dxa" w:w="3120"/>
          </w:tcPr>
          <w:p>
            <w:r/>
            <w:r>
              <w:t>Tutore</w:t>
            </w:r>
          </w:p>
        </w:tc>
      </w:tr>
      <w:tr>
        <w:tc>
          <w:tcPr>
            <w:tcW w:type="dxa" w:w="3120"/>
          </w:tcPr>
          <w:p>
            <w:r/>
            <w:r>
              <w:t>5</w:t>
            </w:r>
          </w:p>
        </w:tc>
        <w:tc>
          <w:tcPr>
            <w:tcW w:type="dxa" w:w="3120"/>
          </w:tcPr>
          <w:p>
            <w:r/>
            <w:r>
              <w:t>Ente Pubblico</w:t>
            </w:r>
          </w:p>
        </w:tc>
        <w:tc>
          <w:tcPr>
            <w:tcW w:type="dxa" w:w="3120"/>
          </w:tcPr>
          <w:p>
            <w:r/>
            <w:r>
              <w:t>Ente Pubblico</w:t>
            </w:r>
          </w:p>
        </w:tc>
      </w:tr>
    </w:tbl>
    <w:p>
      <w:pPr>
        <w:pStyle w:val="Caption"/>
      </w:pPr>
      <w:r>
        <w:t>Tabella 5 – Collisione dell’identificativo 134 (fonte: [R1])</w:t>
      </w:r>
    </w:p>
    <w:p>
      <w:pPr>
        <w:jc w:val="both"/>
      </w:pPr>
      <w:r>
        <w:t>Il codice 4 vale «Altro» nella prima e «Tutore» nella seconda. La circostanza è critica perché il servizio R901 impiega l’attributo idDecodifica quale chiave dell’operazione di dettaglio (§ 3.4): l’identificativo 134 è pertanto ambiguo, e non è determinabile dalla sola specifica quale delle due decodifiche il servizio restituisca. L’anomalia incide direttamente sul modello dati proposto, che assume ID_TABELLA quale chiave (§ 8.1), ed è recepita quale rischio di classe A (RA-04).</w:t>
      </w:r>
    </w:p>
    <w:p>
      <w:pPr>
        <w:jc w:val="both"/>
      </w:pPr>
      <w:r>
        <w:t>[DA VERIFICARE: comportamento effettivo di R901 a fronte dell’identificativo 134. È da accertare presso ANSC se si tratti di un difetto di pubblicazione documentale — ossia se in esercizio le due decodifiche rechino identificativi distinti — ovvero di una collisione effettiva.]</w:t>
      </w:r>
    </w:p>
    <w:p>
      <w:pPr>
        <w:jc w:val="both"/>
      </w:pPr>
      <w:r>
        <w:t>Anomalia 3 — ANSC espone due vocabolari distinti per lo stato civile. La decodifica 61_dec_stato_civile, con validità dal 01/01/2000, e la 168_dmnm_dec_stato_civile, afferente al dominio DMNM e con validità dal 04/12/2025, descrivono il medesimo concetto con esiti differenti.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Codice</w:t>
            </w:r>
          </w:p>
        </w:tc>
        <w:tc>
          <w:tcPr>
            <w:tcW w:type="dxa" w:w="3120"/>
          </w:tcPr>
          <w:p>
            <w:r/>
            <w:r>
              <w:rPr>
                <w:b/>
              </w:rPr>
              <w:t>61_dec_stato_civile (dal 2000)</w:t>
            </w:r>
          </w:p>
        </w:tc>
        <w:tc>
          <w:tcPr>
            <w:tcW w:type="dxa" w:w="3120"/>
          </w:tcPr>
          <w:p>
            <w:r/>
            <w:r>
              <w:rPr>
                <w:b/>
              </w:rPr>
              <w:t>168_dmnm_dec_stato_civile (dal 04/12/2025)</w:t>
            </w:r>
          </w:p>
        </w:tc>
      </w:tr>
      <w:tr>
        <w:tc>
          <w:tcPr>
            <w:tcW w:type="dxa" w:w="3120"/>
          </w:tcPr>
          <w:p>
            <w:r/>
            <w:r>
              <w:t>1</w:t>
            </w:r>
          </w:p>
        </w:tc>
        <w:tc>
          <w:tcPr>
            <w:tcW w:type="dxa" w:w="3120"/>
          </w:tcPr>
          <w:p>
            <w:r/>
            <w:r>
              <w:t>Celibe/Nubile</w:t>
            </w:r>
          </w:p>
        </w:tc>
        <w:tc>
          <w:tcPr>
            <w:tcW w:type="dxa" w:w="3120"/>
          </w:tcPr>
          <w:p>
            <w:r/>
            <w:r>
              <w:t>Celibe/Nubile</w:t>
            </w:r>
          </w:p>
        </w:tc>
      </w:tr>
      <w:tr>
        <w:tc>
          <w:tcPr>
            <w:tcW w:type="dxa" w:w="3120"/>
          </w:tcPr>
          <w:p>
            <w:r/>
            <w:r>
              <w:t>2</w:t>
            </w:r>
          </w:p>
        </w:tc>
        <w:tc>
          <w:tcPr>
            <w:tcW w:type="dxa" w:w="3120"/>
          </w:tcPr>
          <w:p>
            <w:r/>
            <w:r>
              <w:t>Coniugato</w:t>
            </w:r>
          </w:p>
        </w:tc>
        <w:tc>
          <w:tcPr>
            <w:tcW w:type="dxa" w:w="3120"/>
          </w:tcPr>
          <w:p>
            <w:r/>
            <w:r>
              <w:t>Coniugato/a</w:t>
            </w:r>
          </w:p>
        </w:tc>
      </w:tr>
      <w:tr>
        <w:tc>
          <w:tcPr>
            <w:tcW w:type="dxa" w:w="3120"/>
          </w:tcPr>
          <w:p>
            <w:r/>
            <w:r>
              <w:t>3</w:t>
            </w:r>
          </w:p>
        </w:tc>
        <w:tc>
          <w:tcPr>
            <w:tcW w:type="dxa" w:w="3120"/>
          </w:tcPr>
          <w:p>
            <w:r/>
            <w:r>
              <w:t>Vedovo</w:t>
            </w:r>
          </w:p>
        </w:tc>
        <w:tc>
          <w:tcPr>
            <w:tcW w:type="dxa" w:w="3120"/>
          </w:tcPr>
          <w:p>
            <w:r/>
            <w:r>
              <w:t>Vedovo/a</w:t>
            </w:r>
          </w:p>
        </w:tc>
      </w:tr>
      <w:tr>
        <w:tc>
          <w:tcPr>
            <w:tcW w:type="dxa" w:w="3120"/>
          </w:tcPr>
          <w:p>
            <w:r/>
            <w:r>
              <w:t>4</w:t>
            </w:r>
          </w:p>
        </w:tc>
        <w:tc>
          <w:tcPr>
            <w:tcW w:type="dxa" w:w="3120"/>
          </w:tcPr>
          <w:p>
            <w:r/>
            <w:r>
              <w:t>Divorziato</w:t>
            </w:r>
          </w:p>
        </w:tc>
        <w:tc>
          <w:tcPr>
            <w:tcW w:type="dxa" w:w="3120"/>
          </w:tcPr>
          <w:p>
            <w:r/>
            <w:r>
              <w:t>Divorziato/a</w:t>
            </w:r>
          </w:p>
        </w:tc>
      </w:tr>
      <w:tr>
        <w:tc>
          <w:tcPr>
            <w:tcW w:type="dxa" w:w="3120"/>
          </w:tcPr>
          <w:p>
            <w:r/>
            <w:r>
              <w:t>5</w:t>
            </w:r>
          </w:p>
        </w:tc>
        <w:tc>
          <w:tcPr>
            <w:tcW w:type="dxa" w:w="3120"/>
          </w:tcPr>
          <w:p>
            <w:r/>
            <w:r>
              <w:t>— assente —</w:t>
            </w:r>
          </w:p>
        </w:tc>
        <w:tc>
          <w:tcPr>
            <w:tcW w:type="dxa" w:w="3120"/>
          </w:tcPr>
          <w:p>
            <w:r/>
            <w:r>
              <w:t>Separato/a legalmente</w:t>
            </w:r>
          </w:p>
        </w:tc>
      </w:tr>
      <w:tr>
        <w:tc>
          <w:tcPr>
            <w:tcW w:type="dxa" w:w="3120"/>
          </w:tcPr>
          <w:p>
            <w:r/>
            <w:r>
              <w:t>6</w:t>
            </w:r>
          </w:p>
        </w:tc>
        <w:tc>
          <w:tcPr>
            <w:tcW w:type="dxa" w:w="3120"/>
          </w:tcPr>
          <w:p>
            <w:r/>
            <w:r>
              <w:t>Unito civilmente</w:t>
            </w:r>
          </w:p>
        </w:tc>
        <w:tc>
          <w:tcPr>
            <w:tcW w:type="dxa" w:w="3120"/>
          </w:tcPr>
          <w:p>
            <w:r/>
            <w:r>
              <w:t>Unito civilmente</w:t>
            </w:r>
          </w:p>
        </w:tc>
      </w:tr>
      <w:tr>
        <w:tc>
          <w:tcPr>
            <w:tcW w:type="dxa" w:w="3120"/>
          </w:tcPr>
          <w:p>
            <w:r/>
            <w:r>
              <w:t>7</w:t>
            </w:r>
          </w:p>
        </w:tc>
        <w:tc>
          <w:tcPr>
            <w:tcW w:type="dxa" w:w="3120"/>
          </w:tcPr>
          <w:p>
            <w:r/>
            <w:r>
              <w:t>Stato libero a seguito di decesso della parte unita civilmente</w:t>
            </w:r>
          </w:p>
        </w:tc>
        <w:tc>
          <w:tcPr>
            <w:tcW w:type="dxa" w:w="3120"/>
          </w:tcPr>
          <w:p>
            <w:r/>
            <w:r>
              <w:t>(identica)</w:t>
            </w:r>
          </w:p>
        </w:tc>
      </w:tr>
      <w:tr>
        <w:tc>
          <w:tcPr>
            <w:tcW w:type="dxa" w:w="3120"/>
          </w:tcPr>
          <w:p>
            <w:r/>
            <w:r>
              <w:t>8</w:t>
            </w:r>
          </w:p>
        </w:tc>
        <w:tc>
          <w:tcPr>
            <w:tcW w:type="dxa" w:w="3120"/>
          </w:tcPr>
          <w:p>
            <w:r/>
            <w:r>
              <w:t>Stato libero a seguito di scioglimento dell’unione</w:t>
            </w:r>
          </w:p>
        </w:tc>
        <w:tc>
          <w:tcPr>
            <w:tcW w:type="dxa" w:w="3120"/>
          </w:tcPr>
          <w:p>
            <w:r/>
            <w:r>
              <w:t>(identica)</w:t>
            </w:r>
          </w:p>
        </w:tc>
      </w:tr>
      <w:tr>
        <w:tc>
          <w:tcPr>
            <w:tcW w:type="dxa" w:w="3120"/>
          </w:tcPr>
          <w:p>
            <w:r/>
            <w:r>
              <w:t>9</w:t>
            </w:r>
          </w:p>
        </w:tc>
        <w:tc>
          <w:tcPr>
            <w:tcW w:type="dxa" w:w="3120"/>
          </w:tcPr>
          <w:p>
            <w:r/>
            <w:r>
              <w:t>Non classificabile/ignoto/n.c</w:t>
            </w:r>
          </w:p>
        </w:tc>
        <w:tc>
          <w:tcPr>
            <w:tcW w:type="dxa" w:w="3120"/>
          </w:tcPr>
          <w:p>
            <w:r/>
            <w:r>
              <w:t>(identica)</w:t>
            </w:r>
          </w:p>
        </w:tc>
      </w:tr>
    </w:tbl>
    <w:p>
      <w:pPr>
        <w:pStyle w:val="Caption"/>
      </w:pPr>
      <w:r>
        <w:t>Tabella 6 – I due vocabolari ANSC dello stato civile a confronto (fonte: [R1])</w:t>
      </w:r>
    </w:p>
    <w:p>
      <w:pPr>
        <w:jc w:val="both"/>
      </w:pPr>
      <w:r>
        <w:t>Le differenze sono due: la 168 adotta le forme flesse «Coniugato/a», «Vedovo/a», «Divorziato/a» in luogo delle forme maschili, e introduce il codice 5 «Separato/a legalmente», assente nella 61. La coesistenza dei due vocabolari incide sul confronto con SIPO e ne condiziona l’esito, come esposto al § 4.5.</w:t>
      </w:r>
    </w:p>
    <w:p>
      <w:pPr>
        <w:jc w:val="both"/>
      </w:pPr>
      <w:r>
        <w:t>[DA VERIFICARE: rapporto fra le decodifiche 61 e 168. È da accertare se la 168 costituisca l’evoluzione della 61, destinata a sostituirla, ovvero se i due vocabolari siano deliberatamente distinti per ambito applicativo — la 168 limitatamente al dominio della denuncia di morte. La risposta determina quale sia il riferimento per l’allineamento di SIPO.]</w:t>
      </w:r>
    </w:p>
    <w:p>
      <w:pPr>
        <w:jc w:val="both"/>
      </w:pPr>
      <w:r>
        <w:t>Non sono stati rilevati conflitti fra le diverse sorgenti ANSC analizzate; le anomalie qui esposte sono interne alla sorgente [R1].</w:t>
      </w:r>
    </w:p>
    <w:p>
      <w:r>
        <w:br w:type="page"/>
      </w:r>
    </w:p>
    <w:p>
      <w:pPr>
        <w:pStyle w:val="Heading1"/>
      </w:pPr>
      <w:r>
        <w:t>Il sistema consumatore: SIPO</w:t>
      </w:r>
    </w:p>
    <w:p>
      <w:pPr>
        <w:jc w:val="both"/>
      </w:pPr>
      <w:r>
        <w:t>Il presente capitolo è introdotto dalla versione 0.2 e descrive il sistema che dovrà consumare le decodifiche. La versione 0.1 ragionava su un consumatore ipotetico; le evidenze qui riportate, rilevate sulle sorgenti [R5]-[R9], vincolano in modo sostanziale le scelte architetturali dei § 6 e § 7.</w:t>
      </w:r>
    </w:p>
    <w:p>
      <w:pPr>
        <w:pStyle w:val="Heading2"/>
      </w:pPr>
      <w:r>
        <w:t>Perimetro e stack tecnologico</w:t>
      </w:r>
    </w:p>
    <w:p>
      <w:pPr>
        <w:jc w:val="both"/>
      </w:pPr>
      <w:r>
        <w:t>SIPO (Sistema Informativo Popolazione) è la suite applicativa dei servizi demografici di Roma Capitale. Copre tre domini: stato civile, anagrafe ed elettorale.</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Area</w:t>
            </w:r>
          </w:p>
        </w:tc>
        <w:tc>
          <w:tcPr>
            <w:tcW w:type="dxa" w:w="3120"/>
          </w:tcPr>
          <w:p>
            <w:r/>
            <w:r>
              <w:rPr>
                <w:b/>
              </w:rPr>
              <w:t>N. moduli</w:t>
            </w:r>
          </w:p>
        </w:tc>
        <w:tc>
          <w:tcPr>
            <w:tcW w:type="dxa" w:w="3120"/>
          </w:tcPr>
          <w:p>
            <w:r/>
            <w:r>
              <w:rPr>
                <w:b/>
              </w:rPr>
              <w:t>Natura</w:t>
            </w:r>
          </w:p>
        </w:tc>
      </w:tr>
      <w:tr>
        <w:tc>
          <w:tcPr>
            <w:tcW w:type="dxa" w:w="3120"/>
          </w:tcPr>
          <w:p>
            <w:r/>
            <w:r>
              <w:t>back-end/ [R5]</w:t>
            </w:r>
          </w:p>
        </w:tc>
        <w:tc>
          <w:tcPr>
            <w:tcW w:type="dxa" w:w="3120"/>
          </w:tcPr>
          <w:p>
            <w:r/>
            <w:r>
              <w:t>53</w:t>
            </w:r>
          </w:p>
        </w:tc>
        <w:tc>
          <w:tcPr>
            <w:tcW w:type="dxa" w:w="3120"/>
          </w:tcPr>
          <w:p>
            <w:r/>
            <w:r>
              <w:t>Microservizi Spring Boot, uno per dominio applicativo.</w:t>
            </w:r>
          </w:p>
        </w:tc>
      </w:tr>
      <w:tr>
        <w:tc>
          <w:tcPr>
            <w:tcW w:type="dxa" w:w="3120"/>
          </w:tcPr>
          <w:p>
            <w:r/>
            <w:r>
              <w:t>front-end/ [R7]</w:t>
            </w:r>
          </w:p>
        </w:tc>
        <w:tc>
          <w:tcPr>
            <w:tcW w:type="dxa" w:w="3120"/>
          </w:tcPr>
          <w:p>
            <w:r/>
            <w:r>
              <w:t>35</w:t>
            </w:r>
          </w:p>
        </w:tc>
        <w:tc>
          <w:tcPr>
            <w:tcW w:type="dxa" w:w="3120"/>
          </w:tcPr>
          <w:p>
            <w:r/>
            <w:r>
              <w:t>Strato di presentazione Spring Boot + Thymeleaf (server-side).</w:t>
            </w:r>
          </w:p>
        </w:tc>
      </w:tr>
      <w:tr>
        <w:tc>
          <w:tcPr>
            <w:tcW w:type="dxa" w:w="3120"/>
          </w:tcPr>
          <w:p>
            <w:r/>
            <w:r>
              <w:t>common/ [R6]</w:t>
            </w:r>
          </w:p>
        </w:tc>
        <w:tc>
          <w:tcPr>
            <w:tcW w:type="dxa" w:w="3120"/>
          </w:tcPr>
          <w:p>
            <w:r/>
            <w:r>
              <w:t>26</w:t>
            </w:r>
          </w:p>
        </w:tc>
        <w:tc>
          <w:tcPr>
            <w:tcW w:type="dxa" w:w="3120"/>
          </w:tcPr>
          <w:p>
            <w:r/>
            <w:r>
              <w:t>Librerie condivise: entità JPA, client ANPR, profilazione utente.</w:t>
            </w:r>
          </w:p>
        </w:tc>
      </w:tr>
      <w:tr>
        <w:tc>
          <w:tcPr>
            <w:tcW w:type="dxa" w:w="3120"/>
          </w:tcPr>
          <w:p>
            <w:r/>
            <w:r>
              <w:t>cross/ [R8]</w:t>
            </w:r>
          </w:p>
        </w:tc>
        <w:tc>
          <w:tcPr>
            <w:tcW w:type="dxa" w:w="3120"/>
          </w:tcPr>
          <w:p>
            <w:r/>
            <w:r>
              <w:t>11</w:t>
            </w:r>
          </w:p>
        </w:tc>
        <w:tc>
          <w:tcPr>
            <w:tcW w:type="dxa" w:w="3120"/>
          </w:tcPr>
          <w:p>
            <w:r/>
            <w:r>
              <w:t>Strumenti trasversali, incluso il sottosistema .NET cert-online-dotnet.</w:t>
            </w:r>
          </w:p>
        </w:tc>
      </w:tr>
      <w:tr>
        <w:tc>
          <w:tcPr>
            <w:tcW w:type="dxa" w:w="3120"/>
          </w:tcPr>
          <w:p>
            <w:r/>
            <w:r>
              <w:t>Totale</w:t>
            </w:r>
          </w:p>
        </w:tc>
        <w:tc>
          <w:tcPr>
            <w:tcW w:type="dxa" w:w="3120"/>
          </w:tcPr>
          <w:p>
            <w:r/>
            <w:r>
              <w:t>125</w:t>
            </w:r>
          </w:p>
        </w:tc>
        <w:tc>
          <w:tcPr>
            <w:tcW w:type="dxa" w:w="3120"/>
          </w:tcPr>
          <w:p>
            <w:r/>
            <w:r>
              <w:t>Circa 52.000 file.</w:t>
            </w:r>
          </w:p>
        </w:tc>
      </w:tr>
    </w:tbl>
    <w:p>
      <w:pPr>
        <w:pStyle w:val="Caption"/>
      </w:pPr>
      <w:r>
        <w:t>Tabella 7 – Perimetro dei sorgenti SIPO (fonte: [R5]-[R8])</w:t>
      </w:r>
    </w:p>
    <w:p>
      <w:pPr>
        <w:jc w:val="both"/>
      </w:pPr>
      <w:r>
        <w:t>Lo stack è uniforme su tutti i moduli: Spring Boot 2.1.2.RELEASE, Java 11, Maven, Hibernate/JPA, HikariCP. Il rilascio di Spring Boot 2.1.2 risale al gennaio 2019 e la versione è fuori supporto. Il deploy avviene su Docker Swarm con Traefik quale ingress.</w:t>
      </w:r>
    </w:p>
    <w:p>
      <w:pPr>
        <w:jc w:val="both"/>
      </w:pPr>
      <w:r>
        <w:t>Si segnala che lo strato denominato front-end non è un’applicazione a pagina singola: non sono presenti file TypeScript o React nei 35 moduli, bensì template Thymeleaf renderizzati lato server. Ne consegue che non esistono consumatori lato browser: le decodifiche sono risolte server-side e passate al template. La circostanza semplifica il quadro dei consumatori (§ 4.6).</w:t>
      </w:r>
    </w:p>
    <w:p>
      <w:pPr>
        <w:pStyle w:val="Heading2"/>
      </w:pPr>
      <w:r>
        <w:t>Persistenza e architettura</w:t>
      </w:r>
    </w:p>
    <w:p>
      <w:pPr>
        <w:jc w:val="both"/>
      </w:pPr>
      <w:r>
        <w:t>La persistenza è esclusivamente Oracle. La rilevazione ha individuato 93 datasource, tutti con driver Oracle e URL jdbc:oracle:thin. Non è stata trovata alcuna traccia di PostgreSQL, né di altro RDBMS, in alcun pom.xml dei 125 moduli. Il fatto è dirimente e impone la revisione di cui al § 7.3.</w:t>
      </w:r>
    </w:p>
    <w:tbl>
      <w:tblPr>
        <w:tblStyle w:val="GridTable1Light"/>
        <w:tblW w:type="auto" w:w="0"/>
        <w:tblLook w:firstColumn="1" w:firstRow="1" w:lastColumn="0" w:lastRow="0" w:noHBand="0" w:noVBand="1" w:val="04A0"/>
      </w:tblPr>
      <w:tblGrid>
        <w:gridCol w:w="4680"/>
        <w:gridCol w:w="4680"/>
      </w:tblGrid>
      <w:tr>
        <w:tc>
          <w:tcPr>
            <w:tcW w:type="dxa" w:w="4680"/>
          </w:tcPr>
          <w:p>
            <w:r/>
            <w:r>
              <w:rPr>
                <w:b/>
              </w:rPr>
              <w:t>Schema / DB</w:t>
            </w:r>
          </w:p>
        </w:tc>
        <w:tc>
          <w:tcPr>
            <w:tcW w:type="dxa" w:w="4680"/>
          </w:tcPr>
          <w:p>
            <w:r/>
            <w:r>
              <w:rPr>
                <w:b/>
              </w:rPr>
              <w:t>Dominio</w:t>
            </w:r>
          </w:p>
        </w:tc>
      </w:tr>
      <w:tr>
        <w:tc>
          <w:tcPr>
            <w:tcW w:type="dxa" w:w="4680"/>
          </w:tcPr>
          <w:p>
            <w:r/>
            <w:r>
              <w:t>ANAG_USR</w:t>
            </w:r>
          </w:p>
        </w:tc>
        <w:tc>
          <w:tcPr>
            <w:tcW w:type="dxa" w:w="4680"/>
          </w:tcPr>
          <w:p>
            <w:r/>
            <w:r>
              <w:t>Anagrafe, certificati, carte d’identità</w:t>
            </w:r>
          </w:p>
        </w:tc>
      </w:tr>
      <w:tr>
        <w:tc>
          <w:tcPr>
            <w:tcW w:type="dxa" w:w="4680"/>
          </w:tcPr>
          <w:p>
            <w:r/>
            <w:r>
              <w:t>MATR_USR</w:t>
            </w:r>
          </w:p>
        </w:tc>
        <w:tc>
          <w:tcPr>
            <w:tcW w:type="dxa" w:w="4680"/>
          </w:tcPr>
          <w:p>
            <w:r/>
            <w:r>
              <w:t>Stato civile</w:t>
            </w:r>
          </w:p>
        </w:tc>
      </w:tr>
      <w:tr>
        <w:tc>
          <w:tcPr>
            <w:tcW w:type="dxa" w:w="4680"/>
          </w:tcPr>
          <w:p>
            <w:r/>
            <w:r>
              <w:t>ELET_USR</w:t>
            </w:r>
          </w:p>
        </w:tc>
        <w:tc>
          <w:tcPr>
            <w:tcW w:type="dxa" w:w="4680"/>
          </w:tcPr>
          <w:p>
            <w:r/>
            <w:r>
              <w:t>Elettorale</w:t>
            </w:r>
          </w:p>
        </w:tc>
      </w:tr>
      <w:tr>
        <w:tc>
          <w:tcPr>
            <w:tcW w:type="dxa" w:w="4680"/>
          </w:tcPr>
          <w:p>
            <w:r/>
            <w:r>
              <w:t>STAT_USR</w:t>
            </w:r>
          </w:p>
        </w:tc>
        <w:tc>
          <w:tcPr>
            <w:tcW w:type="dxa" w:w="4680"/>
          </w:tcPr>
          <w:p>
            <w:r/>
            <w:r>
              <w:t>Statistica</w:t>
            </w:r>
          </w:p>
        </w:tc>
      </w:tr>
      <w:tr>
        <w:tc>
          <w:tcPr>
            <w:tcW w:type="dxa" w:w="4680"/>
          </w:tcPr>
          <w:p>
            <w:r/>
            <w:r>
              <w:t>DBSIPONW (produzione)</w:t>
            </w:r>
          </w:p>
        </w:tc>
        <w:tc>
          <w:tcPr>
            <w:tcW w:type="dxa" w:w="4680"/>
          </w:tcPr>
          <w:p>
            <w:r/>
            <w:r>
              <w:t>RAC a due nodi con failover e load balancing</w:t>
            </w:r>
          </w:p>
        </w:tc>
      </w:tr>
    </w:tbl>
    <w:p>
      <w:pPr>
        <w:pStyle w:val="Caption"/>
      </w:pPr>
      <w:r>
        <w:t>Tabella 8 – Schemi Oracle di SIPO (fonte: [R5], [R9])</w:t>
      </w:r>
    </w:p>
    <w:p>
      <w:pPr>
        <w:jc w:val="both"/>
      </w:pPr>
      <w:r>
        <w:t>Sotto il profilo architetturale, SIPO si qualifica come monolite distribuito: i moduli sono microservizi autonomi quanto a build e deploy, ma risultano accoppiati dal database condiviso. Non sono presenti broker di messaggi, né service discovery; gli endpoint dei moduli peer sono costanti cablate del tipo localhost:900x, duplicate per copia in ciascun servizio. L’integrazione avviene per database condiviso e per librerie di entità comuni.</w:t>
      </w:r>
    </w:p>
    <w:p>
      <w:pPr>
        <w:jc w:val="both"/>
      </w:pPr>
      <w:r>
        <w:t>Nessun registro di artefatti risulta in uso. Le dipendenze interne sono risolte, all’interno del Dockerfile, mediante clonazione del repository GitLab sul ramo mobile «sviluppo» seguita da mvn install. Le build non sono pertanto riproducibili. La circostanza è determinante ai fini del § 6.5 e chiude il punto aperto PA-07 in senso negativo.</w:t>
      </w:r>
    </w:p>
    <w:p>
      <w:pPr>
        <w:pStyle w:val="Heading2"/>
      </w:pPr>
      <w:r>
        <w:t>Le decodifiche in SIPO: la convenzione CONF_*</w:t>
      </w:r>
    </w:p>
    <w:p>
      <w:pPr>
        <w:jc w:val="both"/>
      </w:pPr>
      <w:r>
        <w:t>SIPO dispone già di un proprio impianto di decodifiche, che non adotta il prefisso dec_ bensì CONF_. La rilevazione sulle entità JPA di [R6] ha censito 889 tabelle mappate, delle quali 372 con prefisso CONF_ o R_CONF_, pari a circa il 42% del modello. Sul DDL [R9], limitatamente allo schema ANAG_USR, 76 tabelle su 153 sono CONF_.</w:t>
      </w:r>
    </w:p>
    <w:p>
      <w:pPr>
        <w:jc w:val="both"/>
      </w:pPr>
      <w:r>
        <w:t>Il modello prevalente è piatto. A titolo di esempio, dal DDL [R9]:</w:t>
      </w:r>
    </w:p>
    <w:tbl>
      <w:tblPr>
        <w:tblStyle w:val="GridTable1Light"/>
        <w:tblW w:type="auto" w:w="0"/>
        <w:tblLook w:firstColumn="1" w:firstRow="1" w:lastColumn="0" w:lastRow="0" w:noHBand="0" w:noVBand="1" w:val="04A0"/>
      </w:tblPr>
      <w:tblGrid>
        <w:gridCol w:w="4680"/>
        <w:gridCol w:w="4680"/>
      </w:tblGrid>
      <w:tr>
        <w:tc>
          <w:tcPr>
            <w:tcW w:type="dxa" w:w="4680"/>
          </w:tcPr>
          <w:p>
            <w:r/>
            <w:r>
              <w:rPr>
                <w:b/>
              </w:rPr>
              <w:t>Tabella</w:t>
            </w:r>
          </w:p>
        </w:tc>
        <w:tc>
          <w:tcPr>
            <w:tcW w:type="dxa" w:w="4680"/>
          </w:tcPr>
          <w:p>
            <w:r/>
            <w:r>
              <w:rPr>
                <w:b/>
              </w:rPr>
              <w:t>Struttura rilevata</w:t>
            </w:r>
          </w:p>
        </w:tc>
      </w:tr>
      <w:tr>
        <w:tc>
          <w:tcPr>
            <w:tcW w:type="dxa" w:w="4680"/>
          </w:tcPr>
          <w:p>
            <w:r/>
            <w:r>
              <w:t>CONF_STATO_CIVILE</w:t>
            </w:r>
          </w:p>
        </w:tc>
        <w:tc>
          <w:tcPr>
            <w:tcW w:type="dxa" w:w="4680"/>
          </w:tcPr>
          <w:p>
            <w:r/>
            <w:r>
              <w:t>ID_STATO_CIVILE NUMBER(2,0), DESCRIZIONE VARCHAR2(80). Nessuna colonna di validità.</w:t>
            </w:r>
          </w:p>
        </w:tc>
      </w:tr>
    </w:tbl>
    <w:p>
      <w:pPr>
        <w:pStyle w:val="Caption"/>
      </w:pPr>
      <w:r>
        <w:t>Tabella 9 – Struttura tipica di una decodifica SIPO (fonte: [R9])</w:t>
      </w:r>
    </w:p>
    <w:p>
      <w:pPr>
        <w:jc w:val="both"/>
      </w:pPr>
      <w:r>
        <w:t>Nell’intero export DDL [R9] non compare alcuna occorrenza di DATA_INIZIO_VALIDITA o DATA_FINE_VALIDITA. Le decodifiche di SIPO non sono storicizzate: la ridenominazione o la dismissione di una voce riscrive il passato, e gli atti pregressi vengono riletti con la descrizione corrente. È esattamente il difetto che il § 3.2 impone di evitare.</w:t>
      </w:r>
    </w:p>
    <w:p>
      <w:pPr>
        <w:jc w:val="both"/>
      </w:pPr>
      <w:r>
        <w:t>L’affermazione richiede tuttavia una precisazione, poiché l’export [R9] copre il solo schema ANAG_USR e non MATR_USR, ossia proprio lo stato civile. L’esame delle entità JPA di [R6] mostra che nel dominio dello stato civile alcune decodifiche la validità temporale la possiedono: CONF_RITI, CONF_SEGRETARIO, CONF_CHIESE, CONF_TIPO_SALE e CONF_LUOGO_DECESSO recano le colonne DATA_INIZIO_VALIDITA e DATA_FINE_VALIDITA. Complessivamente circa 100 file trattano la validità temporale.</w:t>
      </w:r>
    </w:p>
    <w:p>
      <w:pPr>
        <w:jc w:val="both"/>
      </w:pPr>
      <w:r>
        <w:t>La lettura corretta è dunque che la storicizzazione in SIPO esista, ma sia sporadica e opportunistica: applicata caso per caso ove il dominio l’abbia imposta, non come pattern sistematico. Il fatto è favorevole alla proposta del § 7.3, poiché il modello temporale non risulta estraneo al sistema e dispone di precedenti interni.</w:t>
      </w:r>
    </w:p>
    <w:p>
      <w:pPr>
        <w:jc w:val="both"/>
      </w:pPr>
      <w:r>
        <w:t>Due ulteriori evidenze rilevano.</w:t>
      </w:r>
    </w:p>
    <w:p>
      <w:pPr>
        <w:pStyle w:val="ListParagraph"/>
        <w:jc w:val="both"/>
      </w:pPr>
      <w:r>
        <w:t>•</w:t>
        <w:tab/>
        <w:t>Assenza totale di caching. Non è stata rilevata alcuna occorrenza di @Cacheable o @EnableCaching, né alcuna dipendenza da Redis, Ehcache, Caffeine o Hazelcast nei 125 moduli. Ogni decodifica è oggi una query Oracle eseguita a ogni richiesta, ripetuta dai diversi servizi sulla medesima base dati. Il servizio di distribuzione non introdurrebbe quindi alcuna regressione rispetto all’esistente.</w:t>
      </w:r>
    </w:p>
    <w:p>
      <w:pPr>
        <w:pStyle w:val="ListParagraph"/>
        <w:jc w:val="both"/>
      </w:pPr>
      <w:r>
        <w:t>•</w:t>
        <w:tab/>
        <w:t>Decodifiche cablate nel codice. Il file Constant.java della libreria condivisa profilazione-utente contiene 133 costrutti Map.of o List.of di decodifiche di dominio. Alla riga 1590 figura STATO_CIVILE_LIBERO = List.of("1", "3", "4", "7", "8"): codici di stato civile cablati in Java, in parallelo alle medesime informazioni presenti a base dati e servite da 97 endpoint getConf* distinti. Il rischio di disallineamento non è ipotetico: è già realizzato.</w:t>
      </w:r>
    </w:p>
    <w:p>
      <w:pPr>
        <w:pStyle w:val="Heading2"/>
      </w:pPr>
      <w:r>
        <w:t>Integrazione con ANPR e con ANSC</w:t>
      </w:r>
    </w:p>
    <w:p>
      <w:pPr>
        <w:jc w:val="both"/>
      </w:pPr>
      <w:r>
        <w:t>Il confronto fra le due integrazioni misura la distanza da colmare.</w:t>
      </w:r>
    </w:p>
    <w:p>
      <w:pPr>
        <w:jc w:val="both"/>
      </w:pPr>
      <w:r>
        <w:t>Verso ANPR l’integrazione è matura ed estesa: client SOAP con WS-Security e firma X.509, endpoint distinti per ambiente (ws.anpr.interno.it in produzione, wspre e wstest per preproduzione e test), copertura dei servizi di iscrizione, cancellazione, consultazione, estrazione, mutazione, certificazione e subentro, ricezione delle notifiche e allineamento bidirezionale.</w:t>
      </w:r>
    </w:p>
    <w:p>
      <w:pPr>
        <w:jc w:val="both"/>
      </w:pPr>
      <w:r>
        <w:t>Verso ANSC non esiste alcuna integrazione. La ricerca sui 125 moduli non ha prodotto alcuna occorrenza di anscservice, ansc.interno, AnscClient, R901, dei codici servizio R001-R024 né del frammento config/decodifica. I riscontri iniziali sui codici R002 e R005 sono risultati omonimie interne alle stringhe ERR002 ed ERR005, ossia codici di errore. Gli host esterni configurati nelle properties sono indirizzi IP interni.</w:t>
      </w:r>
    </w:p>
    <w:p>
      <w:pPr>
        <w:jc w:val="both"/>
      </w:pPr>
      <w:r>
        <w:t>ANSC è presente esclusivamente come dato. L’identificativo idAttoAnsc compare in 559 file; esiste un’etichetta di interfaccia label.idAttoAnsc; la classe UtilityANSC dello strato di presentazione esegue validazioni puramente locali (validaIdAttoAnsc, validaAnno, validaProgressivo, validaIstatComune) e non importa alcun client HTTP; la classe AttoAnscBL scompone l’identificativo per posizione e lo valida contro le tabelle locali.</w:t>
      </w:r>
    </w:p>
    <w:p>
      <w:pPr>
        <w:jc w:val="both"/>
      </w:pPr>
      <w:r>
        <w:t>Il flusso effettivo è dunque il seguente: l’operatore digita manualmente l’identificativo dell’atto ANSC, SIPO ne verifica la sintassi in locale e lo memorizza. Non esiste dialogo con la piattaforma ANSC. L’unico punto in cui l’atto ANSC transita è all’interno dei messaggi ANPR, mediante un tipo TipoAttoANSC generato dall’XSD di ANPR.</w:t>
      </w:r>
    </w:p>
    <w:p>
      <w:pPr>
        <w:jc w:val="both"/>
      </w:pPr>
      <w:r>
        <w:t>Il punto aperto PA-04 si chiude pertanto in senso negativo: l’intervento è una realizzazione ex novo e non un consolidamento. La specifica OpenAPI è disponibile [R3] ma non è mai stata implementata.</w:t>
      </w:r>
    </w:p>
    <w:p>
      <w:pPr>
        <w:pStyle w:val="Heading2"/>
      </w:pPr>
      <w:r>
        <w:t>Confronto di dettaglio: lo stato civile</w:t>
      </w:r>
    </w:p>
    <w:p>
      <w:pPr>
        <w:jc w:val="both"/>
      </w:pPr>
      <w:r>
        <w:t>Il confronto diretto fra una decodifica SIPO e la corrispondente decodifica ANSC fornisce la misura concreta del divario. Si assume a campione lo stato civile. La scelta non è arbitraria: come documentato al § 4.6, è uno dei pochi casi in cui il raffronto è materialmente eseguibile, poiché CONF_STATO_CIVILE risiede — per ragioni storiche — nello schema ANAG_USR, l’unico per il quale siano disponibili i dati [R9].</w:t>
      </w:r>
    </w:p>
    <w:p>
      <w:pPr>
        <w:jc w:val="both"/>
      </w:pPr>
      <w:r>
        <w:t>Il § 3.5.1 ha però accertato che ANSC espone due distinti vocabolari dello stato civile. Il confronto va pertanto condotto verso entrambi, e l’esito differisce in modo sostanziale.</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r>
              <w:rPr>
                <w:b/>
              </w:rPr>
              <w:t>Codice</w:t>
            </w:r>
          </w:p>
        </w:tc>
        <w:tc>
          <w:tcPr>
            <w:tcW w:type="dxa" w:w="2340"/>
          </w:tcPr>
          <w:p>
            <w:r/>
            <w:r>
              <w:rPr>
                <w:b/>
              </w:rPr>
              <w:t>SIPO – CONF_STATO_CIVILE</w:t>
            </w:r>
          </w:p>
        </w:tc>
        <w:tc>
          <w:tcPr>
            <w:tcW w:type="dxa" w:w="2340"/>
          </w:tcPr>
          <w:p>
            <w:r/>
            <w:r>
              <w:rPr>
                <w:b/>
              </w:rPr>
              <w:t>ANSC 61 (dal 2000)</w:t>
            </w:r>
          </w:p>
        </w:tc>
        <w:tc>
          <w:tcPr>
            <w:tcW w:type="dxa" w:w="2340"/>
          </w:tcPr>
          <w:p>
            <w:r/>
            <w:r>
              <w:rPr>
                <w:b/>
              </w:rPr>
              <w:t>ANSC 168 (dal 04/12/2025)</w:t>
            </w:r>
          </w:p>
        </w:tc>
      </w:tr>
      <w:tr>
        <w:tc>
          <w:tcPr>
            <w:tcW w:type="dxa" w:w="2340"/>
          </w:tcPr>
          <w:p>
            <w:r/>
            <w:r>
              <w:t>1</w:t>
            </w:r>
          </w:p>
        </w:tc>
        <w:tc>
          <w:tcPr>
            <w:tcW w:type="dxa" w:w="2340"/>
          </w:tcPr>
          <w:p>
            <w:r/>
            <w:r>
              <w:t>Celibe/Nubile</w:t>
            </w:r>
          </w:p>
        </w:tc>
        <w:tc>
          <w:tcPr>
            <w:tcW w:type="dxa" w:w="2340"/>
          </w:tcPr>
          <w:p>
            <w:r/>
            <w:r>
              <w:t>Celibe/Nubile ✓</w:t>
            </w:r>
          </w:p>
        </w:tc>
        <w:tc>
          <w:tcPr>
            <w:tcW w:type="dxa" w:w="2340"/>
          </w:tcPr>
          <w:p>
            <w:r/>
            <w:r>
              <w:t>Celibe/Nubile ✓</w:t>
            </w:r>
          </w:p>
        </w:tc>
      </w:tr>
      <w:tr>
        <w:tc>
          <w:tcPr>
            <w:tcW w:type="dxa" w:w="2340"/>
          </w:tcPr>
          <w:p>
            <w:r/>
            <w:r>
              <w:t>2</w:t>
            </w:r>
          </w:p>
        </w:tc>
        <w:tc>
          <w:tcPr>
            <w:tcW w:type="dxa" w:w="2340"/>
          </w:tcPr>
          <w:p>
            <w:r/>
            <w:r>
              <w:t>Sposato/a</w:t>
            </w:r>
          </w:p>
        </w:tc>
        <w:tc>
          <w:tcPr>
            <w:tcW w:type="dxa" w:w="2340"/>
          </w:tcPr>
          <w:p>
            <w:r/>
            <w:r>
              <w:t>Coniugato ✗</w:t>
            </w:r>
          </w:p>
        </w:tc>
        <w:tc>
          <w:tcPr>
            <w:tcW w:type="dxa" w:w="2340"/>
          </w:tcPr>
          <w:p>
            <w:r/>
            <w:r>
              <w:t>Coniugato/a ✗</w:t>
            </w:r>
          </w:p>
        </w:tc>
      </w:tr>
      <w:tr>
        <w:tc>
          <w:tcPr>
            <w:tcW w:type="dxa" w:w="2340"/>
          </w:tcPr>
          <w:p>
            <w:r/>
            <w:r>
              <w:t>3</w:t>
            </w:r>
          </w:p>
        </w:tc>
        <w:tc>
          <w:tcPr>
            <w:tcW w:type="dxa" w:w="2340"/>
          </w:tcPr>
          <w:p>
            <w:r/>
            <w:r>
              <w:t>Vedovo/a</w:t>
            </w:r>
          </w:p>
        </w:tc>
        <w:tc>
          <w:tcPr>
            <w:tcW w:type="dxa" w:w="2340"/>
          </w:tcPr>
          <w:p>
            <w:r/>
            <w:r>
              <w:t>Vedovo ✗</w:t>
            </w:r>
          </w:p>
        </w:tc>
        <w:tc>
          <w:tcPr>
            <w:tcW w:type="dxa" w:w="2340"/>
          </w:tcPr>
          <w:p>
            <w:r/>
            <w:r>
              <w:t>Vedovo/a ✓</w:t>
            </w:r>
          </w:p>
        </w:tc>
      </w:tr>
      <w:tr>
        <w:tc>
          <w:tcPr>
            <w:tcW w:type="dxa" w:w="2340"/>
          </w:tcPr>
          <w:p>
            <w:r/>
            <w:r>
              <w:t>4</w:t>
            </w:r>
          </w:p>
        </w:tc>
        <w:tc>
          <w:tcPr>
            <w:tcW w:type="dxa" w:w="2340"/>
          </w:tcPr>
          <w:p>
            <w:r/>
            <w:r>
              <w:t>Divorziato/a</w:t>
            </w:r>
          </w:p>
        </w:tc>
        <w:tc>
          <w:tcPr>
            <w:tcW w:type="dxa" w:w="2340"/>
          </w:tcPr>
          <w:p>
            <w:r/>
            <w:r>
              <w:t>Divorziato ✗</w:t>
            </w:r>
          </w:p>
        </w:tc>
        <w:tc>
          <w:tcPr>
            <w:tcW w:type="dxa" w:w="2340"/>
          </w:tcPr>
          <w:p>
            <w:r/>
            <w:r>
              <w:t>Divorziato/a ✓</w:t>
            </w:r>
          </w:p>
        </w:tc>
      </w:tr>
      <w:tr>
        <w:tc>
          <w:tcPr>
            <w:tcW w:type="dxa" w:w="2340"/>
          </w:tcPr>
          <w:p>
            <w:r/>
            <w:r>
              <w:t>5</w:t>
            </w:r>
          </w:p>
        </w:tc>
        <w:tc>
          <w:tcPr>
            <w:tcW w:type="dxa" w:w="2340"/>
          </w:tcPr>
          <w:p>
            <w:r/>
            <w:r>
              <w:t>— assente —</w:t>
            </w:r>
          </w:p>
        </w:tc>
        <w:tc>
          <w:tcPr>
            <w:tcW w:type="dxa" w:w="2340"/>
          </w:tcPr>
          <w:p>
            <w:r/>
            <w:r>
              <w:t>— assente —</w:t>
            </w:r>
          </w:p>
        </w:tc>
        <w:tc>
          <w:tcPr>
            <w:tcW w:type="dxa" w:w="2340"/>
          </w:tcPr>
          <w:p>
            <w:r/>
            <w:r>
              <w:t>Separato/a legalmente ✗</w:t>
            </w:r>
          </w:p>
        </w:tc>
      </w:tr>
      <w:tr>
        <w:tc>
          <w:tcPr>
            <w:tcW w:type="dxa" w:w="2340"/>
          </w:tcPr>
          <w:p>
            <w:r/>
            <w:r>
              <w:t>6</w:t>
            </w:r>
          </w:p>
        </w:tc>
        <w:tc>
          <w:tcPr>
            <w:tcW w:type="dxa" w:w="2340"/>
          </w:tcPr>
          <w:p>
            <w:r/>
            <w:r>
              <w:t>Unito civilmente</w:t>
            </w:r>
          </w:p>
        </w:tc>
        <w:tc>
          <w:tcPr>
            <w:tcW w:type="dxa" w:w="2340"/>
          </w:tcPr>
          <w:p>
            <w:r/>
            <w:r>
              <w:t>Unito civilmente ✓</w:t>
            </w:r>
          </w:p>
        </w:tc>
        <w:tc>
          <w:tcPr>
            <w:tcW w:type="dxa" w:w="2340"/>
          </w:tcPr>
          <w:p>
            <w:r/>
            <w:r>
              <w:t>Unito civilmente ✓</w:t>
            </w:r>
          </w:p>
        </w:tc>
      </w:tr>
      <w:tr>
        <w:tc>
          <w:tcPr>
            <w:tcW w:type="dxa" w:w="2340"/>
          </w:tcPr>
          <w:p>
            <w:r/>
            <w:r>
              <w:t>7</w:t>
            </w:r>
          </w:p>
        </w:tc>
        <w:tc>
          <w:tcPr>
            <w:tcW w:type="dxa" w:w="2340"/>
          </w:tcPr>
          <w:p>
            <w:r/>
            <w:r>
              <w:t>Stato libero (decesso parte unita civilmente)</w:t>
            </w:r>
          </w:p>
        </w:tc>
        <w:tc>
          <w:tcPr>
            <w:tcW w:type="dxa" w:w="2340"/>
          </w:tcPr>
          <w:p>
            <w:r/>
            <w:r>
              <w:t>identica ✓</w:t>
            </w:r>
          </w:p>
        </w:tc>
        <w:tc>
          <w:tcPr>
            <w:tcW w:type="dxa" w:w="2340"/>
          </w:tcPr>
          <w:p>
            <w:r/>
            <w:r>
              <w:t>identica ✓</w:t>
            </w:r>
          </w:p>
        </w:tc>
      </w:tr>
      <w:tr>
        <w:tc>
          <w:tcPr>
            <w:tcW w:type="dxa" w:w="2340"/>
          </w:tcPr>
          <w:p>
            <w:r/>
            <w:r>
              <w:t>8</w:t>
            </w:r>
          </w:p>
        </w:tc>
        <w:tc>
          <w:tcPr>
            <w:tcW w:type="dxa" w:w="2340"/>
          </w:tcPr>
          <w:p>
            <w:r/>
            <w:r>
              <w:t>Stato libero (scioglimento unione)</w:t>
            </w:r>
          </w:p>
        </w:tc>
        <w:tc>
          <w:tcPr>
            <w:tcW w:type="dxa" w:w="2340"/>
          </w:tcPr>
          <w:p>
            <w:r/>
            <w:r>
              <w:t>identica ✓</w:t>
            </w:r>
          </w:p>
        </w:tc>
        <w:tc>
          <w:tcPr>
            <w:tcW w:type="dxa" w:w="2340"/>
          </w:tcPr>
          <w:p>
            <w:r/>
            <w:r>
              <w:t>identica ✓</w:t>
            </w:r>
          </w:p>
        </w:tc>
      </w:tr>
      <w:tr>
        <w:tc>
          <w:tcPr>
            <w:tcW w:type="dxa" w:w="2340"/>
          </w:tcPr>
          <w:p>
            <w:r/>
            <w:r>
              <w:t>9</w:t>
            </w:r>
          </w:p>
        </w:tc>
        <w:tc>
          <w:tcPr>
            <w:tcW w:type="dxa" w:w="2340"/>
          </w:tcPr>
          <w:p>
            <w:r/>
            <w:r>
              <w:t>Non classificabile/ignoto/n.c</w:t>
            </w:r>
          </w:p>
        </w:tc>
        <w:tc>
          <w:tcPr>
            <w:tcW w:type="dxa" w:w="2340"/>
          </w:tcPr>
          <w:p>
            <w:r/>
            <w:r>
              <w:t>identica ✓</w:t>
            </w:r>
          </w:p>
        </w:tc>
        <w:tc>
          <w:tcPr>
            <w:tcW w:type="dxa" w:w="2340"/>
          </w:tcPr>
          <w:p>
            <w:r/>
            <w:r>
              <w:t>identica ✓</w:t>
            </w:r>
          </w:p>
        </w:tc>
      </w:tr>
      <w:tr>
        <w:tc>
          <w:tcPr>
            <w:tcW w:type="dxa" w:w="2340"/>
          </w:tcPr>
          <w:p>
            <w:r/>
            <w:r/>
          </w:p>
        </w:tc>
        <w:tc>
          <w:tcPr>
            <w:tcW w:type="dxa" w:w="2340"/>
          </w:tcPr>
          <w:p>
            <w:r/>
            <w:r>
              <w:t>TOTALE DIVERGENZE</w:t>
            </w:r>
          </w:p>
        </w:tc>
        <w:tc>
          <w:tcPr>
            <w:tcW w:type="dxa" w:w="2340"/>
          </w:tcPr>
          <w:p>
            <w:r/>
            <w:r>
              <w:t>3 su 8</w:t>
            </w:r>
          </w:p>
        </w:tc>
        <w:tc>
          <w:tcPr>
            <w:tcW w:type="dxa" w:w="2340"/>
          </w:tcPr>
          <w:p>
            <w:r/>
            <w:r>
              <w:t>1 su 8, più un codice mancante</w:t>
            </w:r>
          </w:p>
        </w:tc>
      </w:tr>
    </w:tbl>
    <w:p>
      <w:pPr>
        <w:pStyle w:val="Caption"/>
      </w:pPr>
      <w:r>
        <w:t>Tabella 10 – Confronto dello stato civile: SIPO verso entrambi i vocabolari ANSC (fonti: [R9] e [R1])</w:t>
      </w:r>
    </w:p>
    <w:p>
      <w:pPr>
        <w:jc w:val="both"/>
      </w:pPr>
      <w:r>
        <w:t>Rispetto alla decodifica 61 le divergenze sono tre: SIPO adotta le forme flesse «Vedovo/a» e «Divorziato/a» dove la 61 impiega le forme maschili, ed espone «Sposato/a» dove la 61 espone «Coniugato».</w:t>
      </w:r>
    </w:p>
    <w:p>
      <w:pPr>
        <w:jc w:val="both"/>
      </w:pPr>
      <w:r>
        <w:t>Rispetto alla decodifica 168 le divergenze si riducono a una sola. La 168 adotta le medesime forme flesse di SIPO — «Vedovo/a», «Divorziato/a» — sicché due delle tre divergenze rilevate verso la 61 vengono meno. Permane la sola difformità sul codice 2: SIPO espone «Sposato/a», ANSC «Coniugato/a». La 168 introduce per contro il codice 5, «Separato/a legalmente», che SIPO non prevede.</w:t>
      </w:r>
    </w:p>
    <w:p>
      <w:pPr>
        <w:jc w:val="both"/>
      </w:pPr>
      <w:r>
        <w:t>Si rettifica in questa sede un’affermazione della versione 0.2. Quest’ultima osservava che SIPO e ANSC omettessero entrambi il codice 5, inferendone una discendenza comune dei due vocabolari. L’osservazione è esatta rispetto alla decodifica 61, ma non rispetto alla 168, che il codice 5 lo prevede. L’inferenza va pertanto circoscritta: la coincidenza dell’insieme dei codici sussiste fra SIPO e la 61, non fra SIPO e la 168.</w:t>
      </w:r>
    </w:p>
    <w:p>
      <w:pPr>
        <w:jc w:val="both"/>
      </w:pPr>
      <w:r>
        <w:t>Resta fermo, e anzi si rafforza, l’esito favorevole di fondo: l’insieme dei codici è sostanzialmente allineato e le divergenze attengono alle sole descrizioni, non alla struttura del vocabolario. La convergenza è tecnicamente praticabile.</w:t>
      </w:r>
    </w:p>
    <w:p>
      <w:pPr>
        <w:jc w:val="both"/>
      </w:pPr>
      <w:r>
        <w:t>Resta parimenti ferma la cautela. Le descrizioni compaiono sui certificati emessi: la sostituzione indiscriminata delle descrizioni SIPO con quelle ANSC ne modificherebbe il testo. La convergenza non è operazione meramente tecnica.</w:t>
      </w:r>
    </w:p>
    <w:p>
      <w:pPr>
        <w:jc w:val="both"/>
      </w:pPr>
      <w:r>
        <w:t>Il § 3.5.1 aggiunge tuttavia un interrogativo preliminare, che la versione 0.2 non poteva porsi: prima di stabilire se adottare le descrizioni ANSC, occorre stabilire quale ANSC. La scelta fra i due vocabolari non è indifferente, poiché la 168 comporta l’introduzione di uno stato civile — il separato legalmente — che SIPO oggi non contempla, con riflessi che eccedono la mera denominazione.</w:t>
      </w:r>
    </w:p>
    <w:p>
      <w:pPr>
        <w:jc w:val="both"/>
      </w:pPr>
      <w:r>
        <w:t>[DA VERIFICARE: decisione in ordine al vocabolario ANSC di riferimento (61 ovvero 168) e alle descrizioni divergenti — se adottare quelle ANSC modificando il testo dei certificati, ovvero mantenere quelle SIPO introducendo una transcodifica. La scelta ha riflessi sugli atti emessi e non è tecnica. Cfr. PA-12.]</w:t>
      </w:r>
    </w:p>
    <w:p>
      <w:pPr>
        <w:pStyle w:val="Heading2"/>
      </w:pPr>
      <w:r>
        <w:t>Confronto strutturale esteso a tutte le decodifiche</w:t>
      </w:r>
    </w:p>
    <w:p>
      <w:pPr>
        <w:jc w:val="both"/>
      </w:pPr>
      <w:r>
        <w:t>Il presente paragrafo dà conto dell’esito del punto aperto PA-14 della versione 0.2, che richiedeva di estendere alle rimanenti decodifiche il confronto condotto sullo stato civile.</w:t>
      </w:r>
    </w:p>
    <w:p>
      <w:pPr>
        <w:pStyle w:val="Heading3"/>
      </w:pPr>
      <w:r>
        <w:t>Un limite preliminare: l’indisponibilità dei dati di stato civile</w:t>
      </w:r>
    </w:p>
    <w:p>
      <w:pPr>
        <w:jc w:val="both"/>
      </w:pPr>
      <w:r>
        <w:t>Il confronto delle descrizioni non è risultato eseguibile sull’intero perimetro, per una ragione strutturale che occorre esplicitare.</w:t>
      </w:r>
    </w:p>
    <w:p>
      <w:pPr>
        <w:jc w:val="both"/>
      </w:pPr>
      <w:r>
        <w:t>Il raffronto delle descrizioni presuppone la disponibilità dei dati su entrambi i lati. Le decodifiche ANSC recano i propri dati nei file CSV [R1]. Di SIPO, per contro, il workspace contiene i dati unicamente nell’export [R9], le cui 1.353 istruzioni INSERT insistono tutte, senza eccezione, sullo schema ANAG_USR. Per lo schema MATR_USR — ossia lo stato civile, che è il dominio proprio delle decodifiche ANSC — sono disponibili le sole strutture, censite mediante le entità JPA [R6], e non i dati.</w:t>
      </w:r>
    </w:p>
    <w:p>
      <w:pPr>
        <w:jc w:val="both"/>
      </w:pPr>
      <w:r>
        <w:t>Il confronto dello stato civile di cui al § 4.5 è stato possibile soltanto perché CONF_STATO_CIVILE risiede, per ragioni storiche, in ANAG_USR anziché in MATR_USR. Non è generalizzabile: le decodifiche di stato civile propriamente dette non dispongono, allo stato, di dati con cui raffrontarsi.</w:t>
      </w:r>
    </w:p>
    <w:p>
      <w:pPr>
        <w:jc w:val="both"/>
      </w:pPr>
      <w:r>
        <w:t>Il confronto delle descrizioni sull’intero perimetro resta pertanto da eseguire e richiede un estratto dei dati di MATR_USR. PA-14 è riformulato in tal senso.</w:t>
      </w:r>
    </w:p>
    <w:p>
      <w:pPr>
        <w:pStyle w:val="Heading3"/>
      </w:pPr>
      <w:r>
        <w:t>Esito del confronto strutturale</w:t>
      </w:r>
    </w:p>
    <w:p>
      <w:pPr>
        <w:jc w:val="both"/>
      </w:pPr>
      <w:r>
        <w:t>È stato nondimeno condotto un confronto strutturale, che non raffronta le descrizioni ma accerta se ciascuna decodifica ANSC disponga di una controparte in SIPO. Le 145 decodifiche [R1] sono state raffrontate con le 322 tabelle CONF_ censite sulle entità JPA [R6], previa normalizzazione dei nomi.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Esito</w:t>
            </w:r>
          </w:p>
        </w:tc>
        <w:tc>
          <w:tcPr>
            <w:tcW w:type="dxa" w:w="3120"/>
          </w:tcPr>
          <w:p>
            <w:r/>
            <w:r>
              <w:rPr>
                <w:b/>
              </w:rPr>
              <w:t>N. decodifiche</w:t>
            </w:r>
          </w:p>
        </w:tc>
        <w:tc>
          <w:tcPr>
            <w:tcW w:type="dxa" w:w="3120"/>
          </w:tcPr>
          <w:p>
            <w:r/>
            <w:r>
              <w:rPr>
                <w:b/>
              </w:rPr>
              <w:t>Quota</w:t>
            </w:r>
          </w:p>
        </w:tc>
      </w:tr>
      <w:tr>
        <w:tc>
          <w:tcPr>
            <w:tcW w:type="dxa" w:w="3120"/>
          </w:tcPr>
          <w:p>
            <w:r/>
            <w:r>
              <w:t>Corrispondenza di nome esatta</w:t>
            </w:r>
          </w:p>
        </w:tc>
        <w:tc>
          <w:tcPr>
            <w:tcW w:type="dxa" w:w="3120"/>
          </w:tcPr>
          <w:p>
            <w:r/>
            <w:r>
              <w:t>11</w:t>
            </w:r>
          </w:p>
        </w:tc>
        <w:tc>
          <w:tcPr>
            <w:tcW w:type="dxa" w:w="3120"/>
          </w:tcPr>
          <w:p>
            <w:r/>
            <w:r>
              <w:t>8%</w:t>
            </w:r>
          </w:p>
        </w:tc>
      </w:tr>
      <w:tr>
        <w:tc>
          <w:tcPr>
            <w:tcW w:type="dxa" w:w="3120"/>
          </w:tcPr>
          <w:p>
            <w:r/>
            <w:r>
              <w:t>Corrispondenza parziale (da validare)</w:t>
            </w:r>
          </w:p>
        </w:tc>
        <w:tc>
          <w:tcPr>
            <w:tcW w:type="dxa" w:w="3120"/>
          </w:tcPr>
          <w:p>
            <w:r/>
            <w:r>
              <w:t>17</w:t>
            </w:r>
          </w:p>
        </w:tc>
        <w:tc>
          <w:tcPr>
            <w:tcW w:type="dxa" w:w="3120"/>
          </w:tcPr>
          <w:p>
            <w:r/>
            <w:r>
              <w:t>12%</w:t>
            </w:r>
          </w:p>
        </w:tc>
      </w:tr>
      <w:tr>
        <w:tc>
          <w:tcPr>
            <w:tcW w:type="dxa" w:w="3120"/>
          </w:tcPr>
          <w:p>
            <w:r/>
            <w:r>
              <w:t>Nessuna controparte in SIPO</w:t>
            </w:r>
          </w:p>
        </w:tc>
        <w:tc>
          <w:tcPr>
            <w:tcW w:type="dxa" w:w="3120"/>
          </w:tcPr>
          <w:p>
            <w:r/>
            <w:r>
              <w:t>117</w:t>
            </w:r>
          </w:p>
        </w:tc>
        <w:tc>
          <w:tcPr>
            <w:tcW w:type="dxa" w:w="3120"/>
          </w:tcPr>
          <w:p>
            <w:r/>
            <w:r>
              <w:t>81%</w:t>
            </w:r>
          </w:p>
        </w:tc>
      </w:tr>
      <w:tr>
        <w:tc>
          <w:tcPr>
            <w:tcW w:type="dxa" w:w="3120"/>
          </w:tcPr>
          <w:p>
            <w:r/>
            <w:r>
              <w:t>Totale</w:t>
            </w:r>
          </w:p>
        </w:tc>
        <w:tc>
          <w:tcPr>
            <w:tcW w:type="dxa" w:w="3120"/>
          </w:tcPr>
          <w:p>
            <w:r/>
            <w:r>
              <w:t>145</w:t>
            </w:r>
          </w:p>
        </w:tc>
        <w:tc>
          <w:tcPr>
            <w:tcW w:type="dxa" w:w="3120"/>
          </w:tcPr>
          <w:p>
            <w:r/>
            <w:r>
              <w:t>100%</w:t>
            </w:r>
          </w:p>
        </w:tc>
      </w:tr>
    </w:tbl>
    <w:p>
      <w:pPr>
        <w:pStyle w:val="Caption"/>
      </w:pPr>
      <w:r>
        <w:t>Tabella 11 – Copertura strutturale delle decodifiche ANSC in SIPO (fonti: [R1], [R6])</w:t>
      </w:r>
    </w:p>
    <w:p>
      <w:pPr>
        <w:jc w:val="both"/>
      </w:pPr>
      <w:r>
        <w:t>L’esito è netto: i due vocabolari sono in larga parte disgiunti. L’81% delle decodifiche ANSC non trova alcuna corrispondenza in SIPO, nemmeno di denominazione. Fra queste figurano le due più estese dell’intero corpus, 3_dec_use_case con 377 voci e 97_dec_consolato con 243.</w:t>
      </w:r>
    </w:p>
    <w:p>
      <w:pPr>
        <w:jc w:val="both"/>
      </w:pPr>
      <w:r>
        <w:t>La circostanza qualifica la natura dell’intervento. Non si tratta prevalentemente di riconciliare due vocabolari sovrapposti, bensì di introdurne uno in larga misura nuovo. Ciò è coerente con quanto accertato al § 4.4: SIPO non dialoga con ANSC e non ne ha mai importato il vocabolario.</w:t>
      </w:r>
    </w:p>
    <w:p>
      <w:pPr>
        <w:jc w:val="both"/>
      </w:pPr>
      <w:r>
        <w:t>Le 11 corrispondenze esatte riguardano dec_stato_civile, dec_tipo_allegato, dec_certificabilita, dec_tipo_consenso, dec_luogo_decesso, dec_tipo_documento, dec_ruolo_vittima, dec_stato_gravidanza, dec_tipo_cittadinanza, dec_genere_parto e la seconda decodifica di stato civile (168).</w:t>
      </w:r>
    </w:p>
    <w:p>
      <w:pPr>
        <w:pStyle w:val="Heading3"/>
      </w:pPr>
      <w:r>
        <w:t>Due avvertenze metodologiche sul confronto per nome</w:t>
      </w:r>
    </w:p>
    <w:p>
      <w:pPr>
        <w:jc w:val="both"/>
      </w:pPr>
      <w:r>
        <w:t>L’accoppiamento per nome è indiziario e non probatorio. Due riscontri lo dimostrano e impongono che le 17 corrispondenze parziali siano validate una a una, non assunte per buone.</w:t>
      </w:r>
    </w:p>
    <w:p>
      <w:pPr>
        <w:jc w:val="both"/>
      </w:pPr>
      <w:r>
        <w:t>Il primo: nomi simili possono designare concetti diversi. La decodifica 136_dec_tipo_sentenza_adozione risulta accoppiata a CONF_TIPO_SENTENZA, ma la prima enumera fattispecie quali «Sentenza straniera immediatamente riconosciuta» mentre la seconda reca voci quali «PATRIMONIALE»: sono tabelle differenti che condividono parte della denominazione. Analogamente per 76_dec_tipo_mutazione e CONF_TIPO_MUTAZIONE_FAMIGLIA.</w:t>
      </w:r>
    </w:p>
    <w:p>
      <w:pPr>
        <w:jc w:val="both"/>
      </w:pPr>
      <w:r>
        <w:t>Il secondo, di maggior gravità: nomi identici e codici identici possono designare concetti diversi. La decodifica 29_dec_certificabilita e la tabella CONF_CERTIFICABILITA condividono la denominazione e l’insieme dei codici, ma non la semantica.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Codice</w:t>
            </w:r>
          </w:p>
        </w:tc>
        <w:tc>
          <w:tcPr>
            <w:tcW w:type="dxa" w:w="3120"/>
          </w:tcPr>
          <w:p>
            <w:r/>
            <w:r>
              <w:rPr>
                <w:b/>
              </w:rPr>
              <w:t>ANSC – 29_dec_certificabilita</w:t>
            </w:r>
          </w:p>
        </w:tc>
        <w:tc>
          <w:tcPr>
            <w:tcW w:type="dxa" w:w="3120"/>
          </w:tcPr>
          <w:p>
            <w:r/>
            <w:r>
              <w:rPr>
                <w:b/>
              </w:rPr>
              <w:t>SIPO – CONF_CERTIFICABILITA</w:t>
            </w:r>
          </w:p>
        </w:tc>
      </w:tr>
      <w:tr>
        <w:tc>
          <w:tcPr>
            <w:tcW w:type="dxa" w:w="3120"/>
          </w:tcPr>
          <w:p>
            <w:r/>
            <w:r>
              <w:t>1</w:t>
            </w:r>
          </w:p>
        </w:tc>
        <w:tc>
          <w:tcPr>
            <w:tcW w:type="dxa" w:w="3120"/>
          </w:tcPr>
          <w:p>
            <w:r/>
            <w:r>
              <w:t>Certificabile</w:t>
            </w:r>
          </w:p>
        </w:tc>
        <w:tc>
          <w:tcPr>
            <w:tcW w:type="dxa" w:w="3120"/>
          </w:tcPr>
          <w:p>
            <w:r/>
            <w:r>
              <w:t>CERTIFICABILITÀ PARZIALE (SOLO RESIDENZA E STATO DI FAMIGLIA)</w:t>
            </w:r>
          </w:p>
        </w:tc>
      </w:tr>
      <w:tr>
        <w:tc>
          <w:tcPr>
            <w:tcW w:type="dxa" w:w="3120"/>
          </w:tcPr>
          <w:p>
            <w:r/>
            <w:r>
              <w:t>2</w:t>
            </w:r>
          </w:p>
        </w:tc>
        <w:tc>
          <w:tcPr>
            <w:tcW w:type="dxa" w:w="3120"/>
          </w:tcPr>
          <w:p>
            <w:r/>
            <w:r>
              <w:t>Parzialmente certificabile</w:t>
            </w:r>
          </w:p>
        </w:tc>
        <w:tc>
          <w:tcPr>
            <w:tcW w:type="dxa" w:w="3120"/>
          </w:tcPr>
          <w:p>
            <w:r/>
            <w:r>
              <w:t>CERTIFICABILITÀ COMPLETA</w:t>
            </w:r>
          </w:p>
        </w:tc>
      </w:tr>
    </w:tbl>
    <w:p>
      <w:pPr>
        <w:pStyle w:val="Caption"/>
      </w:pPr>
      <w:r>
        <w:t>Tabella 12 – Collisione semantica fra decodifiche omonime (fonti: [R1], [R9])</w:t>
      </w:r>
    </w:p>
    <w:p>
      <w:pPr>
        <w:jc w:val="both"/>
      </w:pPr>
      <w:r>
        <w:t>Il codice 1 designa in ANSC la certificabilità piena e in SIPO quella parziale: i due vocabolari sono, su questa tabella, sostanzialmente invertiti. Una migrazione condotta sull’assunto della corrispondenza dei codici produrrebbe qui un esito errato, e nessun controllo automatico di tipo o di dominio la segnalerebbe, poiché i codici sono formalmente validi da entrambe le parti. È l’argomento più stringente a favore dell’entità di transcodifica di cui al § 8.2.</w:t>
      </w:r>
    </w:p>
    <w:p>
      <w:pPr>
        <w:jc w:val="both"/>
      </w:pPr>
      <w:r>
        <w:t>[DA VERIFICARE: validazione puntuale delle 17 corrispondenze parziali e verifica di eventuali ulteriori collisioni semantiche fra le 11 corrispondenze esatte. L’accertamento richiede competenza di dominio e non è automatizzabile.]</w:t>
      </w:r>
    </w:p>
    <w:p>
      <w:pPr>
        <w:pStyle w:val="Heading2"/>
      </w:pPr>
      <w:r>
        <w:t>Vincoli derivanti dal sistema consumatore</w:t>
      </w:r>
    </w:p>
    <w:p>
      <w:pPr>
        <w:jc w:val="both"/>
      </w:pPr>
      <w:r>
        <w:t>Le evidenze del presente capitolo si traducono nei vincoli seguenti, che i § 6 e § 7 assumono.</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Vincolo</w:t>
            </w:r>
          </w:p>
        </w:tc>
        <w:tc>
          <w:tcPr>
            <w:tcW w:type="dxa" w:w="3120"/>
          </w:tcPr>
          <w:p>
            <w:r/>
            <w:r>
              <w:rPr>
                <w:b/>
              </w:rPr>
              <w:t>Evidenza</w:t>
            </w:r>
          </w:p>
        </w:tc>
      </w:tr>
      <w:tr>
        <w:tc>
          <w:tcPr>
            <w:tcW w:type="dxa" w:w="3120"/>
          </w:tcPr>
          <w:p>
            <w:r/>
            <w:r>
              <w:t>V-01</w:t>
            </w:r>
          </w:p>
        </w:tc>
        <w:tc>
          <w:tcPr>
            <w:tcW w:type="dxa" w:w="3120"/>
          </w:tcPr>
          <w:p>
            <w:r/>
            <w:r>
              <w:t>L’archivio canonico deve essere Oracle: PostgreSQL non è in uso presso SIPO.</w:t>
            </w:r>
          </w:p>
        </w:tc>
        <w:tc>
          <w:tcPr>
            <w:tcW w:type="dxa" w:w="3120"/>
          </w:tcPr>
          <w:p>
            <w:r/>
            <w:r>
              <w:t>§ 4.2 — 93 datasource Oracle, zero occorrenze di PostgreSQL</w:t>
            </w:r>
          </w:p>
        </w:tc>
      </w:tr>
      <w:tr>
        <w:tc>
          <w:tcPr>
            <w:tcW w:type="dxa" w:w="3120"/>
          </w:tcPr>
          <w:p>
            <w:r/>
            <w:r>
              <w:t>V-02</w:t>
            </w:r>
          </w:p>
        </w:tc>
        <w:tc>
          <w:tcPr>
            <w:tcW w:type="dxa" w:w="3120"/>
          </w:tcPr>
          <w:p>
            <w:r/>
            <w:r>
              <w:t>Non è disponibile un registro di artefatti: le dipendenze si risolvono per clonazione Git in fase di build.</w:t>
            </w:r>
          </w:p>
        </w:tc>
        <w:tc>
          <w:tcPr>
            <w:tcW w:type="dxa" w:w="3120"/>
          </w:tcPr>
          <w:p>
            <w:r/>
            <w:r>
              <w:t>§ 4.2</w:t>
            </w:r>
          </w:p>
        </w:tc>
      </w:tr>
      <w:tr>
        <w:tc>
          <w:tcPr>
            <w:tcW w:type="dxa" w:w="3120"/>
          </w:tcPr>
          <w:p>
            <w:r/>
            <w:r>
              <w:t>V-03</w:t>
            </w:r>
          </w:p>
        </w:tc>
        <w:tc>
          <w:tcPr>
            <w:tcW w:type="dxa" w:w="3120"/>
          </w:tcPr>
          <w:p>
            <w:r/>
            <w:r>
              <w:t>I consumatori sono 88 moduli Java (53 back-end, 35 front-end), tutti ricompilabili, più un sottosistema .NET non ricompilabile agevolmente.</w:t>
            </w:r>
          </w:p>
        </w:tc>
        <w:tc>
          <w:tcPr>
            <w:tcW w:type="dxa" w:w="3120"/>
          </w:tcPr>
          <w:p>
            <w:r/>
            <w:r>
              <w:t>§ 4.1, [R8]</w:t>
            </w:r>
          </w:p>
        </w:tc>
      </w:tr>
      <w:tr>
        <w:tc>
          <w:tcPr>
            <w:tcW w:type="dxa" w:w="3120"/>
          </w:tcPr>
          <w:p>
            <w:r/>
            <w:r>
              <w:t>V-04</w:t>
            </w:r>
          </w:p>
        </w:tc>
        <w:tc>
          <w:tcPr>
            <w:tcW w:type="dxa" w:w="3120"/>
          </w:tcPr>
          <w:p>
            <w:r/>
            <w:r>
              <w:t>Non esistono consumatori lato browser: la risoluzione è server-side.</w:t>
            </w:r>
          </w:p>
        </w:tc>
        <w:tc>
          <w:tcPr>
            <w:tcW w:type="dxa" w:w="3120"/>
          </w:tcPr>
          <w:p>
            <w:r/>
            <w:r>
              <w:t>§ 4.1</w:t>
            </w:r>
          </w:p>
        </w:tc>
      </w:tr>
      <w:tr>
        <w:tc>
          <w:tcPr>
            <w:tcW w:type="dxa" w:w="3120"/>
          </w:tcPr>
          <w:p>
            <w:r/>
            <w:r>
              <w:t>V-05</w:t>
            </w:r>
          </w:p>
        </w:tc>
        <w:tc>
          <w:tcPr>
            <w:tcW w:type="dxa" w:w="3120"/>
          </w:tcPr>
          <w:p>
            <w:r/>
            <w:r>
              <w:t>Non esiste alcuna cache: il servizio proposto non introduce regressioni.</w:t>
            </w:r>
          </w:p>
        </w:tc>
        <w:tc>
          <w:tcPr>
            <w:tcW w:type="dxa" w:w="3120"/>
          </w:tcPr>
          <w:p>
            <w:r/>
            <w:r>
              <w:t>§ 4.3</w:t>
            </w:r>
          </w:p>
        </w:tc>
      </w:tr>
      <w:tr>
        <w:tc>
          <w:tcPr>
            <w:tcW w:type="dxa" w:w="3120"/>
          </w:tcPr>
          <w:p>
            <w:r/>
            <w:r>
              <w:t>V-06</w:t>
            </w:r>
          </w:p>
        </w:tc>
        <w:tc>
          <w:tcPr>
            <w:tcW w:type="dxa" w:w="3120"/>
          </w:tcPr>
          <w:p>
            <w:r/>
            <w:r>
              <w:t>Esiste già un impianto di decodifiche (CONF_*, 372 tabelle) con cui la soluzione deve coesistere.</w:t>
            </w:r>
          </w:p>
        </w:tc>
        <w:tc>
          <w:tcPr>
            <w:tcW w:type="dxa" w:w="3120"/>
          </w:tcPr>
          <w:p>
            <w:r/>
            <w:r>
              <w:t>§ 4.3</w:t>
            </w:r>
          </w:p>
        </w:tc>
      </w:tr>
      <w:tr>
        <w:tc>
          <w:tcPr>
            <w:tcW w:type="dxa" w:w="3120"/>
          </w:tcPr>
          <w:p>
            <w:r/>
            <w:r>
              <w:t>V-07</w:t>
            </w:r>
          </w:p>
        </w:tc>
        <w:tc>
          <w:tcPr>
            <w:tcW w:type="dxa" w:w="3120"/>
          </w:tcPr>
          <w:p>
            <w:r/>
            <w:r>
              <w:t>Lo stack è fuori supporto (Spring Boot 2.1.2, gennaio 2019).</w:t>
            </w:r>
          </w:p>
        </w:tc>
        <w:tc>
          <w:tcPr>
            <w:tcW w:type="dxa" w:w="3120"/>
          </w:tcPr>
          <w:p>
            <w:r/>
            <w:r>
              <w:t>§ 4.1</w:t>
            </w:r>
          </w:p>
        </w:tc>
      </w:tr>
    </w:tbl>
    <w:p>
      <w:pPr>
        <w:pStyle w:val="Caption"/>
      </w:pPr>
      <w:r>
        <w:t>Tabella 13 – Vincoli derivanti dal sistema consumatore</w:t>
      </w:r>
    </w:p>
    <w:p>
      <w:r>
        <w:br w:type="page"/>
      </w:r>
    </w:p>
    <w:p>
      <w:pPr>
        <w:pStyle w:val="Heading1"/>
      </w:pPr>
      <w:r>
        <w:t>Requisiti della soluzione</w:t>
      </w:r>
    </w:p>
    <w:p>
      <w:pPr>
        <w:jc w:val="both"/>
      </w:pPr>
      <w:r>
        <w:t>I requisiti seguenti sono desunti dalle evidenze dei § 3 e § 4. Non sono stati elicitati presso gli stakeholder: il capitolo va inteso come proposta di requisiti da sottoporre a validazione.</w:t>
      </w:r>
    </w:p>
    <w:p>
      <w:pPr>
        <w:pStyle w:val="Heading2"/>
      </w:pPr>
      <w:r>
        <w:t>Requisiti funzionali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Requisito</w:t>
            </w:r>
          </w:p>
        </w:tc>
        <w:tc>
          <w:tcPr>
            <w:tcW w:type="dxa" w:w="3120"/>
          </w:tcPr>
          <w:p>
            <w:r/>
            <w:r>
              <w:rPr>
                <w:b/>
              </w:rPr>
              <w:t>Origine</w:t>
            </w:r>
          </w:p>
        </w:tc>
      </w:tr>
      <w:tr>
        <w:tc>
          <w:tcPr>
            <w:tcW w:type="dxa" w:w="3120"/>
          </w:tcPr>
          <w:p>
            <w:r/>
            <w:r>
              <w:t>RF-01</w:t>
            </w:r>
          </w:p>
        </w:tc>
        <w:tc>
          <w:tcPr>
            <w:tcW w:type="dxa" w:w="3120"/>
          </w:tcPr>
          <w:p>
            <w:r/>
            <w:r>
              <w:t>Il sistema deve risolvere un codice in descrizione per ciascuna delle 145 decodifiche ANSC.</w:t>
            </w:r>
          </w:p>
        </w:tc>
        <w:tc>
          <w:tcPr>
            <w:tcW w:type="dxa" w:w="3120"/>
          </w:tcPr>
          <w:p>
            <w:r/>
            <w:r>
              <w:t>§ 3.1</w:t>
            </w:r>
          </w:p>
        </w:tc>
      </w:tr>
      <w:tr>
        <w:tc>
          <w:tcPr>
            <w:tcW w:type="dxa" w:w="3120"/>
          </w:tcPr>
          <w:p>
            <w:r/>
            <w:r>
              <w:t>RF-02</w:t>
            </w:r>
          </w:p>
        </w:tc>
        <w:tc>
          <w:tcPr>
            <w:tcW w:type="dxa" w:w="3120"/>
          </w:tcPr>
          <w:p>
            <w:r/>
            <w:r>
              <w:t>Il sistema deve risolvere un codice rispetto a una data di riferimento, restituendo la voce vigente a tale data.</w:t>
            </w:r>
          </w:p>
        </w:tc>
        <w:tc>
          <w:tcPr>
            <w:tcW w:type="dxa" w:w="3120"/>
          </w:tcPr>
          <w:p>
            <w:r/>
            <w:r>
              <w:t>§ 3.2</w:t>
            </w:r>
          </w:p>
        </w:tc>
      </w:tr>
      <w:tr>
        <w:tc>
          <w:tcPr>
            <w:tcW w:type="dxa" w:w="3120"/>
          </w:tcPr>
          <w:p>
            <w:r/>
            <w:r>
              <w:t>RF-03</w:t>
            </w:r>
          </w:p>
        </w:tc>
        <w:tc>
          <w:tcPr>
            <w:tcW w:type="dxa" w:w="3120"/>
          </w:tcPr>
          <w:p>
            <w:r/>
            <w:r>
              <w:t>Il sistema deve mantenere la storia delle voci non più vigenti.</w:t>
            </w:r>
          </w:p>
        </w:tc>
        <w:tc>
          <w:tcPr>
            <w:tcW w:type="dxa" w:w="3120"/>
          </w:tcPr>
          <w:p>
            <w:r/>
            <w:r>
              <w:t>§ 3.2</w:t>
            </w:r>
          </w:p>
        </w:tc>
      </w:tr>
      <w:tr>
        <w:tc>
          <w:tcPr>
            <w:tcW w:type="dxa" w:w="3120"/>
          </w:tcPr>
          <w:p>
            <w:r/>
            <w:r>
              <w:t>RF-04</w:t>
            </w:r>
          </w:p>
        </w:tc>
        <w:tc>
          <w:tcPr>
            <w:tcW w:type="dxa" w:w="3120"/>
          </w:tcPr>
          <w:p>
            <w:r/>
            <w:r>
              <w:t>Il sistema deve sincronizzarsi con ANSC rilevando le variazioni tramite l’attributo versione esposto da R901.</w:t>
            </w:r>
          </w:p>
        </w:tc>
        <w:tc>
          <w:tcPr>
            <w:tcW w:type="dxa" w:w="3120"/>
          </w:tcPr>
          <w:p>
            <w:r/>
            <w:r>
              <w:t>§ 3.4</w:t>
            </w:r>
          </w:p>
        </w:tc>
      </w:tr>
      <w:tr>
        <w:tc>
          <w:tcPr>
            <w:tcW w:type="dxa" w:w="3120"/>
          </w:tcPr>
          <w:p>
            <w:r/>
            <w:r>
              <w:t>RF-05</w:t>
            </w:r>
          </w:p>
        </w:tc>
        <w:tc>
          <w:tcPr>
            <w:tcW w:type="dxa" w:w="3120"/>
          </w:tcPr>
          <w:p>
            <w:r/>
            <w:r>
              <w:t>Il sistema deve esporre l’elenco delle decodifiche disponibili con la relativa versione.</w:t>
            </w:r>
          </w:p>
        </w:tc>
        <w:tc>
          <w:tcPr>
            <w:tcW w:type="dxa" w:w="3120"/>
          </w:tcPr>
          <w:p>
            <w:r/>
            <w:r>
              <w:t>§ 3.4</w:t>
            </w:r>
          </w:p>
        </w:tc>
      </w:tr>
      <w:tr>
        <w:tc>
          <w:tcPr>
            <w:tcW w:type="dxa" w:w="3120"/>
          </w:tcPr>
          <w:p>
            <w:r/>
            <w:r>
              <w:t>RF-06</w:t>
            </w:r>
          </w:p>
        </w:tc>
        <w:tc>
          <w:tcPr>
            <w:tcW w:type="dxa" w:w="3120"/>
          </w:tcPr>
          <w:p>
            <w:r/>
            <w:r>
              <w:t>Il sistema deve consentire di determinare quale versione di ciascuna decodifica sia in uso presso ciascun consumatore.</w:t>
            </w:r>
          </w:p>
        </w:tc>
        <w:tc>
          <w:tcPr>
            <w:tcW w:type="dxa" w:w="3120"/>
          </w:tcPr>
          <w:p>
            <w:r/>
            <w:r>
              <w:t>§ 6.1</w:t>
            </w:r>
          </w:p>
        </w:tc>
      </w:tr>
      <w:tr>
        <w:tc>
          <w:tcPr>
            <w:tcW w:type="dxa" w:w="3120"/>
          </w:tcPr>
          <w:p>
            <w:r/>
            <w:r>
              <w:t>RF-07</w:t>
            </w:r>
          </w:p>
        </w:tc>
        <w:tc>
          <w:tcPr>
            <w:tcW w:type="dxa" w:w="3120"/>
          </w:tcPr>
          <w:p>
            <w:r/>
            <w:r>
              <w:t>Il sistema deve gestire gli attributi aggiuntivi (IDTIPOCONTENUTO, CODICECONSOLATO) senza uno schema dedicato per tabella.</w:t>
            </w:r>
          </w:p>
        </w:tc>
        <w:tc>
          <w:tcPr>
            <w:tcW w:type="dxa" w:w="3120"/>
          </w:tcPr>
          <w:p>
            <w:r/>
            <w:r>
              <w:t>§ 3.2</w:t>
            </w:r>
          </w:p>
        </w:tc>
      </w:tr>
      <w:tr>
        <w:tc>
          <w:tcPr>
            <w:tcW w:type="dxa" w:w="3120"/>
          </w:tcPr>
          <w:p>
            <w:r/>
            <w:r>
              <w:t>RF-08</w:t>
            </w:r>
          </w:p>
        </w:tc>
        <w:tc>
          <w:tcPr>
            <w:tcW w:type="dxa" w:w="3120"/>
          </w:tcPr>
          <w:p>
            <w:r/>
            <w:r>
              <w:t>Il sistema deve gestire le decodifiche prive di colonne temporali e le voci con date non valorizzate secondo una semantica definita.</w:t>
            </w:r>
          </w:p>
        </w:tc>
        <w:tc>
          <w:tcPr>
            <w:tcW w:type="dxa" w:w="3120"/>
          </w:tcPr>
          <w:p>
            <w:r/>
            <w:r>
              <w:t>§ 3.5</w:t>
            </w:r>
          </w:p>
        </w:tc>
      </w:tr>
      <w:tr>
        <w:tc>
          <w:tcPr>
            <w:tcW w:type="dxa" w:w="3120"/>
          </w:tcPr>
          <w:p>
            <w:r/>
            <w:r>
              <w:t>RF-09</w:t>
            </w:r>
          </w:p>
        </w:tc>
        <w:tc>
          <w:tcPr>
            <w:tcW w:type="dxa" w:w="3120"/>
          </w:tcPr>
          <w:p>
            <w:r/>
            <w:r>
              <w:t>Il sistema deve coesistere con l’impianto CONF_* esistente, senza imporne la sostituzione immediata.</w:t>
            </w:r>
          </w:p>
        </w:tc>
        <w:tc>
          <w:tcPr>
            <w:tcW w:type="dxa" w:w="3120"/>
          </w:tcPr>
          <w:p>
            <w:r/>
            <w:r>
              <w:t>§ 4.3, V-06</w:t>
            </w:r>
          </w:p>
        </w:tc>
      </w:tr>
      <w:tr>
        <w:tc>
          <w:tcPr>
            <w:tcW w:type="dxa" w:w="3120"/>
          </w:tcPr>
          <w:p>
            <w:r/>
            <w:r>
              <w:t>RF-10</w:t>
            </w:r>
          </w:p>
        </w:tc>
        <w:tc>
          <w:tcPr>
            <w:tcW w:type="dxa" w:w="3120"/>
          </w:tcPr>
          <w:p>
            <w:r/>
            <w:r>
              <w:t>Il sistema deve consentire la transcodifica fra codici ANSC e codici SIPO ove i vocabolari divergano.</w:t>
            </w:r>
          </w:p>
        </w:tc>
        <w:tc>
          <w:tcPr>
            <w:tcW w:type="dxa" w:w="3120"/>
          </w:tcPr>
          <w:p>
            <w:r/>
            <w:r>
              <w:t>§ 4.5</w:t>
            </w:r>
          </w:p>
        </w:tc>
      </w:tr>
    </w:tbl>
    <w:p>
      <w:pPr>
        <w:pStyle w:val="Caption"/>
      </w:pPr>
      <w:r>
        <w:t>Tabella 14 – Requisiti funzionali proposti</w:t>
      </w:r>
    </w:p>
    <w:p>
      <w:pPr>
        <w:pStyle w:val="Heading2"/>
      </w:pPr>
      <w:r>
        <w:t>Requisiti non funzionali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Requisito</w:t>
            </w:r>
          </w:p>
        </w:tc>
        <w:tc>
          <w:tcPr>
            <w:tcW w:type="dxa" w:w="3120"/>
          </w:tcPr>
          <w:p>
            <w:r/>
            <w:r>
              <w:rPr>
                <w:b/>
              </w:rPr>
              <w:t>Note</w:t>
            </w:r>
          </w:p>
        </w:tc>
      </w:tr>
      <w:tr>
        <w:tc>
          <w:tcPr>
            <w:tcW w:type="dxa" w:w="3120"/>
          </w:tcPr>
          <w:p>
            <w:r/>
            <w:r>
              <w:t>RNF-01</w:t>
            </w:r>
          </w:p>
        </w:tc>
        <w:tc>
          <w:tcPr>
            <w:tcW w:type="dxa" w:w="3120"/>
          </w:tcPr>
          <w:p>
            <w:r/>
            <w:r>
              <w:t>La risoluzione di un codice non deve introdurre latenza percepibile.</w:t>
            </w:r>
          </w:p>
        </w:tc>
        <w:tc>
          <w:tcPr>
            <w:tcW w:type="dxa" w:w="3120"/>
          </w:tcPr>
          <w:p>
            <w:r/>
            <w:r>
              <w:t>Il volume (§ 3.1) consente la residenza in memoria.</w:t>
            </w:r>
          </w:p>
        </w:tc>
      </w:tr>
      <w:tr>
        <w:tc>
          <w:tcPr>
            <w:tcW w:type="dxa" w:w="3120"/>
          </w:tcPr>
          <w:p>
            <w:r/>
            <w:r>
              <w:t>RNF-02</w:t>
            </w:r>
          </w:p>
        </w:tc>
        <w:tc>
          <w:tcPr>
            <w:tcW w:type="dxa" w:w="3120"/>
          </w:tcPr>
          <w:p>
            <w:r/>
            <w:r>
              <w:t>L’indisponibilità della componente di distribuzione non deve impedire ai consumatori di decodificare.</w:t>
            </w:r>
          </w:p>
        </w:tc>
        <w:tc>
          <w:tcPr>
            <w:tcW w:type="dxa" w:w="3120"/>
          </w:tcPr>
          <w:p>
            <w:r/>
            <w:r>
              <w:t>Requisito dirimente: cfr. § 6.2.</w:t>
            </w:r>
          </w:p>
        </w:tc>
      </w:tr>
      <w:tr>
        <w:tc>
          <w:tcPr>
            <w:tcW w:type="dxa" w:w="3120"/>
          </w:tcPr>
          <w:p>
            <w:r/>
            <w:r>
              <w:t>RNF-03</w:t>
            </w:r>
          </w:p>
        </w:tc>
        <w:tc>
          <w:tcPr>
            <w:tcW w:type="dxa" w:w="3120"/>
          </w:tcPr>
          <w:p>
            <w:r/>
            <w:r>
              <w:t>Ogni risoluzione deve essere riconducibile a una versione identificata, ai fini di audit.</w:t>
            </w:r>
          </w:p>
        </w:tc>
        <w:tc>
          <w:tcPr>
            <w:tcW w:type="dxa" w:w="3120"/>
          </w:tcPr>
          <w:p>
            <w:r/>
            <w:r>
              <w:t>Contesto di atti pubblici.</w:t>
            </w:r>
          </w:p>
        </w:tc>
      </w:tr>
      <w:tr>
        <w:tc>
          <w:tcPr>
            <w:tcW w:type="dxa" w:w="3120"/>
          </w:tcPr>
          <w:p>
            <w:r/>
            <w:r>
              <w:t>RNF-04</w:t>
            </w:r>
          </w:p>
        </w:tc>
        <w:tc>
          <w:tcPr>
            <w:tcW w:type="dxa" w:w="3120"/>
          </w:tcPr>
          <w:p>
            <w:r/>
            <w:r>
              <w:t>L’indisponibilità temporanea di ANSC non deve propagarsi ai consumatori.</w:t>
            </w:r>
          </w:p>
        </w:tc>
        <w:tc>
          <w:tcPr>
            <w:tcW w:type="dxa" w:w="3120"/>
          </w:tcPr>
          <w:p>
            <w:r/>
            <w:r>
              <w:t>La sincronizzazione è asincrona rispetto all’uso.</w:t>
            </w:r>
          </w:p>
        </w:tc>
      </w:tr>
      <w:tr>
        <w:tc>
          <w:tcPr>
            <w:tcW w:type="dxa" w:w="3120"/>
          </w:tcPr>
          <w:p>
            <w:r/>
            <w:r>
              <w:t>RNF-05</w:t>
            </w:r>
          </w:p>
        </w:tc>
        <w:tc>
          <w:tcPr>
            <w:tcW w:type="dxa" w:w="3120"/>
          </w:tcPr>
          <w:p>
            <w:r/>
            <w:r>
              <w:t>I consumatori devono utilizzare la medesima versione di ciascuna decodifica in un dato momento.</w:t>
            </w:r>
          </w:p>
        </w:tc>
        <w:tc>
          <w:tcPr>
            <w:tcW w:type="dxa" w:w="3120"/>
          </w:tcPr>
          <w:p>
            <w:r/>
            <w:r>
              <w:t>Requisito di allineamento: cfr. § 6.1.</w:t>
            </w:r>
          </w:p>
        </w:tc>
      </w:tr>
      <w:tr>
        <w:tc>
          <w:tcPr>
            <w:tcW w:type="dxa" w:w="3120"/>
          </w:tcPr>
          <w:p>
            <w:r/>
            <w:r>
              <w:t>RNF-06</w:t>
            </w:r>
          </w:p>
        </w:tc>
        <w:tc>
          <w:tcPr>
            <w:tcW w:type="dxa" w:w="3120"/>
          </w:tcPr>
          <w:p>
            <w:r/>
            <w:r>
              <w:t>La soluzione deve minimizzare i componenti infrastrutturali da esercire.</w:t>
            </w:r>
          </w:p>
        </w:tc>
        <w:tc>
          <w:tcPr>
            <w:tcW w:type="dxa" w:w="3120"/>
          </w:tcPr>
          <w:p>
            <w:r/>
            <w:r>
              <w:t>Sostenibilità operativa.</w:t>
            </w:r>
          </w:p>
        </w:tc>
      </w:tr>
      <w:tr>
        <w:tc>
          <w:tcPr>
            <w:tcW w:type="dxa" w:w="3120"/>
          </w:tcPr>
          <w:p>
            <w:r/>
            <w:r>
              <w:t>RNF-07</w:t>
            </w:r>
          </w:p>
        </w:tc>
        <w:tc>
          <w:tcPr>
            <w:tcW w:type="dxa" w:w="3120"/>
          </w:tcPr>
          <w:p>
            <w:r/>
            <w:r>
              <w:t>L’aggiornamento di una decodifica non deve richiedere il rilascio dei moduli consumatori.</w:t>
            </w:r>
          </w:p>
        </w:tc>
        <w:tc>
          <w:tcPr>
            <w:tcW w:type="dxa" w:w="3120"/>
          </w:tcPr>
          <w:p>
            <w:r/>
            <w:r>
              <w:t>NUOVO in v0.2. Deriva da V-02 e V-03: cfr. § 6.5.</w:t>
            </w:r>
          </w:p>
        </w:tc>
      </w:tr>
      <w:tr>
        <w:tc>
          <w:tcPr>
            <w:tcW w:type="dxa" w:w="3120"/>
          </w:tcPr>
          <w:p>
            <w:r/>
            <w:r>
              <w:t>RNF-08</w:t>
            </w:r>
          </w:p>
        </w:tc>
        <w:tc>
          <w:tcPr>
            <w:tcW w:type="dxa" w:w="3120"/>
          </w:tcPr>
          <w:p>
            <w:r/>
            <w:r>
              <w:t>[DA VERIFICARE: volumi di traffico attesi, SLA di disponibilità e finestre di aggiornamento ammesse.]</w:t>
            </w:r>
          </w:p>
        </w:tc>
        <w:tc>
          <w:tcPr>
            <w:tcW w:type="dxa" w:w="3120"/>
          </w:tcPr>
          <w:p>
            <w:r/>
            <w:r>
              <w:t>Non elicitati.</w:t>
            </w:r>
          </w:p>
        </w:tc>
      </w:tr>
    </w:tbl>
    <w:p>
      <w:pPr>
        <w:pStyle w:val="Caption"/>
      </w:pPr>
      <w:r>
        <w:t>Tabella 15 – Requisiti non funzionali proposti</w:t>
      </w:r>
    </w:p>
    <w:p>
      <w:r>
        <w:br w:type="page"/>
      </w:r>
    </w:p>
    <w:p>
      <w:pPr>
        <w:pStyle w:val="Heading1"/>
      </w:pPr>
      <w:r>
        <w:t>Valutazione delle opzioni tecnologiche</w:t>
      </w:r>
    </w:p>
    <w:p>
      <w:pPr>
        <w:pStyle w:val="Heading2"/>
      </w:pPr>
      <w:r>
        <w:t>Criteri di valutazione</w:t>
      </w:r>
    </w:p>
    <w:p>
      <w:pPr>
        <w:jc w:val="both"/>
      </w:pPr>
      <w:r>
        <w:t>Le opzioni sono valutate rispetto a sei criteri, derivati dai requisiti del § 5.</w:t>
      </w:r>
    </w:p>
    <w:p>
      <w:pPr>
        <w:pStyle w:val="ListParagraph"/>
        <w:jc w:val="both"/>
      </w:pPr>
      <w:r>
        <w:t>•</w:t>
        <w:tab/>
        <w:t>Correttezza temporale — capacità di risolvere un codice alla data dell’atto e non alla data della consultazione (RF-02, RF-03).</w:t>
      </w:r>
    </w:p>
    <w:p>
      <w:pPr>
        <w:pStyle w:val="ListParagraph"/>
        <w:jc w:val="both"/>
      </w:pPr>
      <w:r>
        <w:t>•</w:t>
        <w:tab/>
        <w:t>Allineamento fra sistemi — garanzia che sistemi diversi decodifichino il medesimo codice nel medesimo modo nel medesimo istante (RNF-05).</w:t>
      </w:r>
    </w:p>
    <w:p>
      <w:pPr>
        <w:pStyle w:val="ListParagraph"/>
        <w:jc w:val="both"/>
      </w:pPr>
      <w:r>
        <w:t>•</w:t>
        <w:tab/>
        <w:t>Resilienza — comportamento dei consumatori in caso di indisponibilità della componente di distribuzione (RNF-02, RNF-04).</w:t>
      </w:r>
    </w:p>
    <w:p>
      <w:pPr>
        <w:pStyle w:val="ListParagraph"/>
        <w:jc w:val="both"/>
      </w:pPr>
      <w:r>
        <w:t>•</w:t>
        <w:tab/>
        <w:t>Onere di esercizio — numero e complessità dei componenti da presidiare (RNF-06).</w:t>
      </w:r>
    </w:p>
    <w:p>
      <w:pPr>
        <w:pStyle w:val="ListParagraph"/>
        <w:jc w:val="both"/>
      </w:pPr>
      <w:r>
        <w:t>•</w:t>
        <w:tab/>
        <w:t>Auditabilità — tracciabilità della versione utilizzata per ciascuna risoluzione (RNF-03).</w:t>
      </w:r>
    </w:p>
    <w:p>
      <w:pPr>
        <w:pStyle w:val="ListParagraph"/>
        <w:jc w:val="both"/>
      </w:pPr>
      <w:r>
        <w:t>•</w:t>
        <w:tab/>
        <w:t>Adeguatezza alla scala — proporzione fra la soluzione e il volume effettivo del dato (§ 3.1).</w:t>
      </w:r>
    </w:p>
    <w:p>
      <w:pPr>
        <w:jc w:val="both"/>
      </w:pPr>
      <w:r>
        <w:t>Sul criterio dell’allineamento occorre soffermarsi, poiché costituisce il rischio meno evidente e più severo. Qualora ciascun consumatore sincronizzasse autonomamente le decodifiche, sistemi che abbiano sincronizzato in momenti diversi deterrebbero versioni diverse della medesima tabella, e il medesimo codice risulterebbe decodificato in modo difforme a seconda del sistema interrogato. Trattandosi di atti di stato civile, ciò configura un problema di integrità con potenziali riflessi sulla certificazione. Il rischio effettivo risiede qui, non nella latenza di accesso.</w:t>
      </w:r>
    </w:p>
    <w:p>
      <w:pPr>
        <w:jc w:val="both"/>
      </w:pPr>
      <w:r>
        <w:t>La versione 0.2 conferma la centralità del criterio e vi aggiunge un riscontro empirico: come documentato al § 4.3, il disallineamento in SIPO non è un’ipotesi teorica ma una condizione già in essere, stante la coesistenza di codici cablati in Java e delle medesime informazioni a base dati.</w:t>
      </w:r>
    </w:p>
    <w:p>
      <w:pPr>
        <w:pStyle w:val="Heading2"/>
      </w:pPr>
      <w:r>
        <w:t>Opzione A — Cache distribuita in memoria (Redis)</w:t>
      </w:r>
    </w:p>
    <w:p>
      <w:pPr>
        <w:jc w:val="both"/>
      </w:pPr>
      <w:r>
        <w:t>L’opzione prevede il caricamento delle decodifiche in un’istanza Redis condivisa, interrogata dai consumatori in fase di risoluzione.</w:t>
      </w:r>
    </w:p>
    <w:p>
      <w:pPr>
        <w:jc w:val="both"/>
      </w:pPr>
      <w:r>
        <w:t>Redis è tecnologia matura e appropriata alla propria classe di problemi: working set eccedente la memoria del singolo processo, necessità di coordinamento o invalidazione fra processi, volumi di accesso elevati con requisiti di latenza stringenti. La valutazione non ne mette in discussione la qualità, bensì l’aderenza al problema.</w:t>
      </w:r>
    </w:p>
    <w:p>
      <w:pPr>
        <w:pStyle w:val="ListParagraph"/>
        <w:jc w:val="both"/>
      </w:pPr>
      <w:r>
        <w:t>•</w:t>
        <w:tab/>
        <w:t>Correttezza temporale — il modello chiave-valore restituisce il valore corrente. La risoluzione a una data richiederebbe di codificare l’intervallo di validità nella chiave o di replicare in Redis una struttura storicizzata, riproducendo su un motore non relazionale una funzione che Oracle assolve nativamente (§ 7.3). RF-02 non è soddisfatto senza sviluppo aggiuntivo significativo.</w:t>
      </w:r>
    </w:p>
    <w:p>
      <w:pPr>
        <w:pStyle w:val="ListParagraph"/>
        <w:jc w:val="both"/>
      </w:pPr>
      <w:r>
        <w:t>•</w:t>
        <w:tab/>
        <w:t>Resilienza — l’opzione trasforma una tabella di riferimento statica in una dipendenza di rete in esercizio. L’indisponibilità dell’istanza impedirebbe a tutti i consumatori di decodificare, introducendo un punto singolo di rottura a fronte di un dato che varia due volte al mese. RNF-02 non è soddisfatto.</w:t>
      </w:r>
    </w:p>
    <w:p>
      <w:pPr>
        <w:pStyle w:val="ListParagraph"/>
        <w:jc w:val="both"/>
      </w:pPr>
      <w:r>
        <w:t>•</w:t>
        <w:tab/>
        <w:t>Onere di esercizio — comporta il presidio di un componente aggiuntivo in alta disponibilità (replica, failover, aggiornamenti, monitoraggio) a fronte di 150 KB di dato. Si osservi che SIPO non esercisce oggi alcun componente di caching (§ 4.3): l’adozione introdurrebbe una competenza operativa del tutto nuova.</w:t>
      </w:r>
    </w:p>
    <w:p>
      <w:pPr>
        <w:pStyle w:val="ListParagraph"/>
        <w:jc w:val="both"/>
      </w:pPr>
      <w:r>
        <w:t>•</w:t>
        <w:tab/>
        <w:t>Auditabilità — Redis non fornisce nativamente versionamento né storia delle modifiche. RNF-03 richiederebbe una componente separata.</w:t>
      </w:r>
    </w:p>
    <w:p>
      <w:pPr>
        <w:pStyle w:val="ListParagraph"/>
        <w:jc w:val="both"/>
      </w:pPr>
      <w:r>
        <w:t>•</w:t>
        <w:tab/>
        <w:t>Allineamento — soddisfatto: una cache condivisa assicura per costruzione che tutti leggano il medesimo valore. È il punto di forza dell’opzione.</w:t>
      </w:r>
    </w:p>
    <w:p>
      <w:pPr>
        <w:pStyle w:val="ListParagraph"/>
        <w:jc w:val="both"/>
      </w:pPr>
      <w:r>
        <w:t>•</w:t>
        <w:tab/>
        <w:t>Adeguatezza alla scala — il beneficio proprio di Redis non trova applicazione: un dataset di 200 KB risiede nella memoria del processo consumatore, con accesso in nanosecondi anziché in millisecondi attraverso la rete.</w:t>
      </w:r>
    </w:p>
    <w:p>
      <w:pPr>
        <w:jc w:val="both"/>
      </w:pPr>
      <w:r>
        <w:t>La valutazione conclusiva è che l’opzione risponda a un problema di scala che le misure del § 3.1 escludono, e non risolva il problema di correttezza temporale che le misure del § 3.2 documentano. Il beneficio di allineamento che essa offre è conseguibile con altri mezzi.</w:t>
      </w:r>
    </w:p>
    <w:p>
      <w:pPr>
        <w:pStyle w:val="Heading2"/>
      </w:pPr>
      <w:r>
        <w:t>Opzione B — Artefatti versionati</w:t>
      </w:r>
    </w:p>
    <w:p>
      <w:pPr>
        <w:jc w:val="both"/>
      </w:pPr>
      <w:r>
        <w:t>L’opzione prevede che una catena di integrazione continua produca, a ogni variazione, un pacchetto versionato per ciascuna piattaforma in uso, contenente le decodifiche sotto forma di enumerazioni tipizzate. Ciascun consumatore dichiara la dipendenza da una versione determinata.</w:t>
      </w:r>
    </w:p>
    <w:p>
      <w:pPr>
        <w:pStyle w:val="ListParagraph"/>
        <w:jc w:val="both"/>
      </w:pPr>
      <w:r>
        <w:t>•</w:t>
        <w:tab/>
        <w:t>Correttezza temporale — soddisfatta, purché l’artefatto includa gli intervalli di validità e la libreria esponga la risoluzione a una data.</w:t>
      </w:r>
    </w:p>
    <w:p>
      <w:pPr>
        <w:pStyle w:val="ListParagraph"/>
        <w:jc w:val="both"/>
      </w:pPr>
      <w:r>
        <w:t>•</w:t>
        <w:tab/>
        <w:t>Allineamento — soddisfatto in modo governabile: la versione in uso è esplicita, dichiarata e verificabile.</w:t>
      </w:r>
    </w:p>
    <w:p>
      <w:pPr>
        <w:pStyle w:val="ListParagraph"/>
        <w:jc w:val="both"/>
      </w:pPr>
      <w:r>
        <w:t>•</w:t>
        <w:tab/>
        <w:t>Resilienza — massima: assenza di dipendenze in esercizio.</w:t>
      </w:r>
    </w:p>
    <w:p>
      <w:pPr>
        <w:pStyle w:val="ListParagraph"/>
        <w:jc w:val="both"/>
      </w:pPr>
      <w:r>
        <w:t>•</w:t>
        <w:tab/>
        <w:t>Auditabilità — elevata: la versione è registrata nel file di dipendenze e le build sono riproducibili.</w:t>
      </w:r>
    </w:p>
    <w:p>
      <w:pPr>
        <w:pStyle w:val="ListParagraph"/>
        <w:jc w:val="both"/>
      </w:pPr>
      <w:r>
        <w:t>•</w:t>
        <w:tab/>
        <w:t>Adeguatezza alla scala — piena.</w:t>
      </w:r>
    </w:p>
    <w:p>
      <w:pPr>
        <w:pStyle w:val="ListParagraph"/>
        <w:jc w:val="both"/>
      </w:pPr>
      <w:r>
        <w:t>•</w:t>
        <w:tab/>
        <w:t>Onere di esercizio — ⚠️ elevato nel contesto SIPO. La valutazione muta rispetto alla versione 0.1: cfr. § 6.5.</w:t>
      </w:r>
    </w:p>
    <w:p>
      <w:pPr>
        <w:jc w:val="both"/>
      </w:pPr>
      <w:r>
        <w:t>La versione 0.1 indicava questa opzione come preferita, sul presupposto — allora non verificato — della disponibilità di un registro di artefatti. Il presupposto è risultato infondato (V-02).</w:t>
      </w:r>
    </w:p>
    <w:p>
      <w:pPr>
        <w:pStyle w:val="Heading2"/>
      </w:pPr>
      <w:r>
        <w:t>Opzione C — Servizio REST con storage bitemporale</w:t>
      </w:r>
    </w:p>
    <w:p>
      <w:pPr>
        <w:jc w:val="both"/>
      </w:pPr>
      <w:r>
        <w:t>L’opzione prevede una componente che sincronizzi le decodifiche da R901, le persista in un modello storicizzato e le esponga mediante un servizio REST di sola lettura, con risoluzione a una data di riferimento.</w:t>
      </w:r>
    </w:p>
    <w:p>
      <w:pPr>
        <w:pStyle w:val="ListParagraph"/>
        <w:jc w:val="both"/>
      </w:pPr>
      <w:r>
        <w:t>•</w:t>
        <w:tab/>
        <w:t>Correttezza temporale — soddisfatta nativamente dal modello bitemporale (§ 7.3).</w:t>
      </w:r>
    </w:p>
    <w:p>
      <w:pPr>
        <w:pStyle w:val="ListParagraph"/>
        <w:jc w:val="both"/>
      </w:pPr>
      <w:r>
        <w:t>•</w:t>
        <w:tab/>
        <w:t>Allineamento — soddisfatto: fonte unica per tutti i consumatori.</w:t>
      </w:r>
    </w:p>
    <w:p>
      <w:pPr>
        <w:pStyle w:val="ListParagraph"/>
        <w:jc w:val="both"/>
      </w:pPr>
      <w:r>
        <w:t>•</w:t>
        <w:tab/>
        <w:t>Resilienza — intermedia: introduce una dipendenza in esercizio, mitigabile mediante la validazione della cache HTTP e un proxy inverso.</w:t>
      </w:r>
    </w:p>
    <w:p>
      <w:pPr>
        <w:pStyle w:val="ListParagraph"/>
        <w:jc w:val="both"/>
      </w:pPr>
      <w:r>
        <w:t>•</w:t>
        <w:tab/>
        <w:t>Onere di esercizio — contenuto: servizio privo di stato, dataset residente in memoria, nessuna base dati nel percorso di risposta.</w:t>
      </w:r>
    </w:p>
    <w:p>
      <w:pPr>
        <w:pStyle w:val="ListParagraph"/>
        <w:jc w:val="both"/>
      </w:pPr>
      <w:r>
        <w:t>•</w:t>
        <w:tab/>
        <w:t>Auditabilità — elevata: ogni risposta è riconducibile a una versione.</w:t>
      </w:r>
    </w:p>
    <w:p>
      <w:pPr>
        <w:pStyle w:val="ListParagraph"/>
        <w:jc w:val="both"/>
      </w:pPr>
      <w:r>
        <w:t>•</w:t>
        <w:tab/>
        <w:t>Adeguatezza alla scala — piena.</w:t>
      </w:r>
    </w:p>
    <w:p>
      <w:pPr>
        <w:pStyle w:val="ListParagraph"/>
        <w:jc w:val="both"/>
      </w:pPr>
      <w:r>
        <w:t>•</w:t>
        <w:tab/>
        <w:t>Disaccoppiamento dal ciclo di rilascio — soddisfa RNF-07: l’aggiornamento di una decodifica non richiede il rilascio dei moduli consumatori.</w:t>
      </w:r>
    </w:p>
    <w:p>
      <w:pPr>
        <w:pStyle w:val="Heading2"/>
      </w:pPr>
      <w:r>
        <w:t>Confronto e razionale della scelta</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r>
              <w:rPr>
                <w:b/>
              </w:rPr>
              <w:t>Criterio</w:t>
            </w:r>
          </w:p>
        </w:tc>
        <w:tc>
          <w:tcPr>
            <w:tcW w:type="dxa" w:w="2340"/>
          </w:tcPr>
          <w:p>
            <w:r/>
            <w:r>
              <w:rPr>
                <w:b/>
              </w:rPr>
              <w:t>A – Redis</w:t>
            </w:r>
          </w:p>
        </w:tc>
        <w:tc>
          <w:tcPr>
            <w:tcW w:type="dxa" w:w="2340"/>
          </w:tcPr>
          <w:p>
            <w:r/>
            <w:r>
              <w:rPr>
                <w:b/>
              </w:rPr>
              <w:t>B – Artefatti</w:t>
            </w:r>
          </w:p>
        </w:tc>
        <w:tc>
          <w:tcPr>
            <w:tcW w:type="dxa" w:w="2340"/>
          </w:tcPr>
          <w:p>
            <w:r/>
            <w:r>
              <w:rPr>
                <w:b/>
              </w:rPr>
              <w:t>C – Servizio REST</w:t>
            </w:r>
          </w:p>
        </w:tc>
      </w:tr>
      <w:tr>
        <w:tc>
          <w:tcPr>
            <w:tcW w:type="dxa" w:w="2340"/>
          </w:tcPr>
          <w:p>
            <w:r/>
            <w:r>
              <w:t>Correttezza temporale (RF-02)</w:t>
            </w:r>
          </w:p>
        </w:tc>
        <w:tc>
          <w:tcPr>
            <w:tcW w:type="dxa" w:w="2340"/>
          </w:tcPr>
          <w:p>
            <w:r/>
            <w:r>
              <w:t>Non soddisfatto senza sviluppo dedicato</w:t>
            </w:r>
          </w:p>
        </w:tc>
        <w:tc>
          <w:tcPr>
            <w:tcW w:type="dxa" w:w="2340"/>
          </w:tcPr>
          <w:p>
            <w:r/>
            <w:r>
              <w:t>Soddisfatto</w:t>
            </w:r>
          </w:p>
        </w:tc>
        <w:tc>
          <w:tcPr>
            <w:tcW w:type="dxa" w:w="2340"/>
          </w:tcPr>
          <w:p>
            <w:r/>
            <w:r>
              <w:t>Soddisfatto nativamente</w:t>
            </w:r>
          </w:p>
        </w:tc>
      </w:tr>
      <w:tr>
        <w:tc>
          <w:tcPr>
            <w:tcW w:type="dxa" w:w="2340"/>
          </w:tcPr>
          <w:p>
            <w:r/>
            <w:r>
              <w:t>Allineamento (RNF-05)</w:t>
            </w:r>
          </w:p>
        </w:tc>
        <w:tc>
          <w:tcPr>
            <w:tcW w:type="dxa" w:w="2340"/>
          </w:tcPr>
          <w:p>
            <w:r/>
            <w:r>
              <w:t>Soddisfatto</w:t>
            </w:r>
          </w:p>
        </w:tc>
        <w:tc>
          <w:tcPr>
            <w:tcW w:type="dxa" w:w="2340"/>
          </w:tcPr>
          <w:p>
            <w:r/>
            <w:r>
              <w:t>Soddisfatto e governabile</w:t>
            </w:r>
          </w:p>
        </w:tc>
        <w:tc>
          <w:tcPr>
            <w:tcW w:type="dxa" w:w="2340"/>
          </w:tcPr>
          <w:p>
            <w:r/>
            <w:r>
              <w:t>Soddisfatto</w:t>
            </w:r>
          </w:p>
        </w:tc>
      </w:tr>
      <w:tr>
        <w:tc>
          <w:tcPr>
            <w:tcW w:type="dxa" w:w="2340"/>
          </w:tcPr>
          <w:p>
            <w:r/>
            <w:r>
              <w:t>Resilienza (RNF-02)</w:t>
            </w:r>
          </w:p>
        </w:tc>
        <w:tc>
          <w:tcPr>
            <w:tcW w:type="dxa" w:w="2340"/>
          </w:tcPr>
          <w:p>
            <w:r/>
            <w:r>
              <w:t>Punto singolo di rottura</w:t>
            </w:r>
          </w:p>
        </w:tc>
        <w:tc>
          <w:tcPr>
            <w:tcW w:type="dxa" w:w="2340"/>
          </w:tcPr>
          <w:p>
            <w:r/>
            <w:r>
              <w:t>Nessuna dipendenza in esercizio</w:t>
            </w:r>
          </w:p>
        </w:tc>
        <w:tc>
          <w:tcPr>
            <w:tcW w:type="dxa" w:w="2340"/>
          </w:tcPr>
          <w:p>
            <w:r/>
            <w:r>
              <w:t>Dipendenza mitigabile</w:t>
            </w:r>
          </w:p>
        </w:tc>
      </w:tr>
      <w:tr>
        <w:tc>
          <w:tcPr>
            <w:tcW w:type="dxa" w:w="2340"/>
          </w:tcPr>
          <w:p>
            <w:r/>
            <w:r>
              <w:t>Onere di esercizio (RNF-06)</w:t>
            </w:r>
          </w:p>
        </w:tc>
        <w:tc>
          <w:tcPr>
            <w:tcW w:type="dxa" w:w="2340"/>
          </w:tcPr>
          <w:p>
            <w:r/>
            <w:r>
              <w:t>Componente aggiuntivo in alta disponibilità</w:t>
            </w:r>
          </w:p>
        </w:tc>
        <w:tc>
          <w:tcPr>
            <w:tcW w:type="dxa" w:w="2340"/>
          </w:tcPr>
          <w:p>
            <w:r/>
            <w:r>
              <w:t>Elevato: registro assente (V-02)</w:t>
            </w:r>
          </w:p>
        </w:tc>
        <w:tc>
          <w:tcPr>
            <w:tcW w:type="dxa" w:w="2340"/>
          </w:tcPr>
          <w:p>
            <w:r/>
            <w:r>
              <w:t>Contenuto</w:t>
            </w:r>
          </w:p>
        </w:tc>
      </w:tr>
      <w:tr>
        <w:tc>
          <w:tcPr>
            <w:tcW w:type="dxa" w:w="2340"/>
          </w:tcPr>
          <w:p>
            <w:r/>
            <w:r>
              <w:t>Disaccoppiamento dal rilascio (RNF-07)</w:t>
            </w:r>
          </w:p>
        </w:tc>
        <w:tc>
          <w:tcPr>
            <w:tcW w:type="dxa" w:w="2340"/>
          </w:tcPr>
          <w:p>
            <w:r/>
            <w:r>
              <w:t>Soddisfatto</w:t>
            </w:r>
          </w:p>
        </w:tc>
        <w:tc>
          <w:tcPr>
            <w:tcW w:type="dxa" w:w="2340"/>
          </w:tcPr>
          <w:p>
            <w:r/>
            <w:r>
              <w:t>NON soddisfatto: 88 rilasci per variazione</w:t>
            </w:r>
          </w:p>
        </w:tc>
        <w:tc>
          <w:tcPr>
            <w:tcW w:type="dxa" w:w="2340"/>
          </w:tcPr>
          <w:p>
            <w:r/>
            <w:r>
              <w:t>Soddisfatto</w:t>
            </w:r>
          </w:p>
        </w:tc>
      </w:tr>
      <w:tr>
        <w:tc>
          <w:tcPr>
            <w:tcW w:type="dxa" w:w="2340"/>
          </w:tcPr>
          <w:p>
            <w:r/>
            <w:r>
              <w:t>Auditabilità (RNF-03)</w:t>
            </w:r>
          </w:p>
        </w:tc>
        <w:tc>
          <w:tcPr>
            <w:tcW w:type="dxa" w:w="2340"/>
          </w:tcPr>
          <w:p>
            <w:r/>
            <w:r>
              <w:t>Assente nativamente</w:t>
            </w:r>
          </w:p>
        </w:tc>
        <w:tc>
          <w:tcPr>
            <w:tcW w:type="dxa" w:w="2340"/>
          </w:tcPr>
          <w:p>
            <w:r/>
            <w:r>
              <w:t>Elevata</w:t>
            </w:r>
          </w:p>
        </w:tc>
        <w:tc>
          <w:tcPr>
            <w:tcW w:type="dxa" w:w="2340"/>
          </w:tcPr>
          <w:p>
            <w:r/>
            <w:r>
              <w:t>Elevata</w:t>
            </w:r>
          </w:p>
        </w:tc>
      </w:tr>
      <w:tr>
        <w:tc>
          <w:tcPr>
            <w:tcW w:type="dxa" w:w="2340"/>
          </w:tcPr>
          <w:p>
            <w:r/>
            <w:r>
              <w:t>Adeguatezza alla scala</w:t>
            </w:r>
          </w:p>
        </w:tc>
        <w:tc>
          <w:tcPr>
            <w:tcW w:type="dxa" w:w="2340"/>
          </w:tcPr>
          <w:p>
            <w:r/>
            <w:r>
              <w:t>Sovradimensionata</w:t>
            </w:r>
          </w:p>
        </w:tc>
        <w:tc>
          <w:tcPr>
            <w:tcW w:type="dxa" w:w="2340"/>
          </w:tcPr>
          <w:p>
            <w:r/>
            <w:r>
              <w:t>Piena</w:t>
            </w:r>
          </w:p>
        </w:tc>
        <w:tc>
          <w:tcPr>
            <w:tcW w:type="dxa" w:w="2340"/>
          </w:tcPr>
          <w:p>
            <w:r/>
            <w:r>
              <w:t>Piena</w:t>
            </w:r>
          </w:p>
        </w:tc>
      </w:tr>
    </w:tbl>
    <w:p>
      <w:pPr>
        <w:pStyle w:val="Caption"/>
      </w:pPr>
      <w:r>
        <w:t>Tabella 16 – Confronto delle opzioni rispetto ai criteri del § 6.1</w:t>
      </w:r>
    </w:p>
    <w:p>
      <w:pPr>
        <w:jc w:val="both"/>
      </w:pPr>
      <w:r>
        <w:t>La versione 0.2 modifica la conclusione della versione 0.1. Quest’ultima proponeva l’opzione B quale canale primario e l’opzione C quale canale residuale per i consumatori non ricompilabili. Le evidenze del § 4 impongono di invertire tale priorità, per due ragioni convergenti.</w:t>
      </w:r>
    </w:p>
    <w:p>
      <w:pPr>
        <w:jc w:val="both"/>
      </w:pPr>
      <w:r>
        <w:t>La prima è l’assenza di un registro di artefatti (V-02). L’opzione B ne presuppone uno; istituirlo è un prerequisito autonomo, di costo non trascurabile, che oggi non esiste. Le dipendenze interne sono risolte per clonazione Git di un ramo mobile in fase di build: un meccanismo che non offre né immutabilità né versionamento, ossia proprio le proprietà su cui l’opzione B si fonda.</w:t>
      </w:r>
    </w:p>
    <w:p>
      <w:pPr>
        <w:jc w:val="both"/>
      </w:pPr>
      <w:r>
        <w:t>La seconda, e più stringente, è l’incompatibilità fra le cadenze. Le decodifiche variano ogni due-quattro settimane (§ 3.3). I consumatori sono 88 moduli Java (V-03). L’opzione B, quale canale primario, comporterebbe la ricompilazione e il rilascio di 88 moduli a ogni variazione di una decodifica, con cadenza quindicinale, su una catena di build non riproducibile. Non è una prospettiva praticabile: il canale che dovrebbe garantire l’allineamento produrrebbe, di fatto, disallineamento permanente, poiché nessuna organizzazione rilascia 88 moduli ogni due settimane per aggiornare una tabella di lookup.</w:t>
      </w:r>
    </w:p>
    <w:p>
      <w:pPr>
        <w:jc w:val="both"/>
      </w:pPr>
      <w:r>
        <w:t>Si propone pertanto l’assetto seguente. L’opzione C costituisce il canale primario, in quanto unica a soddisfare RNF-07 e a disaccoppiare l’aggiornamento delle decodifiche dal ciclo di rilascio dei consumatori. L’opzione B è mantenuta quale canale complementare e facoltativo, raccomandato per i moduli di nuovo sviluppo e ove la verifica dei tipi in fase di compilazione presenti valore, e comunque subordinata all’istituzione di un registro di artefatti.</w:t>
      </w:r>
    </w:p>
    <w:p>
      <w:pPr>
        <w:jc w:val="both"/>
      </w:pPr>
      <w:r>
        <w:t>L’opzione A non viene proposta. La motivazione non risiede in un giudizio negativo sulla tecnologia, ma nella sua non aderenza al problema misurato: risolve una difficoltà di scala che le rilevazioni escludono, non risolve la difficoltà di correttezza temporale che le rilevazioni documentano, e introduce un punto singolo di rottura a fronte di un dato di 150 KB soggetto a variazione quindicinale. Si osservi inoltre che l’unico criterio su cui l’opzione A risulta pienamente soddisfacente — l’allineamento — è conseguito anche dall’opzione C.</w:t>
      </w:r>
    </w:p>
    <w:p>
      <w:pPr>
        <w:jc w:val="both"/>
      </w:pPr>
      <w:r>
        <w:t>Resta impregiudicata l’adozione futura di Redis qualora il servizio di cui al § 7.4 dovesse eccedere la memoria di processo o richiedere coordinamento fra processi. L’architettura proposta non preclude tale evoluzione.</w:t>
      </w:r>
    </w:p>
    <w:p>
      <w:r>
        <w:br w:type="page"/>
      </w:r>
    </w:p>
    <w:p>
      <w:pPr>
        <w:pStyle w:val="Heading1"/>
      </w:pPr>
      <w:r>
        <w:t>Architettura della soluzione proposta</w:t>
      </w:r>
    </w:p>
    <w:p>
      <w:pPr>
        <w:pStyle w:val="Heading2"/>
      </w:pPr>
      <w:r>
        <w:t>Vista d’insieme</w:t>
      </w:r>
    </w:p>
    <w:p>
      <w:pPr>
        <w:jc w:val="both"/>
      </w:pPr>
      <w:r>
        <w:t>L’architettura si articola su quattro livelli. Il principio che la governa è che una sola componente dialoghi con ANSC.</w:t>
      </w:r>
    </w:p>
    <w:p>
      <w:pPr>
        <w:jc w:val="both"/>
      </w:pPr>
      <w:r>
        <w:t>Il principio ha fondamento operativo. Qualora ciascun consumatore invocasse autonomamente R901, si moltiplicherebbero le credenziali da presidiare e le quote di servizio da negoziare; soprattutto, si perderebbe il controllo sull’allineamento, con le conseguenze esposte al § 6.1. La centralizzazione del punto di contatto è il presupposto della sostenibilità.</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Livello</w:t>
            </w:r>
          </w:p>
        </w:tc>
        <w:tc>
          <w:tcPr>
            <w:tcW w:type="dxa" w:w="3120"/>
          </w:tcPr>
          <w:p>
            <w:r/>
            <w:r>
              <w:rPr>
                <w:b/>
              </w:rPr>
              <w:t>Componente</w:t>
            </w:r>
          </w:p>
        </w:tc>
        <w:tc>
          <w:tcPr>
            <w:tcW w:type="dxa" w:w="3120"/>
          </w:tcPr>
          <w:p>
            <w:r/>
            <w:r>
              <w:rPr>
                <w:b/>
              </w:rPr>
              <w:t>Funzione</w:t>
            </w:r>
          </w:p>
        </w:tc>
      </w:tr>
      <w:tr>
        <w:tc>
          <w:tcPr>
            <w:tcW w:type="dxa" w:w="3120"/>
          </w:tcPr>
          <w:p>
            <w:r/>
            <w:r>
              <w:t>1</w:t>
            </w:r>
          </w:p>
        </w:tc>
        <w:tc>
          <w:tcPr>
            <w:tcW w:type="dxa" w:w="3120"/>
          </w:tcPr>
          <w:p>
            <w:r/>
            <w:r>
              <w:t>Sincronizzazione</w:t>
            </w:r>
          </w:p>
        </w:tc>
        <w:tc>
          <w:tcPr>
            <w:tcW w:type="dxa" w:w="3120"/>
          </w:tcPr>
          <w:p>
            <w:r/>
            <w:r>
              <w:t>Rileva le variazioni su R901 e ne acquisisce i contenuti.</w:t>
            </w:r>
          </w:p>
        </w:tc>
      </w:tr>
      <w:tr>
        <w:tc>
          <w:tcPr>
            <w:tcW w:type="dxa" w:w="3120"/>
          </w:tcPr>
          <w:p>
            <w:r/>
            <w:r>
              <w:t>2</w:t>
            </w:r>
          </w:p>
        </w:tc>
        <w:tc>
          <w:tcPr>
            <w:tcW w:type="dxa" w:w="3120"/>
          </w:tcPr>
          <w:p>
            <w:r/>
            <w:r>
              <w:t>Storage canonico</w:t>
            </w:r>
          </w:p>
        </w:tc>
        <w:tc>
          <w:tcPr>
            <w:tcW w:type="dxa" w:w="3120"/>
          </w:tcPr>
          <w:p>
            <w:r/>
            <w:r>
              <w:t>Persiste le decodifiche su Oracle in modello bitemporale.</w:t>
            </w:r>
          </w:p>
        </w:tc>
      </w:tr>
      <w:tr>
        <w:tc>
          <w:tcPr>
            <w:tcW w:type="dxa" w:w="3120"/>
          </w:tcPr>
          <w:p>
            <w:r/>
            <w:r>
              <w:t>3</w:t>
            </w:r>
          </w:p>
        </w:tc>
        <w:tc>
          <w:tcPr>
            <w:tcW w:type="dxa" w:w="3120"/>
          </w:tcPr>
          <w:p>
            <w:r/>
            <w:r>
              <w:t>Distribuzione</w:t>
            </w:r>
          </w:p>
        </w:tc>
        <w:tc>
          <w:tcPr>
            <w:tcW w:type="dxa" w:w="3120"/>
          </w:tcPr>
          <w:p>
            <w:r/>
            <w:r>
              <w:t>Espone le decodifiche ai consumatori (canale primario REST).</w:t>
            </w:r>
          </w:p>
        </w:tc>
      </w:tr>
      <w:tr>
        <w:tc>
          <w:tcPr>
            <w:tcW w:type="dxa" w:w="3120"/>
          </w:tcPr>
          <w:p>
            <w:r/>
            <w:r>
              <w:t>4</w:t>
            </w:r>
          </w:p>
        </w:tc>
        <w:tc>
          <w:tcPr>
            <w:tcW w:type="dxa" w:w="3120"/>
          </w:tcPr>
          <w:p>
            <w:r/>
            <w:r>
              <w:t>Interoperabilità</w:t>
            </w:r>
          </w:p>
        </w:tc>
        <w:tc>
          <w:tcPr>
            <w:tcW w:type="dxa" w:w="3120"/>
          </w:tcPr>
          <w:p>
            <w:r/>
            <w:r>
              <w:t>Pubblica le decodifiche secondo gli standard della PA.</w:t>
            </w:r>
          </w:p>
        </w:tc>
      </w:tr>
    </w:tbl>
    <w:p>
      <w:pPr>
        <w:pStyle w:val="Caption"/>
      </w:pPr>
      <w:r>
        <w:t>Tabella 17 – Livelli dell’architettura proposta</w:t>
      </w:r>
    </w:p>
    <w:p>
      <w:pPr>
        <w:jc w:val="both"/>
      </w:pPr>
      <w:r>
        <w:t>[DA VERIFICARE: rappresentazione grafica dell’architettura, da produrre secondo gli standard di diagrammazione del Dipartimento.]</w:t>
      </w:r>
    </w:p>
    <w:p>
      <w:pPr>
        <w:pStyle w:val="Heading2"/>
      </w:pPr>
      <w:r>
        <w:t>Livello 1 — Sincronizzazione da ANSC</w:t>
      </w:r>
    </w:p>
    <w:p>
      <w:pPr>
        <w:jc w:val="both"/>
      </w:pPr>
      <w:r>
        <w:t>La componente interroga periodicamente l’operazione di elenco di R901, ottenendo per ciascuna decodifica l’attributo versione. Confronta tali versioni con quelle detenute e invoca l’operazione di dettaglio limitatamente alle tabelle variate, delle quali acquisisce il contenuto CSV.</w:t>
      </w:r>
    </w:p>
    <w:p>
      <w:pPr>
        <w:jc w:val="both"/>
      </w:pPr>
      <w:r>
        <w:t>La cadenza giornaliera è ampiamente sufficiente a fronte di release quindicinali (§ 3.3). La sincronizzazione è asincrona rispetto all’utilizzo: l’eventuale indisponibilità di ANSC ritarda l’acquisizione di una variazione ma non impedisce ad alcun sistema di decodificare (RNF-04).</w:t>
      </w:r>
    </w:p>
    <w:p>
      <w:pPr>
        <w:jc w:val="both"/>
      </w:pPr>
      <w:r>
        <w:t>Il repository [R1] può essere impiegato quale riscontro indipendente per la verifica della sincronizzazione, non quale sorgente in esercizio.</w:t>
      </w:r>
    </w:p>
    <w:p>
      <w:pPr>
        <w:jc w:val="both"/>
      </w:pPr>
      <w:r>
        <w:t>[DA VERIFICARE: modalità di autenticazione al servizio R901 e credenziali assegnate a Roma Capitale; la specifica [R3] documenta l’esito 403 ma non lo schema di autenticazione. Si segnala che l’integrazione ANPR adotta WS-Security con firma X.509 (§ 4.4): è da accertare se ANSC richieda un meccanismo analogo o di altra natura.]</w:t>
      </w:r>
    </w:p>
    <w:p>
      <w:pPr>
        <w:pStyle w:val="Heading2"/>
      </w:pPr>
      <w:r>
        <w:t>Livello 2 — Storage canonico bitemporale su Oracle</w:t>
      </w:r>
    </w:p>
    <w:p>
      <w:pPr>
        <w:jc w:val="both"/>
      </w:pPr>
      <w:r>
        <w:t>La versione 0.1 proponeva PostgreSQL, motivandolo con la presunta disponibilità di un’istanza presso il Dipartimento. L’evidenza del § 4.2 ha smentito il presupposto: SIPO è esclusivamente Oracle, con 93 datasource rilevati e nessuna occorrenza di PostgreSQL nei 125 moduli. Introdurre PostgreSQL significherebbe introdurre un RDBMS nuovo, con i relativi oneri di esercizio, in contrasto con RNF-06.</w:t>
      </w:r>
    </w:p>
    <w:p>
      <w:pPr>
        <w:jc w:val="both"/>
      </w:pPr>
      <w:r>
        <w:t>Si propone pertanto Oracle quale archivio canonico. La scelta non è un ripiego: Oracle offre nativamente entrambe le dimensioni temporali richieste.</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Dimensione</w:t>
            </w:r>
          </w:p>
        </w:tc>
        <w:tc>
          <w:tcPr>
            <w:tcW w:type="dxa" w:w="3120"/>
          </w:tcPr>
          <w:p>
            <w:r/>
            <w:r>
              <w:rPr>
                <w:b/>
              </w:rPr>
              <w:t>Funzione Oracle</w:t>
            </w:r>
          </w:p>
        </w:tc>
        <w:tc>
          <w:tcPr>
            <w:tcW w:type="dxa" w:w="3120"/>
          </w:tcPr>
          <w:p>
            <w:r/>
            <w:r>
              <w:rPr>
                <w:b/>
              </w:rPr>
              <w:t>Finalità</w:t>
            </w:r>
          </w:p>
        </w:tc>
      </w:tr>
      <w:tr>
        <w:tc>
          <w:tcPr>
            <w:tcW w:type="dxa" w:w="3120"/>
          </w:tcPr>
          <w:p>
            <w:r/>
            <w:r>
              <w:t>Tempo di validità</w:t>
            </w:r>
          </w:p>
        </w:tc>
        <w:tc>
          <w:tcPr>
            <w:tcW w:type="dxa" w:w="3120"/>
          </w:tcPr>
          <w:p>
            <w:r/>
            <w:r>
              <w:t>Temporal Validity (clausola PERIOD FOR, da Oracle 12c)</w:t>
            </w:r>
          </w:p>
        </w:tc>
        <w:tc>
          <w:tcPr>
            <w:tcW w:type="dxa" w:w="3120"/>
          </w:tcPr>
          <w:p>
            <w:r/>
            <w:r>
              <w:t>Risponde a: quale voce era valida alla data dell’atto (RF-02).</w:t>
            </w:r>
          </w:p>
        </w:tc>
      </w:tr>
      <w:tr>
        <w:tc>
          <w:tcPr>
            <w:tcW w:type="dxa" w:w="3120"/>
          </w:tcPr>
          <w:p>
            <w:r/>
            <w:r>
              <w:t>Tempo di registrazione</w:t>
            </w:r>
          </w:p>
        </w:tc>
        <w:tc>
          <w:tcPr>
            <w:tcW w:type="dxa" w:w="3120"/>
          </w:tcPr>
          <w:p>
            <w:r/>
            <w:r>
              <w:t>Flashback Data Archive</w:t>
            </w:r>
          </w:p>
        </w:tc>
        <w:tc>
          <w:tcPr>
            <w:tcW w:type="dxa" w:w="3120"/>
          </w:tcPr>
          <w:p>
            <w:r/>
            <w:r>
              <w:t>Risponde a: quale voce il sistema conosceva a una data determinata (RNF-03).</w:t>
            </w:r>
          </w:p>
        </w:tc>
      </w:tr>
    </w:tbl>
    <w:p>
      <w:pPr>
        <w:pStyle w:val="Caption"/>
      </w:pPr>
      <w:r>
        <w:t>Tabella 18 – Realizzazione del modello bitemporale su Oracle</w:t>
      </w:r>
    </w:p>
    <w:p>
      <w:pPr>
        <w:jc w:val="both"/>
      </w:pPr>
      <w:r>
        <w:t>Le due funzioni, congiuntamente impiegate, realizzano il modello bitemporale senza sviluppo applicativo dedicato. Il driver rilevato nei sorgenti è ojdbc8 versione 12.2.0.1, il che colloca l’installazione in ambito 12c o successivo e rende le funzioni disponibili.</w:t>
      </w:r>
    </w:p>
    <w:p>
      <w:pPr>
        <w:jc w:val="both"/>
      </w:pPr>
      <w:r>
        <w:t>[DA VERIFICARE: versione esatta di Oracle in esercizio e disponibilità in licenza delle funzioni Temporal Validity e Flashback Data Archive. La seconda, in particolare, è soggetta a condizioni di licenza differenziate per edizione.]</w:t>
      </w:r>
    </w:p>
    <w:p>
      <w:pPr>
        <w:jc w:val="both"/>
      </w:pPr>
      <w:r>
        <w:t>Ove le funzioni non risultassero disponibili, il modello bitemporale resta realizzabile mediante colonne esplicite e trigger, come già avviene per le decodifiche storicizzate di SIPO citate al § 4.3: il sistema dispone di precedenti interni.</w:t>
      </w:r>
    </w:p>
    <w:p>
      <w:pPr>
        <w:jc w:val="both"/>
      </w:pPr>
      <w:r>
        <w:t>Si propone infine uno schema dedicato, distinto da ANAG_USR e MATR_USR, al fine di mantenere separato il vocabolario ANSC dall’impianto CONF_* esistente (RF-09) e di consentirne la coesistenza durante la transizione.</w:t>
      </w:r>
    </w:p>
    <w:p>
      <w:pPr>
        <w:pStyle w:val="Heading2"/>
      </w:pPr>
      <w:r>
        <w:t>Livello 3 — Distribuzione</w:t>
      </w:r>
    </w:p>
    <w:p>
      <w:pPr>
        <w:jc w:val="both"/>
      </w:pPr>
      <w:r>
        <w:t>Coerentemente con il § 6.5, la distribuzione avviene su un canale primario e uno complementare.</w:t>
      </w:r>
    </w:p>
    <w:p>
      <w:pPr>
        <w:jc w:val="both"/>
      </w:pPr>
      <w:r>
        <w:t>Il canale primario è un servizio REST di sola lettura, privo di stato, che carica l’intero dataset in memoria all’avvio. Non si prevede accesso alla base dati nel percorso di risposta: 200 KB risiedono integralmente in memoria. Il servizio soddisfa RNF-07, disaccoppiando l’aggiornamento delle decodifiche dal ciclo di rilascio degli 88 moduli consumatori.</w:t>
      </w:r>
    </w:p>
    <w:tbl>
      <w:tblPr>
        <w:tblStyle w:val="GridTable1Light"/>
        <w:tblW w:type="auto" w:w="0"/>
        <w:tblLook w:firstColumn="1" w:firstRow="1" w:lastColumn="0" w:lastRow="0" w:noHBand="0" w:noVBand="1" w:val="04A0"/>
      </w:tblPr>
      <w:tblGrid>
        <w:gridCol w:w="4680"/>
        <w:gridCol w:w="4680"/>
      </w:tblGrid>
      <w:tr>
        <w:tc>
          <w:tcPr>
            <w:tcW w:type="dxa" w:w="4680"/>
          </w:tcPr>
          <w:p>
            <w:r/>
            <w:r>
              <w:rPr>
                <w:b/>
              </w:rPr>
              <w:t>Aspetto</w:t>
            </w:r>
          </w:p>
        </w:tc>
        <w:tc>
          <w:tcPr>
            <w:tcW w:type="dxa" w:w="4680"/>
          </w:tcPr>
          <w:p>
            <w:r/>
            <w:r>
              <w:rPr>
                <w:b/>
              </w:rPr>
              <w:t>Impostazione proposta</w:t>
            </w:r>
          </w:p>
        </w:tc>
      </w:tr>
      <w:tr>
        <w:tc>
          <w:tcPr>
            <w:tcW w:type="dxa" w:w="4680"/>
          </w:tcPr>
          <w:p>
            <w:r/>
            <w:r>
              <w:t>Risoluzione a data</w:t>
            </w:r>
          </w:p>
        </w:tc>
        <w:tc>
          <w:tcPr>
            <w:tcW w:type="dxa" w:w="4680"/>
          </w:tcPr>
          <w:p>
            <w:r/>
            <w:r>
              <w:t>GET /decodifiche/{tabella}?validAt=AAAA-MM-GG</w:t>
            </w:r>
          </w:p>
        </w:tc>
      </w:tr>
      <w:tr>
        <w:tc>
          <w:tcPr>
            <w:tcW w:type="dxa" w:w="4680"/>
          </w:tcPr>
          <w:p>
            <w:r/>
            <w:r>
              <w:t>Risoluzione puntuale</w:t>
            </w:r>
          </w:p>
        </w:tc>
        <w:tc>
          <w:tcPr>
            <w:tcW w:type="dxa" w:w="4680"/>
          </w:tcPr>
          <w:p>
            <w:r/>
            <w:r>
              <w:t>GET /decodifiche/{tabella}/{id}?validAt=AAAA-MM-GG</w:t>
            </w:r>
          </w:p>
        </w:tc>
      </w:tr>
      <w:tr>
        <w:tc>
          <w:tcPr>
            <w:tcW w:type="dxa" w:w="4680"/>
          </w:tcPr>
          <w:p>
            <w:r/>
            <w:r>
              <w:t>Elenco e versioni</w:t>
            </w:r>
          </w:p>
        </w:tc>
        <w:tc>
          <w:tcPr>
            <w:tcW w:type="dxa" w:w="4680"/>
          </w:tcPr>
          <w:p>
            <w:r/>
            <w:r>
              <w:t>GET /decodifiche</w:t>
            </w:r>
          </w:p>
        </w:tc>
      </w:tr>
      <w:tr>
        <w:tc>
          <w:tcPr>
            <w:tcW w:type="dxa" w:w="4680"/>
          </w:tcPr>
          <w:p>
            <w:r/>
            <w:r>
              <w:t>Transcodifica ANSC/SIPO</w:t>
            </w:r>
          </w:p>
        </w:tc>
        <w:tc>
          <w:tcPr>
            <w:tcW w:type="dxa" w:w="4680"/>
          </w:tcPr>
          <w:p>
            <w:r/>
            <w:r>
              <w:t>GET /decodifiche/{tabella}/{id}?dialect=sipo (RF-10)</w:t>
            </w:r>
          </w:p>
        </w:tc>
      </w:tr>
      <w:tr>
        <w:tc>
          <w:tcPr>
            <w:tcW w:type="dxa" w:w="4680"/>
          </w:tcPr>
          <w:p>
            <w:r/>
            <w:r>
              <w:t>Validazione della cache</w:t>
            </w:r>
          </w:p>
        </w:tc>
        <w:tc>
          <w:tcPr>
            <w:tcW w:type="dxa" w:w="4680"/>
          </w:tcPr>
          <w:p>
            <w:r/>
            <w:r>
              <w:t>ETag su versione della tabella</w:t>
            </w:r>
          </w:p>
        </w:tc>
      </w:tr>
      <w:tr>
        <w:tc>
          <w:tcPr>
            <w:tcW w:type="dxa" w:w="4680"/>
          </w:tcPr>
          <w:p>
            <w:r/>
            <w:r>
              <w:t>Politica di cache</w:t>
            </w:r>
          </w:p>
        </w:tc>
        <w:tc>
          <w:tcPr>
            <w:tcW w:type="dxa" w:w="4680"/>
          </w:tcPr>
          <w:p>
            <w:r/>
            <w:r>
              <w:t>Cache-Control con stale-while-revalidate</w:t>
            </w:r>
          </w:p>
        </w:tc>
      </w:tr>
      <w:tr>
        <w:tc>
          <w:tcPr>
            <w:tcW w:type="dxa" w:w="4680"/>
          </w:tcPr>
          <w:p>
            <w:r/>
            <w:r>
              <w:t>Scalabilità</w:t>
            </w:r>
          </w:p>
        </w:tc>
        <w:tc>
          <w:tcPr>
            <w:tcW w:type="dxa" w:w="4680"/>
          </w:tcPr>
          <w:p>
            <w:r/>
            <w:r>
              <w:t>Orizzontale: servizio privo di stato, dati immutabili per versione</w:t>
            </w:r>
          </w:p>
        </w:tc>
      </w:tr>
    </w:tbl>
    <w:p>
      <w:pPr>
        <w:pStyle w:val="Caption"/>
      </w:pPr>
      <w:r>
        <w:t>Tabella 19 – Impostazione del servizio di distribuzione (canale primario)</w:t>
      </w:r>
    </w:p>
    <w:p>
      <w:pPr>
        <w:jc w:val="both"/>
      </w:pPr>
      <w:r>
        <w:t>L’impiego di ETag e di un proxy inverso comporta che la maggior parte delle richieste si risolva senza raggiungere il servizio. Il meccanismo di cache impiegato è quello nativo del protocollo HTTP, che non richiede componenti infrastrutturali dedicati: è questo il punto in cui l’esigenza di caching, che aveva motivato l’ipotesi Redis, trova risposta a costo di esercizio nullo. Si osservi che Traefik è già in esercizio quale ingress di SIPO (§ 4.1) e può assolvere la funzione di proxy inverso.</w:t>
      </w:r>
    </w:p>
    <w:p>
      <w:pPr>
        <w:jc w:val="both"/>
      </w:pPr>
      <w:r>
        <w:t>Il canale complementare è costituito dagli artefatti versionati di cui all’opzione B, raccomandato per i moduli di nuovo sviluppo e subordinato all’istituzione di un registro di artefatti (V-02). Non è proposto quale canale primario per le ragioni esposte al § 6.5.</w:t>
      </w:r>
    </w:p>
    <w:p>
      <w:pPr>
        <w:jc w:val="both"/>
      </w:pPr>
      <w:r>
        <w:t>Quanto al sottosistema .NET cert-online-dotnet [R8], non ricompilabile agevolmente, esso consuma il canale primario come qualunque altro consumatore HTTP.</w:t>
      </w:r>
    </w:p>
    <w:p>
      <w:pPr>
        <w:pStyle w:val="Heading2"/>
      </w:pPr>
      <w:r>
        <w:t>Livello 4 — Interoperabilità</w:t>
      </w:r>
    </w:p>
    <w:p>
      <w:pPr>
        <w:jc w:val="both"/>
      </w:pPr>
      <w:r>
        <w:t>Si propone di allineare la pubblicazione agli standard nazionali per i vocabolari controllati della Pubblica Amministrazione, segnatamente OntoPiA [R11] e SKOS [R12]. Le decodifiche ANSC sono, concettualmente, vocabolari controllati: SKOS ne è la rappresentazione standard e prevede nativamente le nozioni di concetto, etichetta preferita e relazioni gerarchiche.</w:t>
      </w:r>
    </w:p>
    <w:p>
      <w:pPr>
        <w:jc w:val="both"/>
      </w:pPr>
      <w:r>
        <w:t>Il beneficio è duplice: conformità agli indirizzi AGID in materia di interoperabilità semantica e riusabilità della pubblicazione da parte di altri enti. L’onere è contenuto, trattandosi di una rappresentazione aggiuntiva del medesimo archivio canonico. Il livello è proposto come evolutivo e non condiziona i livelli da 1 a 3.</w:t>
      </w:r>
    </w:p>
    <w:p>
      <w:r>
        <w:br w:type="page"/>
      </w:r>
    </w:p>
    <w:p>
      <w:pPr>
        <w:pStyle w:val="Heading1"/>
      </w:pPr>
      <w:r>
        <w:t>Modello di dati</w:t>
      </w:r>
    </w:p>
    <w:p>
      <w:pPr>
        <w:jc w:val="both"/>
      </w:pPr>
      <w:r>
        <w:t>Si propone un modello unico per tutte le 145 decodifiche, in luogo di uno schema dedicato per tabella. La scelta è sostenuta dall’uniformità rilevata al § 3.2: 140 tabelle su 145 condividono la medesima intestazione e le difformità residue riguardano attributi aggiuntivi isolati.</w:t>
      </w:r>
    </w:p>
    <w:p>
      <w:pPr>
        <w:pStyle w:val="Heading2"/>
      </w:pPr>
      <w:r>
        <w:t>Entità primaria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Colonna</w:t>
            </w:r>
          </w:p>
        </w:tc>
        <w:tc>
          <w:tcPr>
            <w:tcW w:type="dxa" w:w="3120"/>
          </w:tcPr>
          <w:p>
            <w:r/>
            <w:r>
              <w:rPr>
                <w:b/>
              </w:rPr>
              <w:t>Tipo</w:t>
            </w:r>
          </w:p>
        </w:tc>
        <w:tc>
          <w:tcPr>
            <w:tcW w:type="dxa" w:w="3120"/>
          </w:tcPr>
          <w:p>
            <w:r/>
            <w:r>
              <w:rPr>
                <w:b/>
              </w:rPr>
              <w:t>Descrizione</w:t>
            </w:r>
          </w:p>
        </w:tc>
      </w:tr>
      <w:tr>
        <w:tc>
          <w:tcPr>
            <w:tcW w:type="dxa" w:w="3120"/>
          </w:tcPr>
          <w:p>
            <w:r/>
            <w:r>
              <w:t>ID_TABELLA</w:t>
            </w:r>
          </w:p>
        </w:tc>
        <w:tc>
          <w:tcPr>
            <w:tcW w:type="dxa" w:w="3120"/>
          </w:tcPr>
          <w:p>
            <w:r/>
            <w:r>
              <w:t>NUMBER</w:t>
            </w:r>
          </w:p>
        </w:tc>
        <w:tc>
          <w:tcPr>
            <w:tcW w:type="dxa" w:w="3120"/>
          </w:tcPr>
          <w:p>
            <w:r/>
            <w:r>
              <w:t>Identificativo della decodifica (prefisso numerico del nome file, es. 61).</w:t>
            </w:r>
          </w:p>
        </w:tc>
      </w:tr>
      <w:tr>
        <w:tc>
          <w:tcPr>
            <w:tcW w:type="dxa" w:w="3120"/>
          </w:tcPr>
          <w:p>
            <w:r/>
            <w:r>
              <w:t>NOME_TABELLA</w:t>
            </w:r>
          </w:p>
        </w:tc>
        <w:tc>
          <w:tcPr>
            <w:tcW w:type="dxa" w:w="3120"/>
          </w:tcPr>
          <w:p>
            <w:r/>
            <w:r>
              <w:t>VARCHAR2</w:t>
            </w:r>
          </w:p>
        </w:tc>
        <w:tc>
          <w:tcPr>
            <w:tcW w:type="dxa" w:w="3120"/>
          </w:tcPr>
          <w:p>
            <w:r/>
            <w:r>
              <w:t>Nome della decodifica (es. dec_stato_civile).</w:t>
            </w:r>
          </w:p>
        </w:tc>
      </w:tr>
      <w:tr>
        <w:tc>
          <w:tcPr>
            <w:tcW w:type="dxa" w:w="3120"/>
          </w:tcPr>
          <w:p>
            <w:r/>
            <w:r>
              <w:t>ID_VOCE</w:t>
            </w:r>
          </w:p>
        </w:tc>
        <w:tc>
          <w:tcPr>
            <w:tcW w:type="dxa" w:w="3120"/>
          </w:tcPr>
          <w:p>
            <w:r/>
            <w:r>
              <w:t>VARCHAR2</w:t>
            </w:r>
          </w:p>
        </w:tc>
        <w:tc>
          <w:tcPr>
            <w:tcW w:type="dxa" w:w="3120"/>
          </w:tcPr>
          <w:p>
            <w:r/>
            <w:r>
              <w:t>Codice della voce entro la decodifica (colonna ID della sorgente).</w:t>
            </w:r>
          </w:p>
        </w:tc>
      </w:tr>
      <w:tr>
        <w:tc>
          <w:tcPr>
            <w:tcW w:type="dxa" w:w="3120"/>
          </w:tcPr>
          <w:p>
            <w:r/>
            <w:r>
              <w:t>DESCRIZIONE</w:t>
            </w:r>
          </w:p>
        </w:tc>
        <w:tc>
          <w:tcPr>
            <w:tcW w:type="dxa" w:w="3120"/>
          </w:tcPr>
          <w:p>
            <w:r/>
            <w:r>
              <w:t>VARCHAR2</w:t>
            </w:r>
          </w:p>
        </w:tc>
        <w:tc>
          <w:tcPr>
            <w:tcW w:type="dxa" w:w="3120"/>
          </w:tcPr>
          <w:p>
            <w:r/>
            <w:r>
              <w:t>Descrizione della voce (colonna DESCRIZIONE).</w:t>
            </w:r>
          </w:p>
        </w:tc>
      </w:tr>
      <w:tr>
        <w:tc>
          <w:tcPr>
            <w:tcW w:type="dxa" w:w="3120"/>
          </w:tcPr>
          <w:p>
            <w:r/>
            <w:r>
              <w:t>DATA_INIZIO_VAL</w:t>
            </w:r>
          </w:p>
        </w:tc>
        <w:tc>
          <w:tcPr>
            <w:tcW w:type="dxa" w:w="3120"/>
          </w:tcPr>
          <w:p>
            <w:r/>
            <w:r>
              <w:t>TIMESTAMP</w:t>
            </w:r>
          </w:p>
        </w:tc>
        <w:tc>
          <w:tcPr>
            <w:tcW w:type="dxa" w:w="3120"/>
          </w:tcPr>
          <w:p>
            <w:r/>
            <w:r>
              <w:t>Inizio validità. Nullo ove non valorizzato in sorgente (§ 3.5).</w:t>
            </w:r>
          </w:p>
        </w:tc>
      </w:tr>
      <w:tr>
        <w:tc>
          <w:tcPr>
            <w:tcW w:type="dxa" w:w="3120"/>
          </w:tcPr>
          <w:p>
            <w:r/>
            <w:r>
              <w:t>DATA_FINE_VAL</w:t>
            </w:r>
          </w:p>
        </w:tc>
        <w:tc>
          <w:tcPr>
            <w:tcW w:type="dxa" w:w="3120"/>
          </w:tcPr>
          <w:p>
            <w:r/>
            <w:r>
              <w:t>TIMESTAMP</w:t>
            </w:r>
          </w:p>
        </w:tc>
        <w:tc>
          <w:tcPr>
            <w:tcW w:type="dxa" w:w="3120"/>
          </w:tcPr>
          <w:p>
            <w:r/>
            <w:r>
              <w:t>Fine validità. Il valore 9999-12-31 indica validità aperta.</w:t>
            </w:r>
          </w:p>
        </w:tc>
      </w:tr>
      <w:tr>
        <w:tc>
          <w:tcPr>
            <w:tcW w:type="dxa" w:w="3120"/>
          </w:tcPr>
          <w:p>
            <w:r/>
            <w:r>
              <w:t>ORDINAMENTO</w:t>
            </w:r>
          </w:p>
        </w:tc>
        <w:tc>
          <w:tcPr>
            <w:tcW w:type="dxa" w:w="3120"/>
          </w:tcPr>
          <w:p>
            <w:r/>
            <w:r>
              <w:t>NUMBER</w:t>
            </w:r>
          </w:p>
        </w:tc>
        <w:tc>
          <w:tcPr>
            <w:tcW w:type="dxa" w:w="3120"/>
          </w:tcPr>
          <w:p>
            <w:r/>
            <w:r>
              <w:t>Ordinamento di presentazione.</w:t>
            </w:r>
          </w:p>
        </w:tc>
      </w:tr>
      <w:tr>
        <w:tc>
          <w:tcPr>
            <w:tcW w:type="dxa" w:w="3120"/>
          </w:tcPr>
          <w:p>
            <w:r/>
            <w:r>
              <w:t>ATTRIBUTI</w:t>
            </w:r>
          </w:p>
        </w:tc>
        <w:tc>
          <w:tcPr>
            <w:tcW w:type="dxa" w:w="3120"/>
          </w:tcPr>
          <w:p>
            <w:r/>
            <w:r>
              <w:t>CLOB (JSON)</w:t>
            </w:r>
          </w:p>
        </w:tc>
        <w:tc>
          <w:tcPr>
            <w:tcW w:type="dxa" w:w="3120"/>
          </w:tcPr>
          <w:p>
            <w:r/>
            <w:r>
              <w:t>Attributi aggiuntivi specifici (IDTIPOCONTENUTO, CODICECONSOLATO).</w:t>
            </w:r>
          </w:p>
        </w:tc>
      </w:tr>
      <w:tr>
        <w:tc>
          <w:tcPr>
            <w:tcW w:type="dxa" w:w="3120"/>
          </w:tcPr>
          <w:p>
            <w:r/>
            <w:r>
              <w:t>VERSIONE_TABELLA</w:t>
            </w:r>
          </w:p>
        </w:tc>
        <w:tc>
          <w:tcPr>
            <w:tcW w:type="dxa" w:w="3120"/>
          </w:tcPr>
          <w:p>
            <w:r/>
            <w:r>
              <w:t>VARCHAR2</w:t>
            </w:r>
          </w:p>
        </w:tc>
        <w:tc>
          <w:tcPr>
            <w:tcW w:type="dxa" w:w="3120"/>
          </w:tcPr>
          <w:p>
            <w:r/>
            <w:r>
              <w:t>Versione della decodifica, come restituita da R901.</w:t>
            </w:r>
          </w:p>
        </w:tc>
      </w:tr>
      <w:tr>
        <w:tc>
          <w:tcPr>
            <w:tcW w:type="dxa" w:w="3120"/>
          </w:tcPr>
          <w:p>
            <w:r/>
            <w:r>
              <w:t>PERIOD FOR VALIDITA</w:t>
            </w:r>
          </w:p>
        </w:tc>
        <w:tc>
          <w:tcPr>
            <w:tcW w:type="dxa" w:w="3120"/>
          </w:tcPr>
          <w:p>
            <w:r/>
            <w:r>
              <w:t>(Temporal Validity)</w:t>
            </w:r>
          </w:p>
        </w:tc>
        <w:tc>
          <w:tcPr>
            <w:tcW w:type="dxa" w:w="3120"/>
          </w:tcPr>
          <w:p>
            <w:r/>
            <w:r>
              <w:t>Periodo di validità dichiarato su DATA_INIZIO_VAL / DATA_FINE_VAL.</w:t>
            </w:r>
          </w:p>
        </w:tc>
      </w:tr>
    </w:tbl>
    <w:p>
      <w:pPr>
        <w:pStyle w:val="Caption"/>
      </w:pPr>
      <w:r>
        <w:t>Tabella 20 – Entità DECODIFICA_VOCE</w:t>
      </w:r>
    </w:p>
    <w:p>
      <w:pPr>
        <w:jc w:val="both"/>
      </w:pPr>
      <w:r>
        <w:t>Il tempo di registrazione non figura quale colonna: è assolto da Flashback Data Archive, che storicizza automaticamente le modifiche senza intervento applicativo (§ 7.3).</w:t>
      </w:r>
    </w:p>
    <w:p>
      <w:pPr>
        <w:jc w:val="both"/>
      </w:pPr>
      <w:r>
        <w:t>Si segnala una criticità sulla chiave, emersa nella versione 0.3. Il § 3.5.1 ha accertato che l’identificativo 134 è assegnato da ANSC a due decodifiche divergenti. La sola coppia (ID_TABELLA, ID_VOCE) non è pertanto univoca: per l’identificativo 134 il codice 4 assume due significati distinti, «Altro» ovvero «Tutore». Si prevede conseguentemente che la chiave includa anche NOME_TABELLA, che risulta univoco, e che ID_TABELLA sia trattato quale attributo non identificante finché l’anomalia non sia chiarita con ANSC. La scelta è cautelativa e non comporta oneri: il nome è comunque presente e la volumetria è trascurabile.</w:t>
      </w:r>
    </w:p>
    <w:p>
      <w:pPr>
        <w:pStyle w:val="Heading2"/>
      </w:pPr>
      <w:r>
        <w:t>Entità di transcodifica</w:t>
      </w:r>
    </w:p>
    <w:p>
      <w:pPr>
        <w:jc w:val="both"/>
      </w:pPr>
      <w:r>
        <w:t>Il § 4.5 ha documentato la divergenza fra i vocabolari SIPO e ANSC. Si propone pertanto un’entità distinta che mantenga la corrispondenza, in attuazione di RF-10.</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Colonna</w:t>
            </w:r>
          </w:p>
        </w:tc>
        <w:tc>
          <w:tcPr>
            <w:tcW w:type="dxa" w:w="3120"/>
          </w:tcPr>
          <w:p>
            <w:r/>
            <w:r>
              <w:rPr>
                <w:b/>
              </w:rPr>
              <w:t>Tipo</w:t>
            </w:r>
          </w:p>
        </w:tc>
        <w:tc>
          <w:tcPr>
            <w:tcW w:type="dxa" w:w="3120"/>
          </w:tcPr>
          <w:p>
            <w:r/>
            <w:r>
              <w:rPr>
                <w:b/>
              </w:rPr>
              <w:t>Descrizione</w:t>
            </w:r>
          </w:p>
        </w:tc>
      </w:tr>
      <w:tr>
        <w:tc>
          <w:tcPr>
            <w:tcW w:type="dxa" w:w="3120"/>
          </w:tcPr>
          <w:p>
            <w:r/>
            <w:r>
              <w:t>NOME_TABELLA_ANSC</w:t>
            </w:r>
          </w:p>
        </w:tc>
        <w:tc>
          <w:tcPr>
            <w:tcW w:type="dxa" w:w="3120"/>
          </w:tcPr>
          <w:p>
            <w:r/>
            <w:r>
              <w:t>VARCHAR2</w:t>
            </w:r>
          </w:p>
        </w:tc>
        <w:tc>
          <w:tcPr>
            <w:tcW w:type="dxa" w:w="3120"/>
          </w:tcPr>
          <w:p>
            <w:r/>
            <w:r>
              <w:t>Decodifica ANSC di riferimento (es. dec_stato_civile).</w:t>
            </w:r>
          </w:p>
        </w:tc>
      </w:tr>
      <w:tr>
        <w:tc>
          <w:tcPr>
            <w:tcW w:type="dxa" w:w="3120"/>
          </w:tcPr>
          <w:p>
            <w:r/>
            <w:r>
              <w:t>ID_VOCE_ANSC</w:t>
            </w:r>
          </w:p>
        </w:tc>
        <w:tc>
          <w:tcPr>
            <w:tcW w:type="dxa" w:w="3120"/>
          </w:tcPr>
          <w:p>
            <w:r/>
            <w:r>
              <w:t>VARCHAR2</w:t>
            </w:r>
          </w:p>
        </w:tc>
        <w:tc>
          <w:tcPr>
            <w:tcW w:type="dxa" w:w="3120"/>
          </w:tcPr>
          <w:p>
            <w:r/>
            <w:r>
              <w:t>Codice ANSC.</w:t>
            </w:r>
          </w:p>
        </w:tc>
      </w:tr>
      <w:tr>
        <w:tc>
          <w:tcPr>
            <w:tcW w:type="dxa" w:w="3120"/>
          </w:tcPr>
          <w:p>
            <w:r/>
            <w:r>
              <w:t>TABELLA_SIPO</w:t>
            </w:r>
          </w:p>
        </w:tc>
        <w:tc>
          <w:tcPr>
            <w:tcW w:type="dxa" w:w="3120"/>
          </w:tcPr>
          <w:p>
            <w:r/>
            <w:r>
              <w:t>VARCHAR2</w:t>
            </w:r>
          </w:p>
        </w:tc>
        <w:tc>
          <w:tcPr>
            <w:tcW w:type="dxa" w:w="3120"/>
          </w:tcPr>
          <w:p>
            <w:r/>
            <w:r>
              <w:t>Tabella CONF_* corrispondente (es. CONF_STATO_CIVILE).</w:t>
            </w:r>
          </w:p>
        </w:tc>
      </w:tr>
      <w:tr>
        <w:tc>
          <w:tcPr>
            <w:tcW w:type="dxa" w:w="3120"/>
          </w:tcPr>
          <w:p>
            <w:r/>
            <w:r>
              <w:t>ID_VOCE_SIPO</w:t>
            </w:r>
          </w:p>
        </w:tc>
        <w:tc>
          <w:tcPr>
            <w:tcW w:type="dxa" w:w="3120"/>
          </w:tcPr>
          <w:p>
            <w:r/>
            <w:r>
              <w:t>VARCHAR2</w:t>
            </w:r>
          </w:p>
        </w:tc>
        <w:tc>
          <w:tcPr>
            <w:tcW w:type="dxa" w:w="3120"/>
          </w:tcPr>
          <w:p>
            <w:r/>
            <w:r>
              <w:t>Codice SIPO corrispondente.</w:t>
            </w:r>
          </w:p>
        </w:tc>
      </w:tr>
      <w:tr>
        <w:tc>
          <w:tcPr>
            <w:tcW w:type="dxa" w:w="3120"/>
          </w:tcPr>
          <w:p>
            <w:r/>
            <w:r>
              <w:t>DESCRIZIONE_SIPO</w:t>
            </w:r>
          </w:p>
        </w:tc>
        <w:tc>
          <w:tcPr>
            <w:tcW w:type="dxa" w:w="3120"/>
          </w:tcPr>
          <w:p>
            <w:r/>
            <w:r>
              <w:t>VARCHAR2</w:t>
            </w:r>
          </w:p>
        </w:tc>
        <w:tc>
          <w:tcPr>
            <w:tcW w:type="dxa" w:w="3120"/>
          </w:tcPr>
          <w:p>
            <w:r/>
            <w:r>
              <w:t>Descrizione SIPO, ove divergente da quella ANSC.</w:t>
            </w:r>
          </w:p>
        </w:tc>
      </w:tr>
      <w:tr>
        <w:tc>
          <w:tcPr>
            <w:tcW w:type="dxa" w:w="3120"/>
          </w:tcPr>
          <w:p>
            <w:r/>
            <w:r>
              <w:t>NOTE</w:t>
            </w:r>
          </w:p>
        </w:tc>
        <w:tc>
          <w:tcPr>
            <w:tcW w:type="dxa" w:w="3120"/>
          </w:tcPr>
          <w:p>
            <w:r/>
            <w:r>
              <w:t>VARCHAR2</w:t>
            </w:r>
          </w:p>
        </w:tc>
        <w:tc>
          <w:tcPr>
            <w:tcW w:type="dxa" w:w="3120"/>
          </w:tcPr>
          <w:p>
            <w:r/>
            <w:r>
              <w:t>Motivazione della divergenza.</w:t>
            </w:r>
          </w:p>
        </w:tc>
      </w:tr>
    </w:tbl>
    <w:p>
      <w:pPr>
        <w:pStyle w:val="Caption"/>
      </w:pPr>
      <w:r>
        <w:t>Tabella 21 – Entità TRANSCODIFICA_ANSC_SIPO</w:t>
      </w:r>
    </w:p>
    <w:p>
      <w:pPr>
        <w:jc w:val="both"/>
      </w:pPr>
      <w:r>
        <w:t>Per lo stato civile, l’entità conterrebbe le tre divergenze rilevate al § 4.5, mentre i cinque codici coincidenti non richiederebbero alcuna riga. L’entità consente di mantenere le descrizioni SIPO sui certificati emessi, ove così si decida, senza rinunciare all’allineamento dei codici con ANSC.</w:t>
      </w:r>
    </w:p>
    <w:p>
      <w:pPr>
        <w:pStyle w:val="Heading2"/>
      </w:pPr>
      <w:r>
        <w:t>Razionale del modello</w:t>
      </w:r>
    </w:p>
    <w:p>
      <w:pPr>
        <w:jc w:val="both"/>
      </w:pPr>
      <w:r>
        <w:t>La colonna ATTRIBUTI in formato JSON assorbe l’eterogeneità rilevata al § 3.2 senza imporre uno schema per ciascuna delle 145 decodifiche e senza richiedere modifiche strutturali qualora ANSC introduca nuovi attributi. Le due difformità note — IDTIPOCONTENUTO in 3_dec_use_case e CODICECONSOLATO in 97_dec_consolato — vi trovano collocazione naturale.</w:t>
      </w:r>
    </w:p>
    <w:p>
      <w:pPr>
        <w:jc w:val="both"/>
      </w:pPr>
      <w:r>
        <w:t>La coesistenza delle colonne di validità e della storicizzazione Flashback realizza il modello bitemporale. Le due dimensioni rispondono a domande distinte, entrambe pertinenti in sede di verifica: le prime consentono di stabilire quale voce fosse valida alla data dell’atto; la seconda quale voce il sistema conoscesse a una data determinata. La distinzione diviene rilevante allorché ANSC rettifichi retroattivamente una decodifica: senza la dimensione di registrazione non sarebbe possibile ricostruire il motivo per cui un atto fu formato con una descrizione successivamente modificata.</w:t>
      </w:r>
    </w:p>
    <w:p>
      <w:r>
        <w:br w:type="page"/>
      </w:r>
    </w:p>
    <w:p>
      <w:pPr>
        <w:pStyle w:val="Heading1"/>
      </w:pPr>
      <w:r>
        <w:t>Classi di rischio</w:t>
      </w:r>
    </w:p>
    <w:p>
      <w:pPr>
        <w:pStyle w:val="Heading2"/>
      </w:pPr>
      <w:r>
        <w:t>Classe A – Alta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Rischio</w:t>
            </w:r>
          </w:p>
        </w:tc>
        <w:tc>
          <w:tcPr>
            <w:tcW w:type="dxa" w:w="3120"/>
          </w:tcPr>
          <w:p>
            <w:r/>
            <w:r>
              <w:rPr>
                <w:b/>
              </w:rPr>
              <w:t>Mitigazione proposta</w:t>
            </w:r>
          </w:p>
        </w:tc>
      </w:tr>
      <w:tr>
        <w:tc>
          <w:tcPr>
            <w:tcW w:type="dxa" w:w="3120"/>
          </w:tcPr>
          <w:p>
            <w:r/>
            <w:r>
              <w:t>RA-01</w:t>
            </w:r>
          </w:p>
        </w:tc>
        <w:tc>
          <w:tcPr>
            <w:tcW w:type="dxa" w:w="3120"/>
          </w:tcPr>
          <w:p>
            <w:r/>
            <w:r>
              <w:t>Disallineamento fra consumatori: sistemi sincronizzati in momenti diversi decodificano il medesimo codice in modo difforme, con riflessi sull’integrità degli atti.</w:t>
            </w:r>
          </w:p>
        </w:tc>
        <w:tc>
          <w:tcPr>
            <w:tcW w:type="dxa" w:w="3120"/>
          </w:tcPr>
          <w:p>
            <w:r/>
            <w:r>
              <w:t>Punto di contatto unico verso ANSC (§ 7.1) e canale primario REST quale fonte unica (§ 7.4). Si segnala che il rischio è GIÀ REALIZZATO in SIPO (§ 4.3).</w:t>
            </w:r>
          </w:p>
        </w:tc>
      </w:tr>
      <w:tr>
        <w:tc>
          <w:tcPr>
            <w:tcW w:type="dxa" w:w="3120"/>
          </w:tcPr>
          <w:p>
            <w:r/>
            <w:r>
              <w:t>RA-02</w:t>
            </w:r>
          </w:p>
        </w:tc>
        <w:tc>
          <w:tcPr>
            <w:tcW w:type="dxa" w:w="3120"/>
          </w:tcPr>
          <w:p>
            <w:r/>
            <w:r>
              <w:t>Decodifica di atti pregressi mediante voci non vigenti alla data dell’atto.</w:t>
            </w:r>
          </w:p>
        </w:tc>
        <w:tc>
          <w:tcPr>
            <w:tcW w:type="dxa" w:w="3120"/>
          </w:tcPr>
          <w:p>
            <w:r/>
            <w:r>
              <w:t>Modello bitemporale (§ 7.3) e risoluzione a data obbligatoria (RF-02).</w:t>
            </w:r>
          </w:p>
        </w:tc>
      </w:tr>
      <w:tr>
        <w:tc>
          <w:tcPr>
            <w:tcW w:type="dxa" w:w="3120"/>
          </w:tcPr>
          <w:p>
            <w:r/>
            <w:r>
              <w:t>RA-03</w:t>
            </w:r>
          </w:p>
        </w:tc>
        <w:tc>
          <w:tcPr>
            <w:tcW w:type="dxa" w:w="3120"/>
          </w:tcPr>
          <w:p>
            <w:r/>
            <w:r>
              <w:t>La convergenza dei vocabolari modifica le descrizioni stampate sui certificati (es. «Sposato/a» → «Coniugato/a»).</w:t>
            </w:r>
          </w:p>
        </w:tc>
        <w:tc>
          <w:tcPr>
            <w:tcW w:type="dxa" w:w="3120"/>
          </w:tcPr>
          <w:p>
            <w:r/>
            <w:r>
              <w:t>Entità di transcodifica (§ 8.2) e decisione esplicita preventiva (PA-12).</w:t>
            </w:r>
          </w:p>
        </w:tc>
      </w:tr>
      <w:tr>
        <w:tc>
          <w:tcPr>
            <w:tcW w:type="dxa" w:w="3120"/>
          </w:tcPr>
          <w:p>
            <w:r/>
            <w:r>
              <w:t>RA-04</w:t>
            </w:r>
          </w:p>
        </w:tc>
        <w:tc>
          <w:tcPr>
            <w:tcW w:type="dxa" w:w="3120"/>
          </w:tcPr>
          <w:p>
            <w:r/>
            <w:r>
              <w:t>NUOVO in v0.3. Collisione dell’identificativo 134, assegnato da ANSC a due decodifiche che divergono sul codice 4 («Altro» / «Tutore»). R901 impiega l’identificativo quale chiave: la decodifica restituita è indeterminata.</w:t>
            </w:r>
          </w:p>
        </w:tc>
        <w:tc>
          <w:tcPr>
            <w:tcW w:type="dxa" w:w="3120"/>
          </w:tcPr>
          <w:p>
            <w:r/>
            <w:r>
              <w:t>Chiave estesa a NOME_TABELLA (§ 8.1); accertamento presso ANSC (PA-15).</w:t>
            </w:r>
          </w:p>
        </w:tc>
      </w:tr>
      <w:tr>
        <w:tc>
          <w:tcPr>
            <w:tcW w:type="dxa" w:w="3120"/>
          </w:tcPr>
          <w:p>
            <w:r/>
            <w:r>
              <w:t>RA-05</w:t>
            </w:r>
          </w:p>
        </w:tc>
        <w:tc>
          <w:tcPr>
            <w:tcW w:type="dxa" w:w="3120"/>
          </w:tcPr>
          <w:p>
            <w:r/>
            <w:r>
              <w:t>NUOVO in v0.3. Collisione semantica fra decodifiche omonime: 29_dec_certificabilita e CONF_CERTIFICABILITA condividono nome e codici ma invertono i significati. Nessun controllo automatico la rileva.</w:t>
            </w:r>
          </w:p>
        </w:tc>
        <w:tc>
          <w:tcPr>
            <w:tcW w:type="dxa" w:w="3120"/>
          </w:tcPr>
          <w:p>
            <w:r/>
            <w:r>
              <w:t>Validazione puntuale delle corrispondenze (PA-16) ed entità di transcodifica (§ 8.2).</w:t>
            </w:r>
          </w:p>
        </w:tc>
      </w:tr>
    </w:tbl>
    <w:p>
      <w:pPr>
        <w:pStyle w:val="Caption"/>
      </w:pPr>
      <w:r>
        <w:t>Tabella 22 – Rischi di classe A</w:t>
      </w:r>
    </w:p>
    <w:p>
      <w:pPr>
        <w:pStyle w:val="Heading2"/>
      </w:pPr>
      <w:r>
        <w:t>Classe B – Media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Rischio</w:t>
            </w:r>
          </w:p>
        </w:tc>
        <w:tc>
          <w:tcPr>
            <w:tcW w:type="dxa" w:w="3120"/>
          </w:tcPr>
          <w:p>
            <w:r/>
            <w:r>
              <w:rPr>
                <w:b/>
              </w:rPr>
              <w:t>Mitigazione proposta</w:t>
            </w:r>
          </w:p>
        </w:tc>
      </w:tr>
      <w:tr>
        <w:tc>
          <w:tcPr>
            <w:tcW w:type="dxa" w:w="3120"/>
          </w:tcPr>
          <w:p>
            <w:r/>
            <w:r>
              <w:t>RB-01</w:t>
            </w:r>
          </w:p>
        </w:tc>
        <w:tc>
          <w:tcPr>
            <w:tcW w:type="dxa" w:w="3120"/>
          </w:tcPr>
          <w:p>
            <w:r/>
            <w:r>
              <w:t>Indisponibilità del servizio R901 durante la sincronizzazione.</w:t>
            </w:r>
          </w:p>
        </w:tc>
        <w:tc>
          <w:tcPr>
            <w:tcW w:type="dxa" w:w="3120"/>
          </w:tcPr>
          <w:p>
            <w:r/>
            <w:r>
              <w:t>Sincronizzazione asincrona: i consumatori operano sull’ultima versione acquisita (§ 7.2).</w:t>
            </w:r>
          </w:p>
        </w:tc>
      </w:tr>
      <w:tr>
        <w:tc>
          <w:tcPr>
            <w:tcW w:type="dxa" w:w="3120"/>
          </w:tcPr>
          <w:p>
            <w:r/>
            <w:r>
              <w:t>RB-02</w:t>
            </w:r>
          </w:p>
        </w:tc>
        <w:tc>
          <w:tcPr>
            <w:tcW w:type="dxa" w:w="3120"/>
          </w:tcPr>
          <w:p>
            <w:r/>
            <w:r>
              <w:t>Variazione della semantica delle decodifiche da parte di ANSC senza preavviso.</w:t>
            </w:r>
          </w:p>
        </w:tc>
        <w:tc>
          <w:tcPr>
            <w:tcW w:type="dxa" w:w="3120"/>
          </w:tcPr>
          <w:p>
            <w:r/>
            <w:r>
              <w:t>Presidio delle note di rilascio di [R1] e riscontro automatico sulle variazioni acquisite.</w:t>
            </w:r>
          </w:p>
        </w:tc>
      </w:tr>
      <w:tr>
        <w:tc>
          <w:tcPr>
            <w:tcW w:type="dxa" w:w="3120"/>
          </w:tcPr>
          <w:p>
            <w:r/>
            <w:r>
              <w:t>RB-03</w:t>
            </w:r>
          </w:p>
        </w:tc>
        <w:tc>
          <w:tcPr>
            <w:tcW w:type="dxa" w:w="3120"/>
          </w:tcPr>
          <w:p>
            <w:r/>
            <w:r>
              <w:t>Interpretazione errata delle 55 voci con date non valorizzate (§ 3.5).</w:t>
            </w:r>
          </w:p>
        </w:tc>
        <w:tc>
          <w:tcPr>
            <w:tcW w:type="dxa" w:w="3120"/>
          </w:tcPr>
          <w:p>
            <w:r/>
            <w:r>
              <w:t>Chiarimento preventivo con ANSC; cfr. PA-02.</w:t>
            </w:r>
          </w:p>
        </w:tc>
      </w:tr>
      <w:tr>
        <w:tc>
          <w:tcPr>
            <w:tcW w:type="dxa" w:w="3120"/>
          </w:tcPr>
          <w:p>
            <w:r/>
            <w:r>
              <w:t>RB-04</w:t>
            </w:r>
          </w:p>
        </w:tc>
        <w:tc>
          <w:tcPr>
            <w:tcW w:type="dxa" w:w="3120"/>
          </w:tcPr>
          <w:p>
            <w:r/>
            <w:r>
              <w:t>NUOVO in v0.2. Le funzioni Oracle Temporal Validity e Flashback Data Archive potrebbero non essere disponibili in licenza.</w:t>
            </w:r>
          </w:p>
        </w:tc>
        <w:tc>
          <w:tcPr>
            <w:tcW w:type="dxa" w:w="3120"/>
          </w:tcPr>
          <w:p>
            <w:r/>
            <w:r>
              <w:t>Verifica preventiva (PA-06); in subordine, realizzazione mediante colonne esplicite e trigger, come già in uso in SIPO (§ 4.3).</w:t>
            </w:r>
          </w:p>
        </w:tc>
      </w:tr>
      <w:tr>
        <w:tc>
          <w:tcPr>
            <w:tcW w:type="dxa" w:w="3120"/>
          </w:tcPr>
          <w:p>
            <w:r/>
            <w:r>
              <w:t>RB-05</w:t>
            </w:r>
          </w:p>
        </w:tc>
        <w:tc>
          <w:tcPr>
            <w:tcW w:type="dxa" w:w="3120"/>
          </w:tcPr>
          <w:p>
            <w:r/>
            <w:r>
              <w:t>NUOVO in v0.2. Lo stack consumatore è fuori supporto (Spring Boot 2.1.2, gennaio 2019): l’integrazione di un client HTTP moderno può incontrare vincoli di compatibilità.</w:t>
            </w:r>
          </w:p>
        </w:tc>
        <w:tc>
          <w:tcPr>
            <w:tcW w:type="dxa" w:w="3120"/>
          </w:tcPr>
          <w:p>
            <w:r/>
            <w:r>
              <w:t>Il canale primario è REST su HTTP: non impone librerie specifiche. Cfr. V-07.</w:t>
            </w:r>
          </w:p>
        </w:tc>
      </w:tr>
    </w:tbl>
    <w:p>
      <w:pPr>
        <w:pStyle w:val="Caption"/>
      </w:pPr>
      <w:r>
        <w:t>Tabella 23 – Rischi di classe B</w:t>
      </w:r>
    </w:p>
    <w:p>
      <w:pPr>
        <w:pStyle w:val="Heading2"/>
      </w:pPr>
      <w:r>
        <w:t>Classe C – Bassa</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Rischio</w:t>
            </w:r>
          </w:p>
        </w:tc>
        <w:tc>
          <w:tcPr>
            <w:tcW w:type="dxa" w:w="3120"/>
          </w:tcPr>
          <w:p>
            <w:r/>
            <w:r>
              <w:rPr>
                <w:b/>
              </w:rPr>
              <w:t>Mitigazione proposta</w:t>
            </w:r>
          </w:p>
        </w:tc>
      </w:tr>
      <w:tr>
        <w:tc>
          <w:tcPr>
            <w:tcW w:type="dxa" w:w="3120"/>
          </w:tcPr>
          <w:p>
            <w:r/>
            <w:r>
              <w:t>RC-01</w:t>
            </w:r>
          </w:p>
        </w:tc>
        <w:tc>
          <w:tcPr>
            <w:tcW w:type="dxa" w:w="3120"/>
          </w:tcPr>
          <w:p>
            <w:r/>
            <w:r>
              <w:t>Divergenza fra i formati CSV e XLSX pubblicati.</w:t>
            </w:r>
          </w:p>
        </w:tc>
        <w:tc>
          <w:tcPr>
            <w:tcW w:type="dxa" w:w="3120"/>
          </w:tcPr>
          <w:p>
            <w:r/>
            <w:r>
              <w:t>Adozione del CSV quale formato canonico, coerentemente con R901 (§ 3.1).</w:t>
            </w:r>
          </w:p>
        </w:tc>
      </w:tr>
      <w:tr>
        <w:tc>
          <w:tcPr>
            <w:tcW w:type="dxa" w:w="3120"/>
          </w:tcPr>
          <w:p>
            <w:r/>
            <w:r>
              <w:t>RC-02</w:t>
            </w:r>
          </w:p>
        </w:tc>
        <w:tc>
          <w:tcPr>
            <w:tcW w:type="dxa" w:w="3120"/>
          </w:tcPr>
          <w:p>
            <w:r/>
            <w:r>
              <w:t>Crescita del volume oltre la capienza della memoria di processo.</w:t>
            </w:r>
          </w:p>
        </w:tc>
        <w:tc>
          <w:tcPr>
            <w:tcW w:type="dxa" w:w="3120"/>
          </w:tcPr>
          <w:p>
            <w:r/>
            <w:r>
              <w:t>Improbabile (§ 3.1). L’architettura non preclude l’introduzione successiva di una cache condivisa (§ 6.5).</w:t>
            </w:r>
          </w:p>
        </w:tc>
      </w:tr>
      <w:tr>
        <w:tc>
          <w:tcPr>
            <w:tcW w:type="dxa" w:w="3120"/>
          </w:tcPr>
          <w:p>
            <w:r/>
            <w:r>
              <w:t>RC-03</w:t>
            </w:r>
          </w:p>
        </w:tc>
        <w:tc>
          <w:tcPr>
            <w:tcW w:type="dxa" w:w="3120"/>
          </w:tcPr>
          <w:p>
            <w:r/>
            <w:r>
              <w:t>NUOVO in v0.2. Duplicazione funzionale con l’impianto CONF_* esistente durante la transizione.</w:t>
            </w:r>
          </w:p>
        </w:tc>
        <w:tc>
          <w:tcPr>
            <w:tcW w:type="dxa" w:w="3120"/>
          </w:tcPr>
          <w:p>
            <w:r/>
            <w:r>
              <w:t>Schema dedicato e coesistenza esplicita (§ 7.3, RF-09).</w:t>
            </w:r>
          </w:p>
        </w:tc>
      </w:tr>
    </w:tbl>
    <w:p>
      <w:pPr>
        <w:pStyle w:val="Caption"/>
      </w:pPr>
      <w:r>
        <w:t>Tabella 24 – Rischi di classe C</w:t>
      </w:r>
    </w:p>
    <w:p>
      <w:r>
        <w:br w:type="page"/>
      </w:r>
    </w:p>
    <w:p>
      <w:pPr>
        <w:pStyle w:val="Heading1"/>
      </w:pPr>
      <w:r>
        <w:t>Punti aperti</w:t>
      </w:r>
    </w:p>
    <w:p>
      <w:pPr>
        <w:jc w:val="both"/>
      </w:pPr>
      <w:r>
        <w:t>Il presente capitolo riepiloga i segnaposto [DA VERIFICARE]. La colonna Stato dà conto dell’evoluzione rispetto alla versione 0.1.</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ID</w:t>
            </w:r>
          </w:p>
        </w:tc>
        <w:tc>
          <w:tcPr>
            <w:tcW w:type="dxa" w:w="1872"/>
          </w:tcPr>
          <w:p>
            <w:r/>
            <w:r>
              <w:rPr>
                <w:b/>
              </w:rPr>
              <w:t>§</w:t>
            </w:r>
          </w:p>
        </w:tc>
        <w:tc>
          <w:tcPr>
            <w:tcW w:type="dxa" w:w="1872"/>
          </w:tcPr>
          <w:p>
            <w:r/>
            <w:r>
              <w:rPr>
                <w:b/>
              </w:rPr>
              <w:t>Elemento</w:t>
            </w:r>
          </w:p>
        </w:tc>
        <w:tc>
          <w:tcPr>
            <w:tcW w:type="dxa" w:w="1872"/>
          </w:tcPr>
          <w:p>
            <w:r/>
            <w:r>
              <w:rPr>
                <w:b/>
              </w:rPr>
              <w:t>Stato</w:t>
            </w:r>
          </w:p>
        </w:tc>
        <w:tc>
          <w:tcPr>
            <w:tcW w:type="dxa" w:w="1872"/>
          </w:tcPr>
          <w:p>
            <w:r/>
            <w:r>
              <w:rPr>
                <w:b/>
              </w:rPr>
              <w:t>Priorità</w:t>
            </w:r>
          </w:p>
        </w:tc>
      </w:tr>
      <w:tr>
        <w:tc>
          <w:tcPr>
            <w:tcW w:type="dxa" w:w="1872"/>
          </w:tcPr>
          <w:p>
            <w:r/>
            <w:r>
              <w:t>PA-01</w:t>
            </w:r>
          </w:p>
        </w:tc>
        <w:tc>
          <w:tcPr>
            <w:tcW w:type="dxa" w:w="1872"/>
          </w:tcPr>
          <w:p>
            <w:r/>
            <w:r>
              <w:t>4.1</w:t>
            </w:r>
          </w:p>
        </w:tc>
        <w:tc>
          <w:tcPr>
            <w:tcW w:type="dxa" w:w="1872"/>
          </w:tcPr>
          <w:p>
            <w:r/>
            <w:r>
              <w:t>Censimento dei sistemi consumatori e possibilità di ricompilazione.</w:t>
            </w:r>
          </w:p>
        </w:tc>
        <w:tc>
          <w:tcPr>
            <w:tcW w:type="dxa" w:w="1872"/>
          </w:tcPr>
          <w:p>
            <w:r/>
            <w:r>
              <w:t>CHIUSO in v0.2: 88 moduli Java ricompilabili, più un sottosistema .NET. Nessun consumatore lato browser.</w:t>
            </w:r>
          </w:p>
        </w:tc>
        <w:tc>
          <w:tcPr>
            <w:tcW w:type="dxa" w:w="1872"/>
          </w:tcPr>
          <w:p>
            <w:r/>
            <w:r>
              <w:t>–</w:t>
            </w:r>
          </w:p>
        </w:tc>
      </w:tr>
      <w:tr>
        <w:tc>
          <w:tcPr>
            <w:tcW w:type="dxa" w:w="1872"/>
          </w:tcPr>
          <w:p>
            <w:r/>
            <w:r>
              <w:t>PA-04</w:t>
            </w:r>
          </w:p>
        </w:tc>
        <w:tc>
          <w:tcPr>
            <w:tcW w:type="dxa" w:w="1872"/>
          </w:tcPr>
          <w:p>
            <w:r/>
            <w:r>
              <w:t>4.4</w:t>
            </w:r>
          </w:p>
        </w:tc>
        <w:tc>
          <w:tcPr>
            <w:tcW w:type="dxa" w:w="1872"/>
          </w:tcPr>
          <w:p>
            <w:r/>
            <w:r>
              <w:t>Esistenza di un’integrazione con R901 già attiva.</w:t>
            </w:r>
          </w:p>
        </w:tc>
        <w:tc>
          <w:tcPr>
            <w:tcW w:type="dxa" w:w="1872"/>
          </w:tcPr>
          <w:p>
            <w:r/>
            <w:r>
              <w:t>CHIUSO in v0.2 in senso negativo: nessuna integrazione ANSC. È realizzazione ex novo.</w:t>
            </w:r>
          </w:p>
        </w:tc>
        <w:tc>
          <w:tcPr>
            <w:tcW w:type="dxa" w:w="1872"/>
          </w:tcPr>
          <w:p>
            <w:r/>
            <w:r>
              <w:t>–</w:t>
            </w:r>
          </w:p>
        </w:tc>
      </w:tr>
      <w:tr>
        <w:tc>
          <w:tcPr>
            <w:tcW w:type="dxa" w:w="1872"/>
          </w:tcPr>
          <w:p>
            <w:r/>
            <w:r>
              <w:t>PA-06</w:t>
            </w:r>
          </w:p>
        </w:tc>
        <w:tc>
          <w:tcPr>
            <w:tcW w:type="dxa" w:w="1872"/>
          </w:tcPr>
          <w:p>
            <w:r/>
            <w:r>
              <w:t>7.3</w:t>
            </w:r>
          </w:p>
        </w:tc>
        <w:tc>
          <w:tcPr>
            <w:tcW w:type="dxa" w:w="1872"/>
          </w:tcPr>
          <w:p>
            <w:r/>
            <w:r>
              <w:t>Disponibilità di un’istanza PostgreSQL.</w:t>
            </w:r>
          </w:p>
        </w:tc>
        <w:tc>
          <w:tcPr>
            <w:tcW w:type="dxa" w:w="1872"/>
          </w:tcPr>
          <w:p>
            <w:r/>
            <w:r>
              <w:t>CHIUSO in v0.2 in senso negativo: SIPO è esclusivamente Oracle. Riformulato in PA-13.</w:t>
            </w:r>
          </w:p>
        </w:tc>
        <w:tc>
          <w:tcPr>
            <w:tcW w:type="dxa" w:w="1872"/>
          </w:tcPr>
          <w:p>
            <w:r/>
            <w:r>
              <w:t>–</w:t>
            </w:r>
          </w:p>
        </w:tc>
      </w:tr>
      <w:tr>
        <w:tc>
          <w:tcPr>
            <w:tcW w:type="dxa" w:w="1872"/>
          </w:tcPr>
          <w:p>
            <w:r/>
            <w:r>
              <w:t>PA-07</w:t>
            </w:r>
          </w:p>
        </w:tc>
        <w:tc>
          <w:tcPr>
            <w:tcW w:type="dxa" w:w="1872"/>
          </w:tcPr>
          <w:p>
            <w:r/>
            <w:r>
              <w:t>4.2</w:t>
            </w:r>
          </w:p>
        </w:tc>
        <w:tc>
          <w:tcPr>
            <w:tcW w:type="dxa" w:w="1872"/>
          </w:tcPr>
          <w:p>
            <w:r/>
            <w:r>
              <w:t>Disponibilità di un registro di artefatti.</w:t>
            </w:r>
          </w:p>
        </w:tc>
        <w:tc>
          <w:tcPr>
            <w:tcW w:type="dxa" w:w="1872"/>
          </w:tcPr>
          <w:p>
            <w:r/>
            <w:r>
              <w:t>CHIUSO in v0.2 in senso negativo: assente. Ha imposto l’inversione di cui al § 6.5.</w:t>
            </w:r>
          </w:p>
        </w:tc>
        <w:tc>
          <w:tcPr>
            <w:tcW w:type="dxa" w:w="1872"/>
          </w:tcPr>
          <w:p>
            <w:r/>
            <w:r>
              <w:t>–</w:t>
            </w:r>
          </w:p>
        </w:tc>
      </w:tr>
      <w:tr>
        <w:tc>
          <w:tcPr>
            <w:tcW w:type="dxa" w:w="1872"/>
          </w:tcPr>
          <w:p>
            <w:r/>
            <w:r>
              <w:t>PA-02</w:t>
            </w:r>
          </w:p>
        </w:tc>
        <w:tc>
          <w:tcPr>
            <w:tcW w:type="dxa" w:w="1872"/>
          </w:tcPr>
          <w:p>
            <w:r/>
            <w:r>
              <w:t>3.5</w:t>
            </w:r>
          </w:p>
        </w:tc>
        <w:tc>
          <w:tcPr>
            <w:tcW w:type="dxa" w:w="1872"/>
          </w:tcPr>
          <w:p>
            <w:r/>
            <w:r>
              <w:t>Semantica ANSC delle 55 voci con date di validità non valorizzate.</w:t>
            </w:r>
          </w:p>
        </w:tc>
        <w:tc>
          <w:tcPr>
            <w:tcW w:type="dxa" w:w="1872"/>
          </w:tcPr>
          <w:p>
            <w:r/>
            <w:r>
              <w:t>Aperto.</w:t>
            </w:r>
          </w:p>
        </w:tc>
        <w:tc>
          <w:tcPr>
            <w:tcW w:type="dxa" w:w="1872"/>
          </w:tcPr>
          <w:p>
            <w:r/>
            <w:r>
              <w:t>Alta</w:t>
            </w:r>
          </w:p>
        </w:tc>
      </w:tr>
      <w:tr>
        <w:tc>
          <w:tcPr>
            <w:tcW w:type="dxa" w:w="1872"/>
          </w:tcPr>
          <w:p>
            <w:r/>
            <w:r>
              <w:t>PA-03</w:t>
            </w:r>
          </w:p>
        </w:tc>
        <w:tc>
          <w:tcPr>
            <w:tcW w:type="dxa" w:w="1872"/>
          </w:tcPr>
          <w:p>
            <w:r/>
            <w:r>
              <w:t>7.2</w:t>
            </w:r>
          </w:p>
        </w:tc>
        <w:tc>
          <w:tcPr>
            <w:tcW w:type="dxa" w:w="1872"/>
          </w:tcPr>
          <w:p>
            <w:r/>
            <w:r>
              <w:t>Schema di autenticazione al servizio R901 e credenziali assegnate.</w:t>
            </w:r>
          </w:p>
        </w:tc>
        <w:tc>
          <w:tcPr>
            <w:tcW w:type="dxa" w:w="1872"/>
          </w:tcPr>
          <w:p>
            <w:r/>
            <w:r>
              <w:t>Aperto.</w:t>
            </w:r>
          </w:p>
        </w:tc>
        <w:tc>
          <w:tcPr>
            <w:tcW w:type="dxa" w:w="1872"/>
          </w:tcPr>
          <w:p>
            <w:r/>
            <w:r>
              <w:t>Alta</w:t>
            </w:r>
          </w:p>
        </w:tc>
      </w:tr>
      <w:tr>
        <w:tc>
          <w:tcPr>
            <w:tcW w:type="dxa" w:w="1872"/>
          </w:tcPr>
          <w:p>
            <w:r/>
            <w:r>
              <w:t>PA-12</w:t>
            </w:r>
          </w:p>
        </w:tc>
        <w:tc>
          <w:tcPr>
            <w:tcW w:type="dxa" w:w="1872"/>
          </w:tcPr>
          <w:p>
            <w:r/>
            <w:r>
              <w:t>4.5</w:t>
            </w:r>
          </w:p>
        </w:tc>
        <w:tc>
          <w:tcPr>
            <w:tcW w:type="dxa" w:w="1872"/>
          </w:tcPr>
          <w:p>
            <w:r/>
            <w:r>
              <w:t>Decisione sul vocabolario ANSC di riferimento (61 ovvero 168) e sulle descrizioni divergenti: adottare quelle ANSC modificando i certificati, ovvero mantenere quelle SIPO con transcodifica.</w:t>
            </w:r>
          </w:p>
        </w:tc>
        <w:tc>
          <w:tcPr>
            <w:tcW w:type="dxa" w:w="1872"/>
          </w:tcPr>
          <w:p>
            <w:r/>
            <w:r>
              <w:t>Aperto. AMPLIATO in v0.3: occorre prima stabilire quale dei due vocabolari ANSC sia il riferimento (§ 3.5.1). Non è decisione tecnica: incide sugli atti emessi.</w:t>
            </w:r>
          </w:p>
        </w:tc>
        <w:tc>
          <w:tcPr>
            <w:tcW w:type="dxa" w:w="1872"/>
          </w:tcPr>
          <w:p>
            <w:r/>
            <w:r>
              <w:t>Alta</w:t>
            </w:r>
          </w:p>
        </w:tc>
      </w:tr>
      <w:tr>
        <w:tc>
          <w:tcPr>
            <w:tcW w:type="dxa" w:w="1872"/>
          </w:tcPr>
          <w:p>
            <w:r/>
            <w:r>
              <w:t>PA-13</w:t>
            </w:r>
          </w:p>
        </w:tc>
        <w:tc>
          <w:tcPr>
            <w:tcW w:type="dxa" w:w="1872"/>
          </w:tcPr>
          <w:p>
            <w:r/>
            <w:r>
              <w:t>7.3</w:t>
            </w:r>
          </w:p>
        </w:tc>
        <w:tc>
          <w:tcPr>
            <w:tcW w:type="dxa" w:w="1872"/>
          </w:tcPr>
          <w:p>
            <w:r/>
            <w:r>
              <w:t>Versione di Oracle in esercizio e disponibilità in licenza di Temporal Validity e Flashback Data Archive.</w:t>
            </w:r>
          </w:p>
        </w:tc>
        <w:tc>
          <w:tcPr>
            <w:tcW w:type="dxa" w:w="1872"/>
          </w:tcPr>
          <w:p>
            <w:r/>
            <w:r>
              <w:t>Aperto. Sostituisce PA-06.</w:t>
            </w:r>
          </w:p>
        </w:tc>
        <w:tc>
          <w:tcPr>
            <w:tcW w:type="dxa" w:w="1872"/>
          </w:tcPr>
          <w:p>
            <w:r/>
            <w:r>
              <w:t>Alta</w:t>
            </w:r>
          </w:p>
        </w:tc>
      </w:tr>
      <w:tr>
        <w:tc>
          <w:tcPr>
            <w:tcW w:type="dxa" w:w="1872"/>
          </w:tcPr>
          <w:p>
            <w:r/>
            <w:r>
              <w:t>PA-14</w:t>
            </w:r>
          </w:p>
        </w:tc>
        <w:tc>
          <w:tcPr>
            <w:tcW w:type="dxa" w:w="1872"/>
          </w:tcPr>
          <w:p>
            <w:r/>
            <w:r>
              <w:t>4.6</w:t>
            </w:r>
          </w:p>
        </w:tc>
        <w:tc>
          <w:tcPr>
            <w:tcW w:type="dxa" w:w="1872"/>
          </w:tcPr>
          <w:p>
            <w:r/>
            <w:r>
              <w:t>Estensione del confronto fra vocabolari a tutte le decodifiche.</w:t>
            </w:r>
          </w:p>
        </w:tc>
        <w:tc>
          <w:tcPr>
            <w:tcW w:type="dxa" w:w="1872"/>
          </w:tcPr>
          <w:p>
            <w:r/>
            <w:r>
              <w:t>PARZIALMENTE EVASO in v0.3. Eseguito il confronto STRUTTURALE (11 esatte, 17 parziali, 117 assenti). Il confronto delle DESCRIZIONI resta da eseguire e richiede un estratto dei dati dello schema MATR_USR, non disponibile nel workspace.</w:t>
            </w:r>
          </w:p>
        </w:tc>
        <w:tc>
          <w:tcPr>
            <w:tcW w:type="dxa" w:w="1872"/>
          </w:tcPr>
          <w:p>
            <w:r/>
            <w:r>
              <w:t>Alta</w:t>
            </w:r>
          </w:p>
        </w:tc>
      </w:tr>
      <w:tr>
        <w:tc>
          <w:tcPr>
            <w:tcW w:type="dxa" w:w="1872"/>
          </w:tcPr>
          <w:p>
            <w:r/>
            <w:r>
              <w:t>PA-15</w:t>
            </w:r>
          </w:p>
        </w:tc>
        <w:tc>
          <w:tcPr>
            <w:tcW w:type="dxa" w:w="1872"/>
          </w:tcPr>
          <w:p>
            <w:r/>
            <w:r>
              <w:t>3.5.1</w:t>
            </w:r>
          </w:p>
        </w:tc>
        <w:tc>
          <w:tcPr>
            <w:tcW w:type="dxa" w:w="1872"/>
          </w:tcPr>
          <w:p>
            <w:r/>
            <w:r>
              <w:t>NUOVO. Comportamento di R901 a fronte dell’identificativo 134, assegnato a due decodifiche divergenti. Difetto di pubblicazione documentale ovvero collisione effettiva in esercizio.</w:t>
            </w:r>
          </w:p>
        </w:tc>
        <w:tc>
          <w:tcPr>
            <w:tcW w:type="dxa" w:w="1872"/>
          </w:tcPr>
          <w:p>
            <w:r/>
            <w:r>
              <w:t>Aperto. Cfr. rischio RA-04.</w:t>
            </w:r>
          </w:p>
        </w:tc>
        <w:tc>
          <w:tcPr>
            <w:tcW w:type="dxa" w:w="1872"/>
          </w:tcPr>
          <w:p>
            <w:r/>
            <w:r>
              <w:t>Alta</w:t>
            </w:r>
          </w:p>
        </w:tc>
      </w:tr>
      <w:tr>
        <w:tc>
          <w:tcPr>
            <w:tcW w:type="dxa" w:w="1872"/>
          </w:tcPr>
          <w:p>
            <w:r/>
            <w:r>
              <w:t>PA-16</w:t>
            </w:r>
          </w:p>
        </w:tc>
        <w:tc>
          <w:tcPr>
            <w:tcW w:type="dxa" w:w="1872"/>
          </w:tcPr>
          <w:p>
            <w:r/>
            <w:r>
              <w:t>4.6</w:t>
            </w:r>
          </w:p>
        </w:tc>
        <w:tc>
          <w:tcPr>
            <w:tcW w:type="dxa" w:w="1872"/>
          </w:tcPr>
          <w:p>
            <w:r/>
            <w:r>
              <w:t>NUOVO. Validazione puntuale delle 17 corrispondenze parziali e ricerca di ulteriori collisioni semantiche fra le 11 esatte. Richiede competenza di dominio, non automatizzabile.</w:t>
            </w:r>
          </w:p>
        </w:tc>
        <w:tc>
          <w:tcPr>
            <w:tcW w:type="dxa" w:w="1872"/>
          </w:tcPr>
          <w:p>
            <w:r/>
            <w:r>
              <w:t>Aperto. Cfr. rischio RA-05.</w:t>
            </w:r>
          </w:p>
        </w:tc>
        <w:tc>
          <w:tcPr>
            <w:tcW w:type="dxa" w:w="1872"/>
          </w:tcPr>
          <w:p>
            <w:r/>
            <w:r>
              <w:t>Media</w:t>
            </w:r>
          </w:p>
        </w:tc>
      </w:tr>
      <w:tr>
        <w:tc>
          <w:tcPr>
            <w:tcW w:type="dxa" w:w="1872"/>
          </w:tcPr>
          <w:p>
            <w:r/>
            <w:r>
              <w:t>PA-17</w:t>
            </w:r>
          </w:p>
        </w:tc>
        <w:tc>
          <w:tcPr>
            <w:tcW w:type="dxa" w:w="1872"/>
          </w:tcPr>
          <w:p>
            <w:r/>
            <w:r>
              <w:t>3.5.1</w:t>
            </w:r>
          </w:p>
        </w:tc>
        <w:tc>
          <w:tcPr>
            <w:tcW w:type="dxa" w:w="1872"/>
          </w:tcPr>
          <w:p>
            <w:r/>
            <w:r>
              <w:t>NUOVO. Rapporto fra le decodifiche 61 e 168 dello stato civile: evoluzione destinata a sostituire, ovvero vocabolari distinti per ambito applicativo.</w:t>
            </w:r>
          </w:p>
        </w:tc>
        <w:tc>
          <w:tcPr>
            <w:tcW w:type="dxa" w:w="1872"/>
          </w:tcPr>
          <w:p>
            <w:r/>
            <w:r>
              <w:t>Aperto. Presupposto di PA-12.</w:t>
            </w:r>
          </w:p>
        </w:tc>
        <w:tc>
          <w:tcPr>
            <w:tcW w:type="dxa" w:w="1872"/>
          </w:tcPr>
          <w:p>
            <w:r/>
            <w:r>
              <w:t>Alta</w:t>
            </w:r>
          </w:p>
        </w:tc>
      </w:tr>
      <w:tr>
        <w:tc>
          <w:tcPr>
            <w:tcW w:type="dxa" w:w="1872"/>
          </w:tcPr>
          <w:p>
            <w:r/>
            <w:r>
              <w:t>PA-05</w:t>
            </w:r>
          </w:p>
        </w:tc>
        <w:tc>
          <w:tcPr>
            <w:tcW w:type="dxa" w:w="1872"/>
          </w:tcPr>
          <w:p>
            <w:r/>
            <w:r>
              <w:t>5.2</w:t>
            </w:r>
          </w:p>
        </w:tc>
        <w:tc>
          <w:tcPr>
            <w:tcW w:type="dxa" w:w="1872"/>
          </w:tcPr>
          <w:p>
            <w:r/>
            <w:r>
              <w:t>Volumi di traffico attesi, SLA e finestre di aggiornamento.</w:t>
            </w:r>
          </w:p>
        </w:tc>
        <w:tc>
          <w:tcPr>
            <w:tcW w:type="dxa" w:w="1872"/>
          </w:tcPr>
          <w:p>
            <w:r/>
            <w:r>
              <w:t>Aperto.</w:t>
            </w:r>
          </w:p>
        </w:tc>
        <w:tc>
          <w:tcPr>
            <w:tcW w:type="dxa" w:w="1872"/>
          </w:tcPr>
          <w:p>
            <w:r/>
            <w:r>
              <w:t>Media</w:t>
            </w:r>
          </w:p>
        </w:tc>
      </w:tr>
      <w:tr>
        <w:tc>
          <w:tcPr>
            <w:tcW w:type="dxa" w:w="1872"/>
          </w:tcPr>
          <w:p>
            <w:r/>
            <w:r>
              <w:t>PA-08</w:t>
            </w:r>
          </w:p>
        </w:tc>
        <w:tc>
          <w:tcPr>
            <w:tcW w:type="dxa" w:w="1872"/>
          </w:tcPr>
          <w:p>
            <w:r/>
            <w:r>
              <w:t>2</w:t>
            </w:r>
          </w:p>
        </w:tc>
        <w:tc>
          <w:tcPr>
            <w:tcW w:type="dxa" w:w="1872"/>
          </w:tcPr>
          <w:p>
            <w:r/>
            <w:r>
              <w:t>Inquadramento nel programma di adesione ad ANSC.</w:t>
            </w:r>
          </w:p>
        </w:tc>
        <w:tc>
          <w:tcPr>
            <w:tcW w:type="dxa" w:w="1872"/>
          </w:tcPr>
          <w:p>
            <w:r/>
            <w:r>
              <w:t>Aperto.</w:t>
            </w:r>
          </w:p>
        </w:tc>
        <w:tc>
          <w:tcPr>
            <w:tcW w:type="dxa" w:w="1872"/>
          </w:tcPr>
          <w:p>
            <w:r/>
            <w:r>
              <w:t>Media</w:t>
            </w:r>
          </w:p>
        </w:tc>
      </w:tr>
      <w:tr>
        <w:tc>
          <w:tcPr>
            <w:tcW w:type="dxa" w:w="1872"/>
          </w:tcPr>
          <w:p>
            <w:r/>
            <w:r>
              <w:t>PA-09</w:t>
            </w:r>
          </w:p>
        </w:tc>
        <w:tc>
          <w:tcPr>
            <w:tcW w:type="dxa" w:w="1872"/>
          </w:tcPr>
          <w:p>
            <w:r/>
            <w:r>
              <w:t>7.1</w:t>
            </w:r>
          </w:p>
        </w:tc>
        <w:tc>
          <w:tcPr>
            <w:tcW w:type="dxa" w:w="1872"/>
          </w:tcPr>
          <w:p>
            <w:r/>
            <w:r>
              <w:t>Rappresentazione grafica dell’architettura.</w:t>
            </w:r>
          </w:p>
        </w:tc>
        <w:tc>
          <w:tcPr>
            <w:tcW w:type="dxa" w:w="1872"/>
          </w:tcPr>
          <w:p>
            <w:r/>
            <w:r>
              <w:t>Aperto.</w:t>
            </w:r>
          </w:p>
        </w:tc>
        <w:tc>
          <w:tcPr>
            <w:tcW w:type="dxa" w:w="1872"/>
          </w:tcPr>
          <w:p>
            <w:r/>
            <w:r>
              <w:t>Bassa</w:t>
            </w:r>
          </w:p>
        </w:tc>
      </w:tr>
      <w:tr>
        <w:tc>
          <w:tcPr>
            <w:tcW w:type="dxa" w:w="1872"/>
          </w:tcPr>
          <w:p>
            <w:r/>
            <w:r>
              <w:t>PA-10</w:t>
            </w:r>
          </w:p>
        </w:tc>
        <w:tc>
          <w:tcPr>
            <w:tcW w:type="dxa" w:w="1872"/>
          </w:tcPr>
          <w:p>
            <w:r/>
            <w:r>
              <w:t>1.2</w:t>
            </w:r>
          </w:p>
        </w:tc>
        <w:tc>
          <w:tcPr>
            <w:tcW w:type="dxa" w:w="1872"/>
          </w:tcPr>
          <w:p>
            <w:r/>
            <w:r>
              <w:t>Analisi della Guida operativa ANSC [R13].</w:t>
            </w:r>
          </w:p>
        </w:tc>
        <w:tc>
          <w:tcPr>
            <w:tcW w:type="dxa" w:w="1872"/>
          </w:tcPr>
          <w:p>
            <w:r/>
            <w:r>
              <w:t>Aperto.</w:t>
            </w:r>
          </w:p>
        </w:tc>
        <w:tc>
          <w:tcPr>
            <w:tcW w:type="dxa" w:w="1872"/>
          </w:tcPr>
          <w:p>
            <w:r/>
            <w:r>
              <w:t>Bassa</w:t>
            </w:r>
          </w:p>
        </w:tc>
      </w:tr>
      <w:tr>
        <w:tc>
          <w:tcPr>
            <w:tcW w:type="dxa" w:w="1872"/>
          </w:tcPr>
          <w:p>
            <w:r/>
            <w:r>
              <w:t>PA-11</w:t>
            </w:r>
          </w:p>
        </w:tc>
        <w:tc>
          <w:tcPr>
            <w:tcW w:type="dxa" w:w="1872"/>
          </w:tcPr>
          <w:p>
            <w:r/>
            <w:r>
              <w:t>–</w:t>
            </w:r>
          </w:p>
        </w:tc>
        <w:tc>
          <w:tcPr>
            <w:tcW w:type="dxa" w:w="1872"/>
          </w:tcPr>
          <w:p>
            <w:r/>
            <w:r>
              <w:t>Stima dell’effort e roadmap realizzativa.</w:t>
            </w:r>
          </w:p>
        </w:tc>
        <w:tc>
          <w:tcPr>
            <w:tcW w:type="dxa" w:w="1872"/>
          </w:tcPr>
          <w:p>
            <w:r/>
            <w:r>
              <w:t>Aperto. Ora parzialmente istruibile, chiusi PA-01 e PA-04.</w:t>
            </w:r>
          </w:p>
        </w:tc>
        <w:tc>
          <w:tcPr>
            <w:tcW w:type="dxa" w:w="1872"/>
          </w:tcPr>
          <w:p>
            <w:r/>
            <w:r>
              <w:t>Bassa</w:t>
            </w:r>
          </w:p>
        </w:tc>
      </w:tr>
    </w:tbl>
    <w:p>
      <w:pPr>
        <w:pStyle w:val="Caption"/>
      </w:pPr>
      <w:r>
        <w:t>Tabella 25 – Riepilogo dei punti aperti</w:t>
      </w:r>
    </w:p>
    <w:p>
      <w:r>
        <w:br w:type="page"/>
      </w:r>
    </w:p>
    <w:p>
      <w:pPr>
        <w:pStyle w:val="Heading1"/>
      </w:pPr>
      <w:r>
        <w:t>Riferimenti e standard</w:t>
      </w:r>
    </w:p>
    <w:p>
      <w:pPr>
        <w:jc w:val="both"/>
      </w:pPr>
      <w:r>
        <w:t>Oltre alle sorgenti elencate al § 1.2, la proposta si richiama agli standard seguenti.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Standard</w:t>
            </w:r>
          </w:p>
        </w:tc>
        <w:tc>
          <w:tcPr>
            <w:tcW w:type="dxa" w:w="3120"/>
          </w:tcPr>
          <w:p>
            <w:r/>
            <w:r>
              <w:rPr>
                <w:b/>
              </w:rPr>
              <w:t>Ambito</w:t>
            </w:r>
          </w:p>
        </w:tc>
        <w:tc>
          <w:tcPr>
            <w:tcW w:type="dxa" w:w="3120"/>
          </w:tcPr>
          <w:p>
            <w:r/>
            <w:r>
              <w:rPr>
                <w:b/>
              </w:rPr>
              <w:t>Pertinenza</w:t>
            </w:r>
          </w:p>
        </w:tc>
      </w:tr>
      <w:tr>
        <w:tc>
          <w:tcPr>
            <w:tcW w:type="dxa" w:w="3120"/>
          </w:tcPr>
          <w:p>
            <w:r/>
            <w:r>
              <w:t>OntoPiA – vocabolari controllati (AGID)</w:t>
            </w:r>
          </w:p>
        </w:tc>
        <w:tc>
          <w:tcPr>
            <w:tcW w:type="dxa" w:w="3120"/>
          </w:tcPr>
          <w:p>
            <w:r/>
            <w:r>
              <w:t>Interoperabilità semantica PA</w:t>
            </w:r>
          </w:p>
        </w:tc>
        <w:tc>
          <w:tcPr>
            <w:tcW w:type="dxa" w:w="3120"/>
          </w:tcPr>
          <w:p>
            <w:r/>
            <w:r>
              <w:t>Riferimento nazionale per la pubblicazione di vocabolari controllati (§ 7.6).</w:t>
            </w:r>
          </w:p>
        </w:tc>
      </w:tr>
      <w:tr>
        <w:tc>
          <w:tcPr>
            <w:tcW w:type="dxa" w:w="3120"/>
          </w:tcPr>
          <w:p>
            <w:r/>
            <w:r>
              <w:t>W3C SKOS</w:t>
            </w:r>
          </w:p>
        </w:tc>
        <w:tc>
          <w:tcPr>
            <w:tcW w:type="dxa" w:w="3120"/>
          </w:tcPr>
          <w:p>
            <w:r/>
            <w:r>
              <w:t>Rappresentazione di vocabolari controllati</w:t>
            </w:r>
          </w:p>
        </w:tc>
        <w:tc>
          <w:tcPr>
            <w:tcW w:type="dxa" w:w="3120"/>
          </w:tcPr>
          <w:p>
            <w:r/>
            <w:r>
              <w:t>Modello di rappresentazione proposto per il livello 4.</w:t>
            </w:r>
          </w:p>
        </w:tc>
      </w:tr>
      <w:tr>
        <w:tc>
          <w:tcPr>
            <w:tcW w:type="dxa" w:w="3120"/>
          </w:tcPr>
          <w:p>
            <w:r/>
            <w:r>
              <w:t>OpenAPI 3.0</w:t>
            </w:r>
          </w:p>
        </w:tc>
        <w:tc>
          <w:tcPr>
            <w:tcW w:type="dxa" w:w="3120"/>
          </w:tcPr>
          <w:p>
            <w:r/>
            <w:r>
              <w:t>Specifica di interfacce REST</w:t>
            </w:r>
          </w:p>
        </w:tc>
        <w:tc>
          <w:tcPr>
            <w:tcW w:type="dxa" w:w="3120"/>
          </w:tcPr>
          <w:p>
            <w:r/>
            <w:r>
              <w:t>Adottato da ANSC per R901 [R3]; da adottare per il servizio di cui al § 7.4.</w:t>
            </w:r>
          </w:p>
        </w:tc>
      </w:tr>
      <w:tr>
        <w:tc>
          <w:tcPr>
            <w:tcW w:type="dxa" w:w="3120"/>
          </w:tcPr>
          <w:p>
            <w:r/>
            <w:r>
              <w:t>RFC 9110 – HTTP Semantics</w:t>
            </w:r>
          </w:p>
        </w:tc>
        <w:tc>
          <w:tcPr>
            <w:tcW w:type="dxa" w:w="3120"/>
          </w:tcPr>
          <w:p>
            <w:r/>
            <w:r>
              <w:t>Semantica HTTP</w:t>
            </w:r>
          </w:p>
        </w:tc>
        <w:tc>
          <w:tcPr>
            <w:tcW w:type="dxa" w:w="3120"/>
          </w:tcPr>
          <w:p>
            <w:r/>
            <w:r>
              <w:t>Validazione della cache mediante ETag (§ 7.4).</w:t>
            </w:r>
          </w:p>
        </w:tc>
      </w:tr>
      <w:tr>
        <w:tc>
          <w:tcPr>
            <w:tcW w:type="dxa" w:w="3120"/>
          </w:tcPr>
          <w:p>
            <w:r/>
            <w:r>
              <w:t>Versionamento semantico</w:t>
            </w:r>
          </w:p>
        </w:tc>
        <w:tc>
          <w:tcPr>
            <w:tcW w:type="dxa" w:w="3120"/>
          </w:tcPr>
          <w:p>
            <w:r/>
            <w:r>
              <w:t>Versionamento degli artefatti</w:t>
            </w:r>
          </w:p>
        </w:tc>
        <w:tc>
          <w:tcPr>
            <w:tcW w:type="dxa" w:w="3120"/>
          </w:tcPr>
          <w:p>
            <w:r/>
            <w:r>
              <w:t>Applicabile al canale complementare (§ 7.4).</w:t>
            </w:r>
          </w:p>
        </w:tc>
      </w:tr>
      <w:tr>
        <w:tc>
          <w:tcPr>
            <w:tcW w:type="dxa" w:w="3120"/>
          </w:tcPr>
          <w:p>
            <w:r/>
            <w:r>
              <w:t>Oracle Temporal Validity / Flashback Data Archive</w:t>
            </w:r>
          </w:p>
        </w:tc>
        <w:tc>
          <w:tcPr>
            <w:tcW w:type="dxa" w:w="3120"/>
          </w:tcPr>
          <w:p>
            <w:r/>
            <w:r>
              <w:t>Storicizzazione</w:t>
            </w:r>
          </w:p>
        </w:tc>
        <w:tc>
          <w:tcPr>
            <w:tcW w:type="dxa" w:w="3120"/>
          </w:tcPr>
          <w:p>
            <w:r/>
            <w:r>
              <w:t>Realizzazione del modello bitemporale (§ 7.3).</w:t>
            </w:r>
          </w:p>
        </w:tc>
      </w:tr>
    </w:tbl>
    <w:p>
      <w:pPr>
        <w:pStyle w:val="Caption"/>
      </w:pPr>
      <w:r>
        <w:t>Tabella 26 – Standard di riferimento</w:t>
      </w:r>
    </w:p>
    <w:p>
      <w:pPr>
        <w:jc w:val="both"/>
      </w:pPr>
      <w:r>
        <w:t>[DA VERIFICARE: conformità della proposta alle linee guida di Roma Capitale in materia di architetture applicative, ove esistenti.]</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