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rFonts w:ascii="Oswald" w:cs="Oswald" w:eastAsia="Oswald" w:hAnsi="Oswald"/>
          <w:sz w:val="48"/>
          <w:szCs w:val="48"/>
          <w:rtl w:val="0"/>
        </w:rPr>
        <w:t xml:space="preserve">Why this deserves to be a Capstone Project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M.S. Hall: Advanced Database Operability. MIDN Hall’s focus will be on the interoperability of multiple databases and creating abstract, configurable, and secure databases from a web interface. Although he has already taken Databases this will travel far outside of the scope of that class in terms of complexity.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S.M. Gibson: Documentation and Website Security. MIDN Gibson’s focus will be on maintaining a secure environment where faculty member’s can input and retrieve important financial documents. He will put into practice concepts learned in Computer Algorithms and Networks class as well as discover new methods of effectively retrieving information from a database.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B.S. Pullig: Customer Interaction and Website Structure. MIDN Pullig will gather feedback from user testing and change the product fluidly, which is reflective of legitimate product development. Furthermore, he will expand on topics learned in previous classes to create a strong website structure that is both secure, reliable, and also user friendly.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S.W. Coons: Efficient Algorithm Use.  MIDN Coons will focus on ensuring that as much of the database retrieval methods and website are constructed to be as efficient as possible.  He will expand upon the basics he learned in Algorithms class. He will also challenge himself to make a concurrent safe retrieval/insertion process between our local database and the larger database that the Navy owns.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N.P. Arnold: Web Interface and Design. MIDN Arnold will use techniques and abilities attained through two semesters of web creation and design to create a front end that is both adequately functional and user friendly for our customer. He will also attempt to create an object oriented version of the styling using new techniques that he is studying.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