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320" w:lineRule="auto"/>
        <w:contextualSpacing w:val="0"/>
        <w:jc w:val="center"/>
      </w:pPr>
      <w:r w:rsidDel="00000000" w:rsidR="00000000" w:rsidRPr="00000000">
        <w:rPr>
          <w:rFonts w:ascii="Average" w:cs="Average" w:eastAsia="Average" w:hAnsi="Average"/>
          <w:sz w:val="48"/>
          <w:szCs w:val="48"/>
          <w:rtl w:val="0"/>
        </w:rPr>
        <w:t xml:space="preserve">Topical Areas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Databases - IT360 (Hall, Pullig, Arnold)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Information Assurance -  IT430 (Hall, Pullig, Arnold)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Networking - IC322 (All members) 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Adv. Web Programming - IT452 (Hall, Pullig, Arnold)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Computer Security - IC411 (All members)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Algorithms - SI335(Coons, Gibson, Hall, Pullig)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