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6F">
      <w:pPr>
        <w:pStyle w:val="4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Docker 网络</w:t>
      </w:r>
    </w:p>
    <w:p w14:paraId="00000070">
      <w:p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Docker每个容器都有自己的独特ip，容器之间可以互相访问</w:t>
      </w:r>
    </w:p>
    <w:p w14:paraId="00000071">
      <w:p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114300" distB="114300" distL="114300" distR="114300">
            <wp:extent cx="2588260" cy="3230245"/>
            <wp:effectExtent l="0" t="0" r="2540" b="8255"/>
            <wp:docPr id="46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8757" cy="323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2">
      <w:pPr>
        <w:jc w:val="both"/>
        <w:rPr>
          <w:rFonts w:hint="default" w:ascii="Times New Roman" w:hAnsi="Times New Roman" w:cs="Times New Roman"/>
        </w:rPr>
      </w:pPr>
    </w:p>
    <w:p w14:paraId="00000073">
      <w:p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docker network 涉及到所有网络相关命令</w:t>
      </w:r>
    </w:p>
    <w:p w14:paraId="00000074">
      <w:p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114300" distB="114300" distL="114300" distR="114300">
            <wp:extent cx="4752975" cy="1981200"/>
            <wp:effectExtent l="0" t="0" r="0" b="0"/>
            <wp:docPr id="3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5">
      <w:pPr>
        <w:jc w:val="both"/>
        <w:rPr>
          <w:rFonts w:hint="default" w:ascii="Times New Roman" w:hAnsi="Times New Roman" w:cs="Times New Roman"/>
        </w:rPr>
      </w:pPr>
    </w:p>
    <w:p w14:paraId="00000076">
      <w:p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自定义网络</w:t>
      </w:r>
    </w:p>
    <w:p w14:paraId="00000077">
      <w:p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114300" distB="114300" distL="114300" distR="114300">
            <wp:extent cx="4752975" cy="1295400"/>
            <wp:effectExtent l="0" t="0" r="0" b="0"/>
            <wp:docPr id="2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8">
      <w:pPr>
        <w:jc w:val="both"/>
        <w:rPr>
          <w:rFonts w:hint="default" w:ascii="Times New Roman" w:hAnsi="Times New Roman" w:cs="Times New Roman"/>
        </w:rPr>
      </w:pPr>
    </w:p>
    <w:p w14:paraId="00000079">
      <w:pPr>
        <w:jc w:val="both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Gungsuh" w:cs="Times New Roman"/>
          <w:rtl w:val="0"/>
        </w:rPr>
        <w:t>使用自定义网络启动两个容器</w:t>
      </w:r>
    </w:p>
    <w:p w14:paraId="0000007A">
      <w:pPr>
        <w:jc w:val="both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Times New Roman" w:cs="Times New Roman"/>
        </w:rPr>
        <w:drawing>
          <wp:inline distT="114300" distB="114300" distL="114300" distR="114300">
            <wp:extent cx="4752975" cy="2273300"/>
            <wp:effectExtent l="0" t="0" r="0" b="3175"/>
            <wp:docPr id="3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B">
      <w:pPr>
        <w:jc w:val="both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Gungsuh" w:cs="Times New Roman"/>
          <w:rtl w:val="0"/>
        </w:rPr>
        <w:t>使用容器内部网络访问</w:t>
      </w:r>
      <w:r>
        <w:rPr>
          <w:rFonts w:hint="default" w:ascii="Times New Roman" w:hAnsi="Times New Roman" w:eastAsia="Times New Roman" w:cs="Times New Roman"/>
        </w:rPr>
        <w:drawing>
          <wp:inline distT="114300" distB="114300" distL="114300" distR="114300">
            <wp:extent cx="4752975" cy="977900"/>
            <wp:effectExtent l="0" t="0" r="0" b="3175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C">
      <w:pPr>
        <w:jc w:val="both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Gungsuh" w:cs="Times New Roman"/>
          <w:rtl w:val="0"/>
        </w:rPr>
        <w:t>回车后页面数据正常显示</w:t>
      </w:r>
    </w:p>
    <w:p w14:paraId="0000007D">
      <w:pPr>
        <w:jc w:val="both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Times New Roman" w:cs="Times New Roman"/>
        </w:rPr>
        <w:drawing>
          <wp:inline distT="114300" distB="114300" distL="114300" distR="114300">
            <wp:extent cx="4752975" cy="3136900"/>
            <wp:effectExtent l="0" t="0" r="0" b="6350"/>
            <wp:docPr id="2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E">
      <w:pPr>
        <w:jc w:val="both"/>
        <w:rPr>
          <w:rFonts w:hint="default" w:ascii="Times New Roman" w:hAnsi="Times New Roman" w:eastAsia="Times New Roman" w:cs="Times New Roman"/>
        </w:rPr>
      </w:pPr>
    </w:p>
    <w:p w14:paraId="0000007F">
      <w:pPr>
        <w:jc w:val="both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Gungsuh" w:cs="Times New Roman"/>
          <w:rtl w:val="0"/>
        </w:rPr>
        <w:t>最佳实践，以myaql为例</w:t>
      </w:r>
    </w:p>
    <w:p w14:paraId="00000080">
      <w:pPr>
        <w:jc w:val="both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Times New Roman" w:cs="Times New Roman"/>
        </w:rPr>
        <w:drawing>
          <wp:inline distT="114300" distB="114300" distL="114300" distR="114300">
            <wp:extent cx="4752975" cy="2514600"/>
            <wp:effectExtent l="0" t="0" r="0" b="0"/>
            <wp:docPr id="2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1">
      <w:pPr>
        <w:jc w:val="both"/>
        <w:rPr>
          <w:rFonts w:hint="default" w:ascii="Times New Roman" w:hAnsi="Times New Roman" w:eastAsia="Times New Roman" w:cs="Times New Roman"/>
        </w:rPr>
      </w:pPr>
    </w:p>
    <w:p w14:paraId="00000082">
      <w:pPr>
        <w:jc w:val="both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Gungsuh" w:cs="Times New Roman"/>
          <w:rtl w:val="0"/>
        </w:rPr>
        <w:t>可以在官方文档找到更多信息，比如在这里可以使用.cnf结尾，都会被默认为mysql的配置文件</w:t>
      </w:r>
    </w:p>
    <w:p w14:paraId="00000083">
      <w:pPr>
        <w:jc w:val="both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Times New Roman" w:cs="Times New Roman"/>
        </w:rPr>
        <w:drawing>
          <wp:inline distT="114300" distB="114300" distL="114300" distR="114300">
            <wp:extent cx="4752975" cy="2209800"/>
            <wp:effectExtent l="0" t="0" r="0" b="0"/>
            <wp:docPr id="2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4">
      <w:pPr>
        <w:jc w:val="both"/>
        <w:rPr>
          <w:rFonts w:hint="default" w:ascii="Times New Roman" w:hAnsi="Times New Roman" w:eastAsia="Times New Roman" w:cs="Times New Roman"/>
        </w:rPr>
      </w:pPr>
    </w:p>
    <w:p w14:paraId="00000085">
      <w:pPr>
        <w:jc w:val="both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Gungsuh" w:cs="Times New Roman"/>
          <w:rtl w:val="0"/>
        </w:rPr>
        <w:t>这里告知了mysql的数据存储位置，文档中会有没提到的内容，比如端口，mysql的默认端口是3306</w:t>
      </w:r>
    </w:p>
    <w:p w14:paraId="00000086">
      <w:pPr>
        <w:jc w:val="both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Times New Roman" w:cs="Times New Roman"/>
        </w:rPr>
        <w:drawing>
          <wp:inline distT="114300" distB="114300" distL="114300" distR="114300">
            <wp:extent cx="4248785" cy="3618865"/>
            <wp:effectExtent l="0" t="0" r="8890" b="635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9243" cy="36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7">
      <w:pPr>
        <w:jc w:val="both"/>
        <w:rPr>
          <w:rFonts w:hint="default" w:ascii="Times New Roman" w:hAnsi="Times New Roman" w:eastAsia="Times New Roman" w:cs="Times New Roman"/>
        </w:rPr>
      </w:pPr>
    </w:p>
    <w:p w14:paraId="00000088">
      <w:pPr>
        <w:jc w:val="both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Gungsuh" w:cs="Times New Roman"/>
          <w:rtl w:val="0"/>
        </w:rPr>
        <w:t>可以在tag这里找到镜像版本标签，默认不用标签的话就是以最新版本开启</w:t>
      </w:r>
    </w:p>
    <w:p w14:paraId="00000089">
      <w:pPr>
        <w:jc w:val="both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Times New Roman" w:cs="Times New Roman"/>
        </w:rPr>
        <w:drawing>
          <wp:inline distT="114300" distB="114300" distL="114300" distR="114300">
            <wp:extent cx="2546985" cy="2700020"/>
            <wp:effectExtent l="0" t="0" r="5715" b="508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7158" cy="270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A">
      <w:pPr>
        <w:jc w:val="both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Gungsuh" w:cs="Times New Roman"/>
          <w:rtl w:val="0"/>
        </w:rPr>
        <w:t>\ 为换行符，docker run 命令用于运行一个新的容器实例。</w:t>
      </w:r>
    </w:p>
    <w:p w14:paraId="0000008B">
      <w:pPr>
        <w:jc w:val="both"/>
        <w:rPr>
          <w:rFonts w:hint="default" w:ascii="Times New Roman" w:hAnsi="Times New Roman" w:eastAsia="Times New Roman" w:cs="Times New Roman"/>
        </w:rPr>
      </w:pPr>
    </w:p>
    <w:p w14:paraId="0000008C">
      <w:pPr>
        <w:jc w:val="both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Gungsuh" w:cs="Times New Roman"/>
          <w:rtl w:val="0"/>
        </w:rPr>
        <w:t>-d 参数表示以分离（detached）模式运行容器。这意味着容器会在后台运行，不会阻塞当前终端。</w:t>
      </w:r>
    </w:p>
    <w:p w14:paraId="0000008D">
      <w:pPr>
        <w:jc w:val="both"/>
        <w:rPr>
          <w:rFonts w:hint="default" w:ascii="Times New Roman" w:hAnsi="Times New Roman" w:eastAsia="Times New Roman" w:cs="Times New Roman"/>
        </w:rPr>
      </w:pPr>
    </w:p>
    <w:p w14:paraId="0000008E">
      <w:pPr>
        <w:jc w:val="both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Gungsuh" w:cs="Times New Roman"/>
          <w:rtl w:val="0"/>
        </w:rPr>
        <w:t>-p 3306:3306 参数用于端口映射，将主机的端口 3306 映射到容器的端口 3306。这里的3306是MySQL的默认端口，这样你可以通过主机的3306端口访问容器内的MySQL服务。</w:t>
      </w:r>
    </w:p>
    <w:p w14:paraId="0000008F">
      <w:pPr>
        <w:jc w:val="both"/>
        <w:rPr>
          <w:rFonts w:hint="default" w:ascii="Times New Roman" w:hAnsi="Times New Roman" w:eastAsia="Times New Roman" w:cs="Times New Roman"/>
        </w:rPr>
      </w:pPr>
    </w:p>
    <w:p w14:paraId="00000090">
      <w:pPr>
        <w:jc w:val="both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Gungsuh" w:cs="Times New Roman"/>
          <w:rtl w:val="0"/>
        </w:rPr>
        <w:t>-v /app/myconf:/etc/mysql/conf.d 参数用于挂载卷，将主机目录 /app/myconf 挂载到容器内的 /etc/mysql/conf.d 目录。这个目录通常用于存放 MySQL 配置文件，因此你可以在主机上修改 MySQL 的配置文件，并立即应用到容器中的 MySQL 服务。</w:t>
      </w:r>
    </w:p>
    <w:p w14:paraId="00000091">
      <w:pPr>
        <w:jc w:val="both"/>
        <w:rPr>
          <w:rFonts w:hint="default" w:ascii="Times New Roman" w:hAnsi="Times New Roman" w:eastAsia="Times New Roman" w:cs="Times New Roman"/>
        </w:rPr>
      </w:pPr>
    </w:p>
    <w:p w14:paraId="00000092">
      <w:pPr>
        <w:jc w:val="both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Gungsuh" w:cs="Times New Roman"/>
          <w:rtl w:val="0"/>
        </w:rPr>
        <w:t>-v /app/mydata:/var/lib/mysql 另一个 -v 参数用于将主机目录 /app/mydata 挂载到容器内的 /var/lib/mysql 目录。这个目录是 MySQL 的数据存储位置，挂载后可以在主机上持久化 MySQL 数据。</w:t>
      </w:r>
    </w:p>
    <w:p w14:paraId="00000093">
      <w:pPr>
        <w:jc w:val="both"/>
        <w:rPr>
          <w:rFonts w:hint="default" w:ascii="Times New Roman" w:hAnsi="Times New Roman" w:eastAsia="Times New Roman" w:cs="Times New Roman"/>
        </w:rPr>
      </w:pPr>
      <w:bookmarkStart w:id="0" w:name="_GoBack"/>
      <w:bookmarkEnd w:id="0"/>
    </w:p>
    <w:p w14:paraId="00000094">
      <w:pPr>
        <w:jc w:val="both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Gungsuh" w:cs="Times New Roman"/>
          <w:rtl w:val="0"/>
        </w:rPr>
        <w:t>-e MYSQL_ROOT_PASSWORD=123456 参数用于设置环境变量。在这里，它设置了 MySQL 的 root 用户密码为 123456。</w:t>
      </w:r>
    </w:p>
    <w:p w14:paraId="00000095">
      <w:pPr>
        <w:jc w:val="both"/>
        <w:rPr>
          <w:rFonts w:hint="default" w:ascii="Times New Roman" w:hAnsi="Times New Roman" w:eastAsia="Times New Roman" w:cs="Times New Roman"/>
        </w:rPr>
      </w:pPr>
    </w:p>
    <w:p w14:paraId="00000096">
      <w:pPr>
        <w:jc w:val="both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Gungsuh" w:cs="Times New Roman"/>
          <w:rtl w:val="0"/>
        </w:rPr>
        <w:t>mysql:8.0.37-debian 这是要运行的 Docker 镜像和标签（tag）表示使用 MySQL 8.0.37 版本，并且基于 Debian 操作系统的镜像。如果本地没有这个镜像，Docker 会自动从 Docker Hub 拉取。</w:t>
      </w:r>
      <w:r>
        <w:rPr>
          <w:rFonts w:hint="default" w:ascii="Times New Roman" w:hAnsi="Times New Roman" w:eastAsia="Times New Roman" w:cs="Times New Roman"/>
        </w:rPr>
        <w:drawing>
          <wp:inline distT="114300" distB="114300" distL="114300" distR="114300">
            <wp:extent cx="4752975" cy="3670300"/>
            <wp:effectExtent l="0" t="0" r="0" b="6350"/>
            <wp:docPr id="3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C049">
      <w:pPr>
        <w:rPr>
          <w:rFonts w:hint="default" w:ascii="Times New Roman" w:hAnsi="Times New Roman" w:cs="Times New Roma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Arial Unicode MS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ngsuh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14E6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zh-CN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itle"/>
    <w:basedOn w:val="1"/>
    <w:next w:val="1"/>
    <w:uiPriority w:val="0"/>
    <w:pPr>
      <w:keepNext/>
      <w:keepLines/>
      <w:pageBreakBefore w:val="0"/>
      <w:spacing w:before="0" w:after="60"/>
    </w:pPr>
    <w:rPr>
      <w:sz w:val="52"/>
      <w:szCs w:val="5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2024-06-26T02:10:02Z</dcterms:created>
  <dc:creator>26433</dc:creator>
  <cp:lastModifiedBy>bohan qiao</cp:lastModifiedBy>
  <dcterms:modified xsi:type="dcterms:W3CDTF">2024-06-26T02:10:11Z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F264675BE36D493F95B2C5E69002B5E5_12</vt:lpwstr>
  </property>
</Properties>
</file>