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6F">
      <w:pPr>
        <w:pStyle w:val="4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Docker 网络</w:t>
      </w:r>
    </w:p>
    <w:p w14:paraId="00000070">
      <w:pPr>
        <w:jc w:val="both"/>
        <w:rPr>
          <w:rFonts w:hint="default" w:ascii="Times New Roman" w:hAnsi="Times New Roman" w:eastAsia="Arial Unicode MS" w:cs="Times New Roman"/>
          <w:rtl w:val="0"/>
        </w:rPr>
      </w:pPr>
      <w:r>
        <w:rPr>
          <w:rFonts w:hint="default" w:ascii="Times New Roman" w:hAnsi="Times New Roman" w:eastAsia="Arial Unicode MS" w:cs="Times New Roman"/>
          <w:rtl w:val="0"/>
        </w:rPr>
        <w:t>Docker每个容器都有自己的独特ip，容器之间可以互相访问</w:t>
      </w:r>
    </w:p>
    <w:p w14:paraId="04735F5C">
      <w:pPr>
        <w:jc w:val="both"/>
        <w:rPr>
          <w:rFonts w:hint="default" w:ascii="Times New Roman" w:hAnsi="Times New Roman" w:eastAsia="宋体" w:cs="Times New Roman"/>
          <w:rtl w:val="0"/>
          <w:lang w:val="en-US" w:eastAsia="zh-C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图26</w:t>
      </w:r>
    </w:p>
    <w:p w14:paraId="00000071"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2588260" cy="3230245"/>
            <wp:effectExtent l="0" t="0" r="2540" b="8255"/>
            <wp:docPr id="4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8757" cy="323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2">
      <w:pPr>
        <w:jc w:val="both"/>
        <w:rPr>
          <w:rFonts w:hint="default" w:ascii="Times New Roman" w:hAnsi="Times New Roman" w:cs="Times New Roman"/>
        </w:rPr>
      </w:pPr>
    </w:p>
    <w:p w14:paraId="00000073">
      <w:pPr>
        <w:jc w:val="both"/>
        <w:rPr>
          <w:rFonts w:hint="default" w:ascii="Times New Roman" w:hAnsi="Times New Roman" w:eastAsia="Arial Unicode MS" w:cs="Times New Roman"/>
          <w:rtl w:val="0"/>
        </w:rPr>
      </w:pPr>
      <w:r>
        <w:rPr>
          <w:rFonts w:hint="default" w:ascii="Times New Roman" w:hAnsi="Times New Roman" w:eastAsia="Arial Unicode MS" w:cs="Times New Roman"/>
          <w:rtl w:val="0"/>
        </w:rPr>
        <w:t>docker network 涉及到所有网络相关命令</w:t>
      </w:r>
    </w:p>
    <w:p w14:paraId="54F98C87">
      <w:pPr>
        <w:jc w:val="both"/>
        <w:rPr>
          <w:rFonts w:hint="default" w:ascii="Times New Roman" w:hAnsi="Times New Roman" w:eastAsia="宋体" w:cs="Times New Roman"/>
          <w:rtl w:val="0"/>
          <w:lang w:val="en-US" w:eastAsia="zh-C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图27</w:t>
      </w:r>
    </w:p>
    <w:p w14:paraId="00000074"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4752975" cy="1981200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5">
      <w:pPr>
        <w:jc w:val="both"/>
        <w:rPr>
          <w:rFonts w:hint="default" w:ascii="Times New Roman" w:hAnsi="Times New Roman" w:cs="Times New Roman"/>
        </w:rPr>
      </w:pPr>
    </w:p>
    <w:p w14:paraId="00000076">
      <w:pPr>
        <w:jc w:val="both"/>
        <w:rPr>
          <w:rFonts w:hint="default" w:ascii="Times New Roman" w:hAnsi="Times New Roman" w:eastAsia="Arial Unicode MS" w:cs="Times New Roman"/>
          <w:rtl w:val="0"/>
        </w:rPr>
      </w:pPr>
      <w:r>
        <w:rPr>
          <w:rFonts w:hint="default" w:ascii="Times New Roman" w:hAnsi="Times New Roman" w:eastAsia="Arial Unicode MS" w:cs="Times New Roman"/>
          <w:rtl w:val="0"/>
        </w:rPr>
        <w:t>自定义网络</w:t>
      </w:r>
    </w:p>
    <w:p w14:paraId="25208F62">
      <w:pPr>
        <w:jc w:val="both"/>
        <w:rPr>
          <w:rFonts w:hint="default" w:ascii="Times New Roman" w:hAnsi="Times New Roman" w:eastAsia="宋体" w:cs="Times New Roman"/>
          <w:rtl w:val="0"/>
          <w:lang w:val="en-US" w:eastAsia="zh-C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图28</w:t>
      </w:r>
    </w:p>
    <w:p w14:paraId="00000077"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4752975" cy="1295400"/>
            <wp:effectExtent l="0" t="0" r="0" b="0"/>
            <wp:docPr id="2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8">
      <w:pPr>
        <w:jc w:val="both"/>
        <w:rPr>
          <w:rFonts w:hint="default" w:ascii="Times New Roman" w:hAnsi="Times New Roman" w:cs="Times New Roman"/>
        </w:rPr>
      </w:pPr>
    </w:p>
    <w:p w14:paraId="00000079">
      <w:pPr>
        <w:jc w:val="both"/>
        <w:rPr>
          <w:rFonts w:hint="default" w:ascii="Times New Roman" w:hAnsi="Times New Roman" w:eastAsia="Gungsuh" w:cs="Times New Roman"/>
          <w:rtl w:val="0"/>
        </w:rPr>
      </w:pPr>
      <w:r>
        <w:rPr>
          <w:rFonts w:hint="default" w:ascii="Times New Roman" w:hAnsi="Times New Roman" w:eastAsia="Gungsuh" w:cs="Times New Roman"/>
          <w:rtl w:val="0"/>
        </w:rPr>
        <w:t>使用自定义网络启动两个容器</w:t>
      </w:r>
    </w:p>
    <w:p w14:paraId="7842BCD1">
      <w:pPr>
        <w:jc w:val="both"/>
        <w:rPr>
          <w:rFonts w:hint="default" w:ascii="Times New Roman" w:hAnsi="Times New Roman" w:eastAsia="宋体" w:cs="Times New Roman"/>
          <w:rtl w:val="0"/>
          <w:lang w:val="en-US" w:eastAsia="zh-C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图29</w:t>
      </w:r>
    </w:p>
    <w:p w14:paraId="0000007A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752975" cy="2273300"/>
            <wp:effectExtent l="0" t="0" r="0" b="3175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A63A">
      <w:pPr>
        <w:jc w:val="both"/>
        <w:rPr>
          <w:rFonts w:hint="default" w:ascii="Times New Roman" w:hAnsi="Times New Roman" w:eastAsia="Gungsuh" w:cs="Times New Roman"/>
          <w:rtl w:val="0"/>
        </w:rPr>
      </w:pPr>
      <w:r>
        <w:rPr>
          <w:rFonts w:hint="default" w:ascii="Times New Roman" w:hAnsi="Times New Roman" w:eastAsia="Gungsuh" w:cs="Times New Roman"/>
          <w:rtl w:val="0"/>
        </w:rPr>
        <w:t>使用容器内部网络访问</w:t>
      </w:r>
    </w:p>
    <w:p w14:paraId="166B0D5D">
      <w:pPr>
        <w:jc w:val="both"/>
        <w:rPr>
          <w:rFonts w:hint="default" w:ascii="Times New Roman" w:hAnsi="Times New Roman" w:eastAsia="宋体" w:cs="Times New Roman"/>
          <w:rtl w:val="0"/>
          <w:lang w:val="en-US" w:eastAsia="zh-C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图30</w:t>
      </w:r>
    </w:p>
    <w:p w14:paraId="0000007B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752975" cy="977900"/>
            <wp:effectExtent l="0" t="0" r="0" b="3175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C">
      <w:pPr>
        <w:jc w:val="both"/>
        <w:rPr>
          <w:rFonts w:hint="default" w:ascii="Times New Roman" w:hAnsi="Times New Roman" w:eastAsia="Gungsuh" w:cs="Times New Roman"/>
          <w:rtl w:val="0"/>
        </w:rPr>
      </w:pPr>
      <w:r>
        <w:rPr>
          <w:rFonts w:hint="default" w:ascii="Times New Roman" w:hAnsi="Times New Roman" w:eastAsia="Gungsuh" w:cs="Times New Roman"/>
          <w:rtl w:val="0"/>
        </w:rPr>
        <w:t>回车后页面数据正常显示</w:t>
      </w:r>
    </w:p>
    <w:p w14:paraId="1C0E688D">
      <w:pPr>
        <w:jc w:val="both"/>
        <w:rPr>
          <w:rFonts w:hint="default" w:ascii="Times New Roman" w:hAnsi="Times New Roman" w:eastAsia="宋体" w:cs="Times New Roman"/>
          <w:rtl w:val="0"/>
          <w:lang w:val="en-US" w:eastAsia="zh-C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图31</w:t>
      </w:r>
    </w:p>
    <w:p w14:paraId="0000007D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752975" cy="3136900"/>
            <wp:effectExtent l="0" t="0" r="0" b="635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E">
      <w:pPr>
        <w:jc w:val="both"/>
        <w:rPr>
          <w:rFonts w:hint="default" w:ascii="Times New Roman" w:hAnsi="Times New Roman" w:eastAsia="Times New Roman" w:cs="Times New Roman"/>
        </w:rPr>
      </w:pPr>
    </w:p>
    <w:p w14:paraId="0000007F">
      <w:pPr>
        <w:jc w:val="both"/>
        <w:rPr>
          <w:rFonts w:hint="default" w:ascii="Times New Roman" w:hAnsi="Times New Roman" w:eastAsia="Gungsuh" w:cs="Times New Roman"/>
          <w:rtl w:val="0"/>
        </w:rPr>
      </w:pPr>
      <w:r>
        <w:rPr>
          <w:rFonts w:hint="default" w:ascii="Times New Roman" w:hAnsi="Times New Roman" w:eastAsia="Gungsuh" w:cs="Times New Roman"/>
          <w:rtl w:val="0"/>
        </w:rPr>
        <w:t>最佳实践，以myaql为例</w:t>
      </w:r>
    </w:p>
    <w:p w14:paraId="76C1946E">
      <w:pPr>
        <w:jc w:val="both"/>
        <w:rPr>
          <w:rFonts w:hint="default" w:ascii="Times New Roman" w:hAnsi="Times New Roman" w:eastAsia="宋体" w:cs="Times New Roman"/>
          <w:rtl w:val="0"/>
          <w:lang w:val="en-US" w:eastAsia="zh-C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图32</w:t>
      </w:r>
    </w:p>
    <w:p w14:paraId="00000080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752975" cy="251460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1">
      <w:pPr>
        <w:jc w:val="both"/>
        <w:rPr>
          <w:rFonts w:hint="default" w:ascii="Times New Roman" w:hAnsi="Times New Roman" w:eastAsia="Times New Roman" w:cs="Times New Roman"/>
        </w:rPr>
      </w:pPr>
    </w:p>
    <w:p w14:paraId="00000082">
      <w:pPr>
        <w:jc w:val="both"/>
        <w:rPr>
          <w:rFonts w:hint="default" w:ascii="Times New Roman" w:hAnsi="Times New Roman" w:eastAsia="Gungsuh" w:cs="Times New Roman"/>
          <w:rtl w:val="0"/>
        </w:rPr>
      </w:pPr>
      <w:r>
        <w:rPr>
          <w:rFonts w:hint="default" w:ascii="Times New Roman" w:hAnsi="Times New Roman" w:eastAsia="Gungsuh" w:cs="Times New Roman"/>
          <w:rtl w:val="0"/>
        </w:rPr>
        <w:t>可以在官方文档找到更多信息，比如在这里可以使用.cnf结尾，都会被默认为mysql的配置文件</w:t>
      </w:r>
    </w:p>
    <w:p w14:paraId="5EDAE72B">
      <w:pPr>
        <w:jc w:val="both"/>
        <w:rPr>
          <w:rFonts w:hint="default" w:ascii="Times New Roman" w:hAnsi="Times New Roman" w:eastAsia="宋体" w:cs="Times New Roman"/>
          <w:rtl w:val="0"/>
          <w:lang w:val="en-US" w:eastAsia="zh-C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图33</w:t>
      </w:r>
    </w:p>
    <w:p w14:paraId="00000083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752975" cy="22098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4">
      <w:pPr>
        <w:jc w:val="both"/>
        <w:rPr>
          <w:rFonts w:hint="default" w:ascii="Times New Roman" w:hAnsi="Times New Roman" w:eastAsia="Times New Roman" w:cs="Times New Roman"/>
        </w:rPr>
      </w:pPr>
    </w:p>
    <w:p w14:paraId="00000085">
      <w:pPr>
        <w:jc w:val="both"/>
        <w:rPr>
          <w:rFonts w:hint="default" w:ascii="Times New Roman" w:hAnsi="Times New Roman" w:eastAsia="Gungsuh" w:cs="Times New Roman"/>
          <w:rtl w:val="0"/>
        </w:rPr>
      </w:pPr>
      <w:r>
        <w:rPr>
          <w:rFonts w:hint="default" w:ascii="Times New Roman" w:hAnsi="Times New Roman" w:eastAsia="Gungsuh" w:cs="Times New Roman"/>
          <w:rtl w:val="0"/>
        </w:rPr>
        <w:t>这里告知了mysql的数据存储位置，文档中会有没提到的内容，比如端口，mysql的默认端口是3306</w:t>
      </w:r>
    </w:p>
    <w:p w14:paraId="70741850">
      <w:pPr>
        <w:jc w:val="both"/>
        <w:rPr>
          <w:rFonts w:hint="default" w:ascii="Times New Roman" w:hAnsi="Times New Roman" w:eastAsia="宋体" w:cs="Times New Roman"/>
          <w:rtl w:val="0"/>
          <w:lang w:val="en-US" w:eastAsia="zh-C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图34</w:t>
      </w:r>
    </w:p>
    <w:p w14:paraId="00000086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248785" cy="3618865"/>
            <wp:effectExtent l="0" t="0" r="8890" b="635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9243" cy="36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7">
      <w:pPr>
        <w:jc w:val="both"/>
        <w:rPr>
          <w:rFonts w:hint="default" w:ascii="Times New Roman" w:hAnsi="Times New Roman" w:eastAsia="Times New Roman" w:cs="Times New Roman"/>
        </w:rPr>
      </w:pPr>
    </w:p>
    <w:p w14:paraId="00000088">
      <w:pPr>
        <w:jc w:val="both"/>
        <w:rPr>
          <w:rFonts w:hint="default" w:ascii="Times New Roman" w:hAnsi="Times New Roman" w:eastAsia="Gungsuh" w:cs="Times New Roman"/>
          <w:rtl w:val="0"/>
        </w:rPr>
      </w:pPr>
      <w:r>
        <w:rPr>
          <w:rFonts w:hint="default" w:ascii="Times New Roman" w:hAnsi="Times New Roman" w:eastAsia="Gungsuh" w:cs="Times New Roman"/>
          <w:rtl w:val="0"/>
        </w:rPr>
        <w:t>可以在tag这里找到镜像版本标签，默认不用标签的话就是以最新版本开启</w:t>
      </w:r>
    </w:p>
    <w:p w14:paraId="7F1421E0">
      <w:pPr>
        <w:jc w:val="both"/>
        <w:rPr>
          <w:rFonts w:hint="default" w:ascii="Times New Roman" w:hAnsi="Times New Roman" w:eastAsia="宋体" w:cs="Times New Roman"/>
          <w:rtl w:val="0"/>
          <w:lang w:val="en-US" w:eastAsia="zh-C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图35</w:t>
      </w:r>
    </w:p>
    <w:p w14:paraId="00000089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2546985" cy="2700020"/>
            <wp:effectExtent l="0" t="0" r="5715" b="508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7158" cy="27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A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\ 为换行符，docker run 命令用于运行一个新的容器实例。</w:t>
      </w:r>
    </w:p>
    <w:p w14:paraId="0000008B">
      <w:pPr>
        <w:jc w:val="both"/>
        <w:rPr>
          <w:rFonts w:hint="default" w:ascii="Times New Roman" w:hAnsi="Times New Roman" w:eastAsia="Times New Roman" w:cs="Times New Roman"/>
        </w:rPr>
      </w:pPr>
    </w:p>
    <w:p w14:paraId="0000008C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-d 参数表示以分离（detached）模式运行容器。这意味着容器会在后台运行，不会阻塞当前终端。</w:t>
      </w:r>
    </w:p>
    <w:p w14:paraId="0000008D">
      <w:pPr>
        <w:jc w:val="both"/>
        <w:rPr>
          <w:rFonts w:hint="default" w:ascii="Times New Roman" w:hAnsi="Times New Roman" w:eastAsia="Times New Roman" w:cs="Times New Roman"/>
        </w:rPr>
      </w:pPr>
    </w:p>
    <w:p w14:paraId="0000008E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-p 3306:3306 参数用于端口映射，将主机的端口 3306 映射到容器的端口 3306。这里的3306是MySQL的默认端口，这样你可以通过主机的3306端口访问容器内的MySQL服务。</w:t>
      </w:r>
    </w:p>
    <w:p w14:paraId="0000008F">
      <w:pPr>
        <w:jc w:val="both"/>
        <w:rPr>
          <w:rFonts w:hint="default" w:ascii="Times New Roman" w:hAnsi="Times New Roman" w:eastAsia="Times New Roman" w:cs="Times New Roman"/>
        </w:rPr>
      </w:pPr>
    </w:p>
    <w:p w14:paraId="00000090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-v /app/myconf:/etc/mysql/conf.d 参数用于挂载卷，将主机目录 /app/myconf 挂载到容器内的 /etc/mysql/conf.d 目录。这个目录通常用于存放 MySQL 配置文件，因此你可以在主机上修改 MySQL 的配置文件，并立即应用到容器中的 MySQL 服务。</w:t>
      </w:r>
    </w:p>
    <w:p w14:paraId="00000091">
      <w:pPr>
        <w:jc w:val="both"/>
        <w:rPr>
          <w:rFonts w:hint="default" w:ascii="Times New Roman" w:hAnsi="Times New Roman" w:eastAsia="Times New Roman" w:cs="Times New Roman"/>
        </w:rPr>
      </w:pPr>
    </w:p>
    <w:p w14:paraId="00000092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-v /app/mydata:/var/lib/mysql 另一个 -v 参数用于将主机目录 /app/mydata 挂载到容器内的 /var/lib/mysql 目录。这个目录是 MySQL 的数据存储位置，挂载后可以在主机上持久化 MySQL 数据。</w:t>
      </w:r>
    </w:p>
    <w:p w14:paraId="00000093">
      <w:pPr>
        <w:jc w:val="both"/>
        <w:rPr>
          <w:rFonts w:hint="default" w:ascii="Times New Roman" w:hAnsi="Times New Roman" w:eastAsia="Times New Roman" w:cs="Times New Roman"/>
        </w:rPr>
      </w:pPr>
    </w:p>
    <w:p w14:paraId="00000094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-e MYSQL_ROOT_PASSWORD=123456 参数用于设置环境变量。在这里，它设置了 MySQL 的 root 用户密码为 123456。</w:t>
      </w:r>
    </w:p>
    <w:p w14:paraId="00000095">
      <w:pPr>
        <w:jc w:val="both"/>
        <w:rPr>
          <w:rFonts w:hint="default" w:ascii="Times New Roman" w:hAnsi="Times New Roman" w:eastAsia="Times New Roman" w:cs="Times New Roman"/>
        </w:rPr>
      </w:pPr>
    </w:p>
    <w:p w14:paraId="74662541">
      <w:pPr>
        <w:jc w:val="both"/>
        <w:rPr>
          <w:rFonts w:hint="default" w:ascii="Times New Roman" w:hAnsi="Times New Roman" w:eastAsia="Gungsuh" w:cs="Times New Roman"/>
          <w:rtl w:val="0"/>
        </w:rPr>
      </w:pPr>
      <w:r>
        <w:rPr>
          <w:rFonts w:hint="default" w:ascii="Times New Roman" w:hAnsi="Times New Roman" w:eastAsia="Gungsuh" w:cs="Times New Roman"/>
          <w:rtl w:val="0"/>
        </w:rPr>
        <w:t>mysql:8.0.37-debian 这是要运行的 Docker 镜像和标签（tag）表示使用 MySQL 8.0.37 版本，并且基于 Debian 操作系统的镜像。如果本地没有这个镜像，Docker 会自动从 Docker Hub 拉取。</w:t>
      </w:r>
    </w:p>
    <w:p w14:paraId="7E61A453">
      <w:pPr>
        <w:jc w:val="both"/>
        <w:rPr>
          <w:rFonts w:hint="default" w:ascii="Times New Roman" w:hAnsi="Times New Roman" w:eastAsia="宋体" w:cs="Times New Roman"/>
          <w:rtl w:val="0"/>
          <w:lang w:val="en-US" w:eastAsia="zh-C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图36</w:t>
      </w:r>
      <w:bookmarkStart w:id="0" w:name="_GoBack"/>
      <w:bookmarkEnd w:id="0"/>
    </w:p>
    <w:p w14:paraId="00000096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752975" cy="3670300"/>
            <wp:effectExtent l="0" t="0" r="0" b="6350"/>
            <wp:docPr id="3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C049">
      <w:pPr>
        <w:rPr>
          <w:rFonts w:hint="default" w:ascii="Times New Roman" w:hAnsi="Times New Roman" w:cs="Times New Roma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Unicode M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ngsu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07568AE"/>
    <w:rsid w:val="614E6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2024-06-26T02:10:00Z</dcterms:created>
  <dc:creator>26433</dc:creator>
  <cp:lastModifiedBy>26433</cp:lastModifiedBy>
  <dcterms:modified xsi:type="dcterms:W3CDTF">2024-06-26T03:10:12Z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F264675BE36D493F95B2C5E69002B5E5_12</vt:lpwstr>
  </property>
</Properties>
</file>