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color w:val="0891B2"/>
          <w:sz w:val="18"/>
        </w:rPr>
        <w:t>AI-GENERATED STRATEGY BRIEF</w:t>
      </w:r>
    </w:p>
    <w:p>
      <w:pPr>
        <w:pStyle w:val="Title"/>
      </w:pPr>
      <w:r>
        <w:t>BQ Labs</w:t>
      </w:r>
    </w:p>
    <w:p>
      <w:pPr>
        <w:pStyle w:val="Subtitle"/>
      </w:pPr>
      <w:r>
        <w:t>Identity, product direction, and public-platform principles</w:t>
      </w:r>
    </w:p>
    <w:p>
      <w:pPr>
        <w:spacing w:after="60"/>
        <w:shd w:fill="F4F7FB"/>
      </w:pPr>
      <w:r>
        <w:rPr>
          <w:rFonts w:ascii="Aptos" w:hAnsi="Aptos"/>
          <w:b/>
          <w:color w:val="102A43"/>
          <w:sz w:val="19"/>
        </w:rPr>
        <w:t xml:space="preserve">Status: </w:t>
      </w:r>
      <w:r>
        <w:rPr>
          <w:rFonts w:ascii="Aptos" w:hAnsi="Aptos"/>
          <w:b w:val="0"/>
          <w:color w:val="172B4D"/>
          <w:sz w:val="19"/>
        </w:rPr>
        <w:t>Approved baseline; update as the company and product portfolio evolve</w:t>
      </w:r>
    </w:p>
    <w:p>
      <w:pPr>
        <w:spacing w:after="60"/>
        <w:shd w:fill="F4F7FB"/>
      </w:pPr>
      <w:r>
        <w:rPr>
          <w:rFonts w:ascii="Aptos" w:hAnsi="Aptos"/>
          <w:b/>
          <w:color w:val="102A43"/>
          <w:sz w:val="19"/>
        </w:rPr>
        <w:t xml:space="preserve">Purpose: </w:t>
      </w:r>
      <w:r>
        <w:rPr>
          <w:rFonts w:ascii="Aptos" w:hAnsi="Aptos"/>
          <w:b w:val="0"/>
          <w:color w:val="172B4D"/>
          <w:sz w:val="19"/>
        </w:rPr>
        <w:t>Living reference for design, product, and implementation decisions</w:t>
      </w:r>
    </w:p>
    <w:p/>
    <w:p>
      <w:pPr>
        <w:spacing w:before="80" w:after="160"/>
        <w:ind w:left="173" w:right="173"/>
        <w:shd w:fill="EAF2FF"/>
      </w:pPr>
      <w:r>
        <w:rPr>
          <w:rFonts w:ascii="Aptos" w:hAnsi="Aptos"/>
          <w:b/>
          <w:color w:val="102A43"/>
          <w:sz w:val="20"/>
        </w:rPr>
        <w:t xml:space="preserve">Public naming rule: </w:t>
      </w:r>
      <w:r>
        <w:rPr>
          <w:rFonts w:ascii="Aptos" w:hAnsi="Aptos"/>
          <w:b w:val="0"/>
          <w:color w:val="172B4D"/>
          <w:sz w:val="20"/>
        </w:rPr>
        <w:t>Use BQ Labs as the only company name in public-facing copy, interfaces, metadata, and communications.</w:t>
      </w:r>
    </w:p>
    <w:p>
      <w:pPr>
        <w:pStyle w:val="Heading1"/>
      </w:pPr>
      <w:r>
        <w:t>1. Company proposition</w:t>
      </w:r>
    </w:p>
    <w:p>
      <w:r>
        <w:t>BQ Labs creates user-centred software that turns complex operational work into clear, accountable, and useful experiences. Its products should apply AI where it produces measurable user value, while preserving human control, data protection, and explainability.</w:t>
      </w:r>
    </w:p>
    <w:p>
      <w:pPr>
        <w:pStyle w:val="Heading2"/>
      </w:pPr>
      <w:r>
        <w:t>Vision</w:t>
      </w:r>
    </w:p>
    <w:p>
      <w:pPr>
        <w:pStyle w:val="ListBullet"/>
      </w:pPr>
      <w:r>
        <w:t>Build an AI-enabled organization, not an AI-themed one.</w:t>
      </w:r>
    </w:p>
    <w:p>
      <w:pPr>
        <w:pStyle w:val="ListBullet"/>
      </w:pPr>
      <w:r>
        <w:t>Create products around genuine user workflows and decisions.</w:t>
      </w:r>
    </w:p>
    <w:p>
      <w:pPr>
        <w:pStyle w:val="ListBullet"/>
      </w:pPr>
      <w:r>
        <w:t>Design mobile-first, then expand gracefully to larger screens.</w:t>
      </w:r>
    </w:p>
    <w:p>
      <w:pPr>
        <w:pStyle w:val="ListBullet"/>
      </w:pPr>
      <w:r>
        <w:t>Earn trust through security, reliability, transparency, and restrained public claims.</w:t>
      </w:r>
    </w:p>
    <w:p>
      <w:pPr>
        <w:pStyle w:val="Heading2"/>
      </w:pPr>
      <w:r>
        <w:t>Brand character</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160"/>
            <w:shd w:fill="102A43"/>
            <w:tcMar>
              <w:top w:w="80" w:type="dxa"/>
              <w:start w:w="120" w:type="dxa"/>
              <w:bottom w:w="80" w:type="dxa"/>
              <w:end w:w="120" w:type="dxa"/>
            </w:tcMar>
          </w:tcPr>
          <w:p>
            <w:pPr>
              <w:spacing w:after="0"/>
            </w:pPr>
            <w:r>
              <w:rPr>
                <w:rFonts w:ascii="Aptos" w:hAnsi="Aptos"/>
                <w:b/>
                <w:color w:val="FFFFFF"/>
                <w:sz w:val="18"/>
              </w:rPr>
              <w:t>Attribute</w:t>
            </w:r>
          </w:p>
        </w:tc>
        <w:tc>
          <w:tcPr>
            <w:tcW w:type="dxa" w:w="7200"/>
            <w:shd w:fill="102A43"/>
            <w:tcMar>
              <w:top w:w="80" w:type="dxa"/>
              <w:start w:w="120" w:type="dxa"/>
              <w:bottom w:w="80" w:type="dxa"/>
              <w:end w:w="120" w:type="dxa"/>
            </w:tcMar>
          </w:tcPr>
          <w:p>
            <w:pPr>
              <w:spacing w:after="0"/>
            </w:pPr>
            <w:r>
              <w:rPr>
                <w:rFonts w:ascii="Aptos" w:hAnsi="Aptos"/>
                <w:b/>
                <w:color w:val="FFFFFF"/>
                <w:sz w:val="18"/>
              </w:rPr>
              <w:t>Expression</w:t>
            </w:r>
          </w:p>
        </w:tc>
      </w:tr>
      <w:tr>
        <w:tc>
          <w:tcPr>
            <w:tcW w:type="dxa" w:w="2160"/>
            <w:tcMar>
              <w:top w:w="80" w:type="dxa"/>
              <w:start w:w="120" w:type="dxa"/>
              <w:bottom w:w="80" w:type="dxa"/>
              <w:end w:w="120" w:type="dxa"/>
            </w:tcMar>
          </w:tcPr>
          <w:p>
            <w:pPr>
              <w:spacing w:after="0"/>
            </w:pPr>
            <w:r>
              <w:rPr>
                <w:rFonts w:ascii="Aptos" w:hAnsi="Aptos"/>
                <w:b w:val="0"/>
                <w:color w:val="172B4D"/>
                <w:sz w:val="18"/>
              </w:rPr>
              <w:t>Intelligent</w:t>
            </w:r>
          </w:p>
        </w:tc>
        <w:tc>
          <w:tcPr>
            <w:tcW w:type="dxa" w:w="7200"/>
            <w:tcMar>
              <w:top w:w="80" w:type="dxa"/>
              <w:start w:w="120" w:type="dxa"/>
              <w:bottom w:w="80" w:type="dxa"/>
              <w:end w:w="120" w:type="dxa"/>
            </w:tcMar>
          </w:tcPr>
          <w:p>
            <w:pPr>
              <w:spacing w:after="0"/>
            </w:pPr>
            <w:r>
              <w:rPr>
                <w:rFonts w:ascii="Aptos" w:hAnsi="Aptos"/>
                <w:b w:val="0"/>
                <w:color w:val="172B4D"/>
                <w:sz w:val="18"/>
              </w:rPr>
              <w:t>Clear reasoning, useful automation, and evidence-led product decisions.</w:t>
            </w:r>
          </w:p>
        </w:tc>
      </w:tr>
      <w:tr>
        <w:tc>
          <w:tcPr>
            <w:tcW w:type="dxa" w:w="2160"/>
            <w:tcMar>
              <w:top w:w="80" w:type="dxa"/>
              <w:start w:w="120" w:type="dxa"/>
              <w:bottom w:w="80" w:type="dxa"/>
              <w:end w:w="120" w:type="dxa"/>
            </w:tcMar>
            <w:shd w:fill="F4F7FB"/>
          </w:tcPr>
          <w:p>
            <w:pPr>
              <w:spacing w:after="0"/>
            </w:pPr>
            <w:r>
              <w:rPr>
                <w:rFonts w:ascii="Aptos" w:hAnsi="Aptos"/>
                <w:b w:val="0"/>
                <w:color w:val="172B4D"/>
                <w:sz w:val="18"/>
              </w:rPr>
              <w:t>Dependable</w:t>
            </w:r>
          </w:p>
        </w:tc>
        <w:tc>
          <w:tcPr>
            <w:tcW w:type="dxa" w:w="7200"/>
            <w:tcMar>
              <w:top w:w="80" w:type="dxa"/>
              <w:start w:w="120" w:type="dxa"/>
              <w:bottom w:w="80" w:type="dxa"/>
              <w:end w:w="120" w:type="dxa"/>
            </w:tcMar>
            <w:shd w:fill="F4F7FB"/>
          </w:tcPr>
          <w:p>
            <w:pPr>
              <w:spacing w:after="0"/>
            </w:pPr>
            <w:r>
              <w:rPr>
                <w:rFonts w:ascii="Aptos" w:hAnsi="Aptos"/>
                <w:b w:val="0"/>
                <w:color w:val="172B4D"/>
                <w:sz w:val="18"/>
              </w:rPr>
              <w:t>Calm interfaces, predictable behaviour, and visible accountability.</w:t>
            </w:r>
          </w:p>
        </w:tc>
      </w:tr>
      <w:tr>
        <w:tc>
          <w:tcPr>
            <w:tcW w:type="dxa" w:w="2160"/>
            <w:tcMar>
              <w:top w:w="80" w:type="dxa"/>
              <w:start w:w="120" w:type="dxa"/>
              <w:bottom w:w="80" w:type="dxa"/>
              <w:end w:w="120" w:type="dxa"/>
            </w:tcMar>
          </w:tcPr>
          <w:p>
            <w:pPr>
              <w:spacing w:after="0"/>
            </w:pPr>
            <w:r>
              <w:rPr>
                <w:rFonts w:ascii="Aptos" w:hAnsi="Aptos"/>
                <w:b w:val="0"/>
                <w:color w:val="172B4D"/>
                <w:sz w:val="18"/>
              </w:rPr>
              <w:t>Forward-looking</w:t>
            </w:r>
          </w:p>
        </w:tc>
        <w:tc>
          <w:tcPr>
            <w:tcW w:type="dxa" w:w="7200"/>
            <w:tcMar>
              <w:top w:w="80" w:type="dxa"/>
              <w:start w:w="120" w:type="dxa"/>
              <w:bottom w:w="80" w:type="dxa"/>
              <w:end w:w="120" w:type="dxa"/>
            </w:tcMar>
          </w:tcPr>
          <w:p>
            <w:pPr>
              <w:spacing w:after="0"/>
            </w:pPr>
            <w:r>
              <w:rPr>
                <w:rFonts w:ascii="Aptos" w:hAnsi="Aptos"/>
                <w:b w:val="0"/>
                <w:color w:val="172B4D"/>
                <w:sz w:val="18"/>
              </w:rPr>
              <w:t>Modern interaction patterns without novelty that obstructs work.</w:t>
            </w:r>
          </w:p>
        </w:tc>
      </w:tr>
      <w:tr>
        <w:tc>
          <w:tcPr>
            <w:tcW w:type="dxa" w:w="2160"/>
            <w:tcMar>
              <w:top w:w="80" w:type="dxa"/>
              <w:start w:w="120" w:type="dxa"/>
              <w:bottom w:w="80" w:type="dxa"/>
              <w:end w:w="120" w:type="dxa"/>
            </w:tcMar>
            <w:shd w:fill="F4F7FB"/>
          </w:tcPr>
          <w:p>
            <w:pPr>
              <w:spacing w:after="0"/>
            </w:pPr>
            <w:r>
              <w:rPr>
                <w:rFonts w:ascii="Aptos" w:hAnsi="Aptos"/>
                <w:b w:val="0"/>
                <w:color w:val="172B4D"/>
                <w:sz w:val="18"/>
              </w:rPr>
              <w:t>Human</w:t>
            </w:r>
          </w:p>
        </w:tc>
        <w:tc>
          <w:tcPr>
            <w:tcW w:type="dxa" w:w="7200"/>
            <w:tcMar>
              <w:top w:w="80" w:type="dxa"/>
              <w:start w:w="120" w:type="dxa"/>
              <w:bottom w:w="80" w:type="dxa"/>
              <w:end w:w="120" w:type="dxa"/>
            </w:tcMar>
            <w:shd w:fill="F4F7FB"/>
          </w:tcPr>
          <w:p>
            <w:pPr>
              <w:spacing w:after="0"/>
            </w:pPr>
            <w:r>
              <w:rPr>
                <w:rFonts w:ascii="Aptos" w:hAnsi="Aptos"/>
                <w:b w:val="0"/>
                <w:color w:val="172B4D"/>
                <w:sz w:val="18"/>
              </w:rPr>
              <w:t>Plain language, accessible UX, and people remaining in control.</w:t>
            </w:r>
          </w:p>
        </w:tc>
      </w:tr>
    </w:tbl>
    <w:p/>
    <w:p>
      <w:pPr>
        <w:pStyle w:val="Heading1"/>
      </w:pPr>
      <w:r>
        <w:t>2. Product portfolio model</w:t>
      </w:r>
    </w:p>
    <w:p>
      <w:r>
        <w:t>The BQ Labs website is the trusted public entry point for a growing product portfolio. Quantum OPS is the first operational product. Future products should inherit shared identity, authentication standards, security posture, design tokens, and support conventions without forcing a single monolithic codebase.</w:t>
      </w:r>
    </w:p>
    <w:p>
      <w:pPr>
        <w:pStyle w:val="ListBullet"/>
      </w:pPr>
      <w:r>
        <w:t>Public site: company story, product discovery, contact paths, and trust signals.</w:t>
      </w:r>
    </w:p>
    <w:p>
      <w:pPr>
        <w:pStyle w:val="ListBullet"/>
      </w:pPr>
      <w:r>
        <w:t>Product entry: deliberate hand-off from bqlabs.in to the relevant application.</w:t>
      </w:r>
    </w:p>
    <w:p>
      <w:pPr>
        <w:pStyle w:val="ListBullet"/>
      </w:pPr>
      <w:r>
        <w:t>Shared platform capabilities: identity, organization membership, audit, notifications, and observability.</w:t>
      </w:r>
    </w:p>
    <w:p>
      <w:pPr>
        <w:pStyle w:val="ListBullet"/>
      </w:pPr>
      <w:r>
        <w:t>Product-specific domains: isolated business logic and permissions for each product.</w:t>
      </w:r>
    </w:p>
    <w:p>
      <w:pPr>
        <w:pStyle w:val="Heading1"/>
      </w:pPr>
      <w:r>
        <w:t>3. Public experience principles</w:t>
      </w:r>
    </w:p>
    <w:p>
      <w:pPr>
        <w:pStyle w:val="ListBullet"/>
      </w:pPr>
      <w:r>
        <w:t>Lead with outcomes and user problems, not implementation jargon.</w:t>
      </w:r>
    </w:p>
    <w:p>
      <w:pPr>
        <w:pStyle w:val="ListBullet"/>
      </w:pPr>
      <w:r>
        <w:t>Keep public diagnostics, stack traces, environment details, and infrastructure health private.</w:t>
      </w:r>
    </w:p>
    <w:p>
      <w:pPr>
        <w:pStyle w:val="ListBullet"/>
      </w:pPr>
      <w:r>
        <w:t>Expose system status only to authenticated staff unless a future public status page is intentionally approved.</w:t>
      </w:r>
    </w:p>
    <w:p>
      <w:pPr>
        <w:pStyle w:val="ListBullet"/>
      </w:pPr>
      <w:r>
        <w:t>Use fast-loading, responsive pages with semantic HTML, accessible navigation, and minimal client-side payloads.</w:t>
      </w:r>
    </w:p>
    <w:p>
      <w:pPr>
        <w:pStyle w:val="ListBullet"/>
      </w:pPr>
      <w:r>
        <w:t>Make privacy, support, and security contact paths easy to find before inviting broad adoption.</w:t>
      </w:r>
    </w:p>
    <w:p>
      <w:pPr>
        <w:pStyle w:val="Heading1"/>
      </w:pPr>
      <w:r>
        <w:t>4. AI principles</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088"/>
            <w:shd w:fill="102A43"/>
            <w:tcMar>
              <w:top w:w="80" w:type="dxa"/>
              <w:start w:w="120" w:type="dxa"/>
              <w:bottom w:w="80" w:type="dxa"/>
              <w:end w:w="120" w:type="dxa"/>
            </w:tcMar>
          </w:tcPr>
          <w:p>
            <w:pPr>
              <w:spacing w:after="0"/>
            </w:pPr>
            <w:r>
              <w:rPr>
                <w:rFonts w:ascii="Aptos" w:hAnsi="Aptos"/>
                <w:b/>
                <w:color w:val="FFFFFF"/>
                <w:sz w:val="18"/>
              </w:rPr>
              <w:t>Principle</w:t>
            </w:r>
          </w:p>
        </w:tc>
        <w:tc>
          <w:tcPr>
            <w:tcW w:type="dxa" w:w="7272"/>
            <w:shd w:fill="102A43"/>
            <w:tcMar>
              <w:top w:w="80" w:type="dxa"/>
              <w:start w:w="120" w:type="dxa"/>
              <w:bottom w:w="80" w:type="dxa"/>
              <w:end w:w="120" w:type="dxa"/>
            </w:tcMar>
          </w:tcPr>
          <w:p>
            <w:pPr>
              <w:spacing w:after="0"/>
            </w:pPr>
            <w:r>
              <w:rPr>
                <w:rFonts w:ascii="Aptos" w:hAnsi="Aptos"/>
                <w:b/>
                <w:color w:val="FFFFFF"/>
                <w:sz w:val="18"/>
              </w:rPr>
              <w:t>Required behaviour</w:t>
            </w:r>
          </w:p>
        </w:tc>
      </w:tr>
      <w:tr>
        <w:tc>
          <w:tcPr>
            <w:tcW w:type="dxa" w:w="2088"/>
            <w:tcMar>
              <w:top w:w="80" w:type="dxa"/>
              <w:start w:w="120" w:type="dxa"/>
              <w:bottom w:w="80" w:type="dxa"/>
              <w:end w:w="120" w:type="dxa"/>
            </w:tcMar>
          </w:tcPr>
          <w:p>
            <w:pPr>
              <w:spacing w:after="0"/>
            </w:pPr>
            <w:r>
              <w:rPr>
                <w:rFonts w:ascii="Aptos" w:hAnsi="Aptos"/>
                <w:b w:val="0"/>
                <w:color w:val="172B4D"/>
                <w:sz w:val="18"/>
              </w:rPr>
              <w:t>Purpose before AI</w:t>
            </w:r>
          </w:p>
        </w:tc>
        <w:tc>
          <w:tcPr>
            <w:tcW w:type="dxa" w:w="7272"/>
            <w:tcMar>
              <w:top w:w="80" w:type="dxa"/>
              <w:start w:w="120" w:type="dxa"/>
              <w:bottom w:w="80" w:type="dxa"/>
              <w:end w:w="120" w:type="dxa"/>
            </w:tcMar>
          </w:tcPr>
          <w:p>
            <w:pPr>
              <w:spacing w:after="0"/>
            </w:pPr>
            <w:r>
              <w:rPr>
                <w:rFonts w:ascii="Aptos" w:hAnsi="Aptos"/>
                <w:b w:val="0"/>
                <w:color w:val="172B4D"/>
                <w:sz w:val="18"/>
              </w:rPr>
              <w:t>Use AI only when it improves speed, quality, comprehension, or decision support.</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Human authority</w:t>
            </w:r>
          </w:p>
        </w:tc>
        <w:tc>
          <w:tcPr>
            <w:tcW w:type="dxa" w:w="7272"/>
            <w:tcMar>
              <w:top w:w="80" w:type="dxa"/>
              <w:start w:w="120" w:type="dxa"/>
              <w:bottom w:w="80" w:type="dxa"/>
              <w:end w:w="120" w:type="dxa"/>
            </w:tcMar>
            <w:shd w:fill="F4F7FB"/>
          </w:tcPr>
          <w:p>
            <w:pPr>
              <w:spacing w:after="0"/>
            </w:pPr>
            <w:r>
              <w:rPr>
                <w:rFonts w:ascii="Aptos" w:hAnsi="Aptos"/>
                <w:b w:val="0"/>
                <w:color w:val="172B4D"/>
                <w:sz w:val="18"/>
              </w:rPr>
              <w:t>Users review consequential suggestions and retain approval rights.</w:t>
            </w:r>
          </w:p>
        </w:tc>
      </w:tr>
      <w:tr>
        <w:tc>
          <w:tcPr>
            <w:tcW w:type="dxa" w:w="2088"/>
            <w:tcMar>
              <w:top w:w="80" w:type="dxa"/>
              <w:start w:w="120" w:type="dxa"/>
              <w:bottom w:w="80" w:type="dxa"/>
              <w:end w:w="120" w:type="dxa"/>
            </w:tcMar>
          </w:tcPr>
          <w:p>
            <w:pPr>
              <w:spacing w:after="0"/>
            </w:pPr>
            <w:r>
              <w:rPr>
                <w:rFonts w:ascii="Aptos" w:hAnsi="Aptos"/>
                <w:b w:val="0"/>
                <w:color w:val="172B4D"/>
                <w:sz w:val="18"/>
              </w:rPr>
              <w:t>Data restraint</w:t>
            </w:r>
          </w:p>
        </w:tc>
        <w:tc>
          <w:tcPr>
            <w:tcW w:type="dxa" w:w="7272"/>
            <w:tcMar>
              <w:top w:w="80" w:type="dxa"/>
              <w:start w:w="120" w:type="dxa"/>
              <w:bottom w:w="80" w:type="dxa"/>
              <w:end w:w="120" w:type="dxa"/>
            </w:tcMar>
          </w:tcPr>
          <w:p>
            <w:pPr>
              <w:spacing w:after="0"/>
            </w:pPr>
            <w:r>
              <w:rPr>
                <w:rFonts w:ascii="Aptos" w:hAnsi="Aptos"/>
                <w:b w:val="0"/>
                <w:color w:val="172B4D"/>
                <w:sz w:val="18"/>
              </w:rPr>
              <w:t>Minimize data shared with models; never treat customer content as public training data.</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Transparency</w:t>
            </w:r>
          </w:p>
        </w:tc>
        <w:tc>
          <w:tcPr>
            <w:tcW w:type="dxa" w:w="7272"/>
            <w:tcMar>
              <w:top w:w="80" w:type="dxa"/>
              <w:start w:w="120" w:type="dxa"/>
              <w:bottom w:w="80" w:type="dxa"/>
              <w:end w:w="120" w:type="dxa"/>
            </w:tcMar>
            <w:shd w:fill="F4F7FB"/>
          </w:tcPr>
          <w:p>
            <w:pPr>
              <w:spacing w:after="0"/>
            </w:pPr>
            <w:r>
              <w:rPr>
                <w:rFonts w:ascii="Aptos" w:hAnsi="Aptos"/>
                <w:b w:val="0"/>
                <w:color w:val="172B4D"/>
                <w:sz w:val="18"/>
              </w:rPr>
              <w:t>Identify AI-generated output, source context, and uncertainty where relevant.</w:t>
            </w:r>
          </w:p>
        </w:tc>
      </w:tr>
      <w:tr>
        <w:tc>
          <w:tcPr>
            <w:tcW w:type="dxa" w:w="2088"/>
            <w:tcMar>
              <w:top w:w="80" w:type="dxa"/>
              <w:start w:w="120" w:type="dxa"/>
              <w:bottom w:w="80" w:type="dxa"/>
              <w:end w:w="120" w:type="dxa"/>
            </w:tcMar>
          </w:tcPr>
          <w:p>
            <w:pPr>
              <w:spacing w:after="0"/>
            </w:pPr>
            <w:r>
              <w:rPr>
                <w:rFonts w:ascii="Aptos" w:hAnsi="Aptos"/>
                <w:b w:val="0"/>
                <w:color w:val="172B4D"/>
                <w:sz w:val="18"/>
              </w:rPr>
              <w:t>Safety</w:t>
            </w:r>
          </w:p>
        </w:tc>
        <w:tc>
          <w:tcPr>
            <w:tcW w:type="dxa" w:w="7272"/>
            <w:tcMar>
              <w:top w:w="80" w:type="dxa"/>
              <w:start w:w="120" w:type="dxa"/>
              <w:bottom w:w="80" w:type="dxa"/>
              <w:end w:w="120" w:type="dxa"/>
            </w:tcMar>
          </w:tcPr>
          <w:p>
            <w:pPr>
              <w:spacing w:after="0"/>
            </w:pPr>
            <w:r>
              <w:rPr>
                <w:rFonts w:ascii="Aptos" w:hAnsi="Aptos"/>
                <w:b w:val="0"/>
                <w:color w:val="172B4D"/>
                <w:sz w:val="18"/>
              </w:rPr>
              <w:t>Log model actions, protect prompts and secrets, and test abuse and data-leak scenarios.</w:t>
            </w:r>
          </w:p>
        </w:tc>
      </w:tr>
    </w:tbl>
    <w:p/>
    <w:p>
      <w:pPr>
        <w:pStyle w:val="Heading1"/>
      </w:pPr>
      <w:r>
        <w:t>5. Governance and release discipline</w:t>
      </w:r>
    </w:p>
    <w:p>
      <w:pPr>
        <w:pStyle w:val="ListBullet"/>
      </w:pPr>
      <w:r>
        <w:t>Never store secrets or environment files in Git.</w:t>
      </w:r>
    </w:p>
    <w:p>
      <w:pPr>
        <w:pStyle w:val="ListBullet"/>
      </w:pPr>
      <w:r>
        <w:t>Never rewrite Git history.</w:t>
      </w:r>
    </w:p>
    <w:p>
      <w:pPr>
        <w:pStyle w:val="ListBullet"/>
      </w:pPr>
      <w:r>
        <w:t>Request explicit approval immediately before each push to GitHub.</w:t>
      </w:r>
    </w:p>
    <w:p>
      <w:pPr>
        <w:pStyle w:val="ListBullet"/>
      </w:pPr>
      <w:r>
        <w:t>Request separate explicit approval immediately before each deployment to a server.</w:t>
      </w:r>
    </w:p>
    <w:p>
      <w:pPr>
        <w:pStyle w:val="ListBullet"/>
      </w:pPr>
      <w:r>
        <w:t>Use staged releases, rollback procedures, database backups, and auditable change records.</w:t>
      </w:r>
    </w:p>
    <w:p>
      <w:r>
        <w:t>Planning-document rule: 003.BQLabs-AI-generated.docx and 004.QuantumOPS.docx are synchronized living references. Update both whenever a product, technical, security, scope, or delivery-plan decision changes, even when one document only needs a brief cross-reference or governance update.</w:t>
      </w:r>
    </w:p>
    <w:p>
      <w:r>
        <w:t>Client-transparency principle: Quantum OPS supports project-level client visibility policies. BQ Labs may provide a summarized view or a fuller operational view according to the engagement, while mandatory privacy and security exclusions always apply.</w:t>
      </w:r>
    </w:p>
    <w:p>
      <w:r>
        <w:t>Team-governance principle: the user who creates a team becomes its Team Owner. Operational Team Lead authority is assigned separately and can be transferred when responsibilities change, preventing access from following a former lead into unrelated projects.</w:t>
      </w:r>
    </w:p>
    <w:p>
      <w:r>
        <w:t>Organization-governance principle: the first verified user who creates an organization becomes its Organization Owner and initial Organization Administrator. Organization-level authority can be delegated and recovered without allowing a team role to escalate itself.</w:t>
      </w:r>
    </w:p>
    <w:p>
      <w:r>
        <w:t>Initial platform-control principle: any verified team member may request an organization, but BQ Labs must approve the request before tenant resources are provisioned. A dedicated BQ Labs platform-administration console controls approvals, limits, security, and operational governance.</w:t>
      </w:r>
    </w:p>
    <w:p>
      <w:r>
        <w:t>Capacity-governance principle: each approved organization starts with bounded, configurable quotas for users, teams, active projects, tasks, and attachments. BQ Labs can raise limits deliberately as usage and infrastructure capacity justify it.</w:t>
      </w:r>
    </w:p>
    <w:p>
      <w:r>
        <w:t>Commercial-access principle: Phase 2 remains subscription-ready but does not collect payments. BQ Labs administrators manually control plan, expiry, and access state. Payment gateway, invoicing, refunds, taxation, and self-service renewal are deferred to the following phase.</w:t>
      </w:r>
    </w:p>
    <w:p>
      <w:r>
        <w:t>Workforce-operations principle: leave and earned comp-off are included in the Quantum OPS Phase 2 MVP because availability directly affects assignment, forecasts, workload, and delivery risk.</w:t>
      </w:r>
    </w:p>
    <w:p>
      <w:r>
        <w:t>Leave-approval principle: leave uses Team Lead approval followed by optional Client approval configured per project. Client participation is limited to project scheduling impact and never reveals private leave reasons or comp-off evidence.</w:t>
      </w:r>
    </w:p>
    <w:p>
      <w:r>
        <w:t>Leave-date principle: future and same-day leave follows the configured approval chain, and every affected project that requires client approval must approve. Backdated leave is system-approved automatically after validation and is clearly identified in the audit trail.</w:t>
      </w:r>
    </w:p>
    <w:p>
      <w:r>
        <w:t>Leave-revision principle: a client rejection returns a future/same-day leave request as Changes Required rather than terminally rejecting it. Revised dates or handover details create a new auditable revision and restart the approval chain.</w:t>
      </w:r>
    </w:p>
    <w:p>
      <w:r>
        <w:t>Leave-response principle: unanswered future/same-day approval steps remain Pending. The system sends reminders and escalation notifications but never converts silence into approval; only validated backdated leave is auto-approved.</w:t>
      </w:r>
    </w:p>
    <w:p>
      <w:r>
        <w:t>Leave-reminder default: remind the current approver after 24 hours, remind again after 48 hours, and escalate after 72 hours. Organization Administrators may configure these intervals prospectively, with every policy change audited.</w:t>
      </w:r>
    </w:p>
    <w:p>
      <w:r>
        <w:t>Leave-escalation routing: a delayed Team Lead step escalates to the Team Owner. A delayed Client step escalates to the Team Lead, Team Owner, and configured secondary client approver, with role-appropriate data minimization.</w:t>
      </w:r>
    </w:p>
    <w:p>
      <w:r>
        <w:t>Client-approval deadline: authorized client approvers may approve only before the leave begins. If any required client step is still pending at the start instant, the request becomes Unapproved Leave and is never auto-approved by the deadline or escalation process.</w:t>
      </w:r>
    </w:p>
    <w:p>
      <w:r>
        <w:t>Unapproved-leave balance rule: when an uncancelled request becomes Unapproved Leave, the system deducts or utilizes the balance associated with the requested leave type. Cancellation before the start instant prevents deduction; later corrections require an audited administrator adjustment.</w:t>
      </w:r>
    </w:p>
    <w:p>
      <w:r>
        <w:t>Availability-transparency principle: insufficient normal-leave balance never blocks recording an absence. Quantum OPS records the leave and balance shortfall so affected teams and projects can plan; earned comp-off remains unavailable until sufficient balance exists.</w:t>
      </w:r>
    </w:p>
    <w:p>
      <w:r>
        <w:t>Shared-calendar principle: organization members may see a colleague's name, leave dates, duration, and status for planning. Leave reason, balance, medical data, comp-off evidence, and administrative notes remain restricted.</w:t>
      </w:r>
    </w:p>
    <w:p>
      <w:r>
        <w:t>Task-assignment principle: a Team Lead proposes an assignment, but the team member must explicitly act. Assignment is not treated as accepted work until the member accepts or raises a structured reassignment, ETA, or clarification request.</w:t>
      </w:r>
    </w:p>
    <w:p>
      <w:r>
        <w:t>Project-calendar principle: assignment response deadlines use the next working day from the task's project calendar. Workweek, timezone, holidays, exceptional working days, and the project leave register are configurable per project, with controlled Excel import for bulk leave data.</w:t>
      </w:r>
    </w:p>
    <w:p>
      <w:r>
        <w:t>Assignment-overdue principle: when the next-working-day deadline passes without member action, the assignment remains unresolved as Pending Member Action - Overdue and escalates to the Team Lead. Silence never creates acceptance.</w:t>
      </w:r>
    </w:p>
    <w:p>
      <w:r>
        <w:t>Assignment-recovery principle: the Team Lead may withdraw or reassign an overdue proposal without the original member's response. A reason is mandatory, the prior proposal closes explicitly, and all assignment revisions remain auditable.</w:t>
      </w:r>
    </w:p>
    <w:p>
      <w:r>
        <w:t>Client-status principle: until a proposed team member accepts, the client-facing task status is always Not Started. Internal proposal, overdue, assignee, withdrawal, and reassignment details remain hidden even under Full Detail visibility.</w:t>
      </w:r>
    </w:p>
    <w:p>
      <w:r>
        <w:t>Client-assignee principle: after acceptance, Summarized projects show only the responsible team, while Full Detail projects may show the accepted assignee's name. Pre-acceptance identity remains hidden under both profiles.</w:t>
      </w:r>
    </w:p>
    <w:p>
      <w:r>
        <w:t>Task-start principle: member acceptance confirms ownership but does not imply execution. The task remains Not Started until the accepted assignee explicitly selects Start Work, which moves it to In Progress.</w:t>
      </w:r>
    </w:p>
    <w:p>
      <w:r>
        <w:t>Missed-start principle: passing the planned start without Start Work does not mutate task status. The task remains Not Started while a separate start-delay alert notifies the member and Team Lead and is recorded for reporting.</w:t>
      </w:r>
    </w:p>
    <w:p>
      <w:r>
        <w:t>Missed-start reminder principle: while the start-delay alert remains open, notify the member and Team Lead once per project working day. Stop when work starts, planned start changes, assignment changes, or the task is cancelled.</w:t>
      </w:r>
    </w:p>
    <w:p>
      <w:r>
        <w:t>Progress-update principle: once work is In Progress, daily updates are not mandatory. The member may update status or add progress when applicable; the system records real changes without manufacturing compliance activity.</w:t>
      </w:r>
    </w:p>
    <w:p>
      <w:r>
        <w:t>Task-status principle: the assigned team member may update every task status through valid transitions. Completed reviews create separate review records including Reviewed By, timestamp, outcome, and optional notes.</w:t>
      </w:r>
    </w:p>
    <w:p>
      <w:r>
        <w:t>Design-system principle: BQ Labs, Quantum OPS, and future products use one reusable Apple-inspired visual foundation: clarity, generous space, premium typography, restrained motion, rich product storytelling, and accessibility. It must remain distinctly BQ Labs and never copy Apple's assets, marks, or proprietary page compositions.</w:t>
      </w:r>
    </w:p>
    <w:p>
      <w:r>
        <w:t>UAT-authorship principle: a UAT observation may be raised by the task's assigned team member or by a project member explicitly assigned as Tester for that task. A general Team Lead or client role does not grant observation-authoring rights by itself.</w:t>
      </w:r>
    </w:p>
    <w:p>
      <w:r>
        <w:t>Task-review principle: reviewer independence is not mandatory. Any authorized project participant, including the assignee, another member, Team Lead, or client with review permission, may review; the system records identity and role for transparency.</w:t>
      </w:r>
    </w:p>
    <w:p>
      <w:r>
        <w:t>Review-gate principle: review is configurable per task. Tasks marked Review Required cannot enter UAT without a completed review for the current task revision; tasks marked Review Optional may proceed without one.</w:t>
      </w:r>
    </w:p>
    <w:p>
      <w:r>
        <w:t>Task-ownership principle: the user who creates a task becomes its Task Owner. Only that Task Owner may change the task's Review Required setting, unless task ownership itself is formally transferred through an audited workflow.</w:t>
      </w:r>
    </w:p>
    <w:p>
      <w:r>
        <w:t>Team-Lead succession principle: an Organization Administrator marking a Team Lead as resigned must select a replacement. The system atomically transfers lead authority, active task ownership, pending approvals, escalations, and management duties while preserving all historical attribution.</w:t>
      </w:r>
    </w:p>
    <w:p>
      <w:pPr>
        <w:pStyle w:val="Heading1"/>
      </w:pPr>
      <w:r>
        <w:t>6. BQ Labs experience system</w:t>
      </w:r>
    </w:p>
    <w:p>
      <w:r>
        <w:t>Create a shared design system that gives the public BQ Labs site, Quantum OPS, and future products a coherent family resemblance while allowing each product an appropriate operational personality. The inspiration is Apple's emphasis on short benefit-led messages, large visual moments, simple navigation, product-family consistency, strong privacy communication, and fluid cross-device experiences.</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2088"/>
            <w:shd w:fill="102A43"/>
            <w:tcMar>
              <w:top w:w="80" w:type="dxa"/>
              <w:start w:w="120" w:type="dxa"/>
              <w:bottom w:w="80" w:type="dxa"/>
              <w:end w:w="120" w:type="dxa"/>
            </w:tcMar>
          </w:tcPr>
          <w:p>
            <w:pPr>
              <w:spacing w:after="0"/>
            </w:pPr>
            <w:r>
              <w:rPr>
                <w:rFonts w:ascii="Aptos" w:hAnsi="Aptos"/>
                <w:b/>
                <w:color w:val="FFFFFF"/>
                <w:sz w:val="18"/>
              </w:rPr>
              <w:t>Design quality</w:t>
            </w:r>
          </w:p>
        </w:tc>
        <w:tc>
          <w:tcPr>
            <w:tcW w:type="dxa" w:w="7272"/>
            <w:shd w:fill="102A43"/>
            <w:tcMar>
              <w:top w:w="80" w:type="dxa"/>
              <w:start w:w="120" w:type="dxa"/>
              <w:bottom w:w="80" w:type="dxa"/>
              <w:end w:w="120" w:type="dxa"/>
            </w:tcMar>
          </w:tcPr>
          <w:p>
            <w:pPr>
              <w:spacing w:after="0"/>
            </w:pPr>
            <w:r>
              <w:rPr>
                <w:rFonts w:ascii="Aptos" w:hAnsi="Aptos"/>
                <w:b/>
                <w:color w:val="FFFFFF"/>
                <w:sz w:val="18"/>
              </w:rPr>
              <w:t>BQ Labs interpretation</w:t>
            </w:r>
          </w:p>
        </w:tc>
      </w:tr>
      <w:tr>
        <w:tc>
          <w:tcPr>
            <w:tcW w:type="dxa" w:w="2088"/>
            <w:tcMar>
              <w:top w:w="80" w:type="dxa"/>
              <w:start w:w="120" w:type="dxa"/>
              <w:bottom w:w="80" w:type="dxa"/>
              <w:end w:w="120" w:type="dxa"/>
            </w:tcMar>
          </w:tcPr>
          <w:p>
            <w:pPr>
              <w:spacing w:after="0"/>
            </w:pPr>
            <w:r>
              <w:rPr>
                <w:rFonts w:ascii="Aptos" w:hAnsi="Aptos"/>
                <w:b w:val="0"/>
                <w:color w:val="172B4D"/>
                <w:sz w:val="18"/>
              </w:rPr>
              <w:t>Clarity</w:t>
            </w:r>
          </w:p>
        </w:tc>
        <w:tc>
          <w:tcPr>
            <w:tcW w:type="dxa" w:w="7272"/>
            <w:tcMar>
              <w:top w:w="80" w:type="dxa"/>
              <w:start w:w="120" w:type="dxa"/>
              <w:bottom w:w="80" w:type="dxa"/>
              <w:end w:w="120" w:type="dxa"/>
            </w:tcMar>
          </w:tcPr>
          <w:p>
            <w:pPr>
              <w:spacing w:after="0"/>
            </w:pPr>
            <w:r>
              <w:rPr>
                <w:rFonts w:ascii="Aptos" w:hAnsi="Aptos"/>
                <w:b w:val="0"/>
                <w:color w:val="172B4D"/>
                <w:sz w:val="18"/>
              </w:rPr>
              <w:t>One primary message per section; plain language; strong visual and task hierarchy.</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Space</w:t>
            </w:r>
          </w:p>
        </w:tc>
        <w:tc>
          <w:tcPr>
            <w:tcW w:type="dxa" w:w="7272"/>
            <w:tcMar>
              <w:top w:w="80" w:type="dxa"/>
              <w:start w:w="120" w:type="dxa"/>
              <w:bottom w:w="80" w:type="dxa"/>
              <w:end w:w="120" w:type="dxa"/>
            </w:tcMar>
            <w:shd w:fill="F4F7FB"/>
          </w:tcPr>
          <w:p>
            <w:pPr>
              <w:spacing w:after="0"/>
            </w:pPr>
            <w:r>
              <w:rPr>
                <w:rFonts w:ascii="Aptos" w:hAnsi="Aptos"/>
                <w:b w:val="0"/>
                <w:color w:val="172B4D"/>
                <w:sz w:val="18"/>
              </w:rPr>
              <w:t>Generous breathing room on public pages; disciplined density and progressive disclosure inside applications.</w:t>
            </w:r>
          </w:p>
        </w:tc>
      </w:tr>
      <w:tr>
        <w:tc>
          <w:tcPr>
            <w:tcW w:type="dxa" w:w="2088"/>
            <w:tcMar>
              <w:top w:w="80" w:type="dxa"/>
              <w:start w:w="120" w:type="dxa"/>
              <w:bottom w:w="80" w:type="dxa"/>
              <w:end w:w="120" w:type="dxa"/>
            </w:tcMar>
          </w:tcPr>
          <w:p>
            <w:pPr>
              <w:spacing w:after="0"/>
            </w:pPr>
            <w:r>
              <w:rPr>
                <w:rFonts w:ascii="Aptos" w:hAnsi="Aptos"/>
                <w:b w:val="0"/>
                <w:color w:val="172B4D"/>
                <w:sz w:val="18"/>
              </w:rPr>
              <w:t>Typography</w:t>
            </w:r>
          </w:p>
        </w:tc>
        <w:tc>
          <w:tcPr>
            <w:tcW w:type="dxa" w:w="7272"/>
            <w:tcMar>
              <w:top w:w="80" w:type="dxa"/>
              <w:start w:w="120" w:type="dxa"/>
              <w:bottom w:w="80" w:type="dxa"/>
              <w:end w:w="120" w:type="dxa"/>
            </w:tcMar>
          </w:tcPr>
          <w:p>
            <w:pPr>
              <w:spacing w:after="0"/>
            </w:pPr>
            <w:r>
              <w:rPr>
                <w:rFonts w:ascii="Aptos" w:hAnsi="Aptos"/>
                <w:b w:val="0"/>
                <w:color w:val="172B4D"/>
                <w:sz w:val="18"/>
              </w:rPr>
              <w:t>Large editorial display type for storytelling, highly readable interface type for operational work.</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Imagery</w:t>
            </w:r>
          </w:p>
        </w:tc>
        <w:tc>
          <w:tcPr>
            <w:tcW w:type="dxa" w:w="7272"/>
            <w:tcMar>
              <w:top w:w="80" w:type="dxa"/>
              <w:start w:w="120" w:type="dxa"/>
              <w:bottom w:w="80" w:type="dxa"/>
              <w:end w:w="120" w:type="dxa"/>
            </w:tcMar>
            <w:shd w:fill="F4F7FB"/>
          </w:tcPr>
          <w:p>
            <w:pPr>
              <w:spacing w:after="0"/>
            </w:pPr>
            <w:r>
              <w:rPr>
                <w:rFonts w:ascii="Aptos" w:hAnsi="Aptos"/>
                <w:b w:val="0"/>
                <w:color w:val="172B4D"/>
                <w:sz w:val="18"/>
              </w:rPr>
              <w:t>Original BQ Labs product renders, interface compositions, diagrams, and photography; no copied Apple assets.</w:t>
            </w:r>
          </w:p>
        </w:tc>
      </w:tr>
      <w:tr>
        <w:tc>
          <w:tcPr>
            <w:tcW w:type="dxa" w:w="2088"/>
            <w:tcMar>
              <w:top w:w="80" w:type="dxa"/>
              <w:start w:w="120" w:type="dxa"/>
              <w:bottom w:w="80" w:type="dxa"/>
              <w:end w:w="120" w:type="dxa"/>
            </w:tcMar>
          </w:tcPr>
          <w:p>
            <w:pPr>
              <w:spacing w:after="0"/>
            </w:pPr>
            <w:r>
              <w:rPr>
                <w:rFonts w:ascii="Aptos" w:hAnsi="Aptos"/>
                <w:b w:val="0"/>
                <w:color w:val="172B4D"/>
                <w:sz w:val="18"/>
              </w:rPr>
              <w:t>Motion</w:t>
            </w:r>
          </w:p>
        </w:tc>
        <w:tc>
          <w:tcPr>
            <w:tcW w:type="dxa" w:w="7272"/>
            <w:tcMar>
              <w:top w:w="80" w:type="dxa"/>
              <w:start w:w="120" w:type="dxa"/>
              <w:bottom w:w="80" w:type="dxa"/>
              <w:end w:w="120" w:type="dxa"/>
            </w:tcMar>
          </w:tcPr>
          <w:p>
            <w:pPr>
              <w:spacing w:after="0"/>
            </w:pPr>
            <w:r>
              <w:rPr>
                <w:rFonts w:ascii="Aptos" w:hAnsi="Aptos"/>
                <w:b w:val="0"/>
                <w:color w:val="172B4D"/>
                <w:sz w:val="18"/>
              </w:rPr>
              <w:t>Purposeful scroll reveals, state transitions, and feedback using transform/opacity; reduced-motion support is mandatory.</w:t>
            </w:r>
          </w:p>
        </w:tc>
      </w:tr>
      <w:tr>
        <w:tc>
          <w:tcPr>
            <w:tcW w:type="dxa" w:w="2088"/>
            <w:tcMar>
              <w:top w:w="80" w:type="dxa"/>
              <w:start w:w="120" w:type="dxa"/>
              <w:bottom w:w="80" w:type="dxa"/>
              <w:end w:w="120" w:type="dxa"/>
            </w:tcMar>
            <w:shd w:fill="F4F7FB"/>
          </w:tcPr>
          <w:p>
            <w:pPr>
              <w:spacing w:after="0"/>
            </w:pPr>
            <w:r>
              <w:rPr>
                <w:rFonts w:ascii="Aptos" w:hAnsi="Aptos"/>
                <w:b w:val="0"/>
                <w:color w:val="172B4D"/>
                <w:sz w:val="18"/>
              </w:rPr>
              <w:t>Consistency</w:t>
            </w:r>
          </w:p>
        </w:tc>
        <w:tc>
          <w:tcPr>
            <w:tcW w:type="dxa" w:w="7272"/>
            <w:tcMar>
              <w:top w:w="80" w:type="dxa"/>
              <w:start w:w="120" w:type="dxa"/>
              <w:bottom w:w="80" w:type="dxa"/>
              <w:end w:w="120" w:type="dxa"/>
            </w:tcMar>
            <w:shd w:fill="F4F7FB"/>
          </w:tcPr>
          <w:p>
            <w:pPr>
              <w:spacing w:after="0"/>
            </w:pPr>
            <w:r>
              <w:rPr>
                <w:rFonts w:ascii="Aptos" w:hAnsi="Aptos"/>
                <w:b w:val="0"/>
                <w:color w:val="172B4D"/>
                <w:sz w:val="18"/>
              </w:rPr>
              <w:t>Shared tokens, components, icon rules, navigation, accessibility, and interaction conventions across products.</w:t>
            </w:r>
          </w:p>
        </w:tc>
      </w:tr>
      <w:tr>
        <w:tc>
          <w:tcPr>
            <w:tcW w:type="dxa" w:w="2088"/>
            <w:tcMar>
              <w:top w:w="80" w:type="dxa"/>
              <w:start w:w="120" w:type="dxa"/>
              <w:bottom w:w="80" w:type="dxa"/>
              <w:end w:w="120" w:type="dxa"/>
            </w:tcMar>
          </w:tcPr>
          <w:p>
            <w:pPr>
              <w:spacing w:after="0"/>
            </w:pPr>
            <w:r>
              <w:rPr>
                <w:rFonts w:ascii="Aptos" w:hAnsi="Aptos"/>
                <w:b w:val="0"/>
                <w:color w:val="172B4D"/>
                <w:sz w:val="18"/>
              </w:rPr>
              <w:t>Trust</w:t>
            </w:r>
          </w:p>
        </w:tc>
        <w:tc>
          <w:tcPr>
            <w:tcW w:type="dxa" w:w="7272"/>
            <w:tcMar>
              <w:top w:w="80" w:type="dxa"/>
              <w:start w:w="120" w:type="dxa"/>
              <w:bottom w:w="80" w:type="dxa"/>
              <w:end w:w="120" w:type="dxa"/>
            </w:tcMar>
          </w:tcPr>
          <w:p>
            <w:pPr>
              <w:spacing w:after="0"/>
            </w:pPr>
            <w:r>
              <w:rPr>
                <w:rFonts w:ascii="Aptos" w:hAnsi="Aptos"/>
                <w:b w:val="0"/>
                <w:color w:val="172B4D"/>
                <w:sz w:val="18"/>
              </w:rPr>
              <w:t>Privacy, security, system boundaries, and data controls explained as clearly as product benefits.</w:t>
            </w:r>
          </w:p>
        </w:tc>
      </w:tr>
    </w:tbl>
    <w:p/>
    <w:p>
      <w:pPr>
        <w:pStyle w:val="ListBullet"/>
      </w:pPr>
      <w:r>
        <w:t>Public BQ Labs pages may be cinematic and editorial, with large product showcases and restrained calls to action.</w:t>
      </w:r>
    </w:p>
    <w:p>
      <w:pPr>
        <w:pStyle w:val="ListBullet"/>
      </w:pPr>
      <w:r>
        <w:t>Quantum OPS should feel premium but operational: calm surfaces, dense information only where useful, strong tables/lists, responsive dashboards, and minimal decoration around serious work.</w:t>
      </w:r>
    </w:p>
    <w:p>
      <w:pPr>
        <w:pStyle w:val="ListBullet"/>
      </w:pPr>
      <w:r>
        <w:t>Future products inherit core design tokens and shell components, then add a small product accent palette and product-specific components.</w:t>
      </w:r>
    </w:p>
    <w:p>
      <w:pPr>
        <w:pStyle w:val="ListBullet"/>
      </w:pPr>
      <w:r>
        <w:t>Performance is part of the design: responsive images, minimal JavaScript, no blocking animation, stable layout, and meaningful content without motion.</w:t>
      </w:r>
    </w:p>
    <w:p>
      <w:pPr>
        <w:pStyle w:val="ListBullet"/>
      </w:pPr>
      <w:r>
        <w:t>The final design phase will review moodboards, typography, color, page architecture, component density, dashboard patterns, imagery direction, and motion prototypes before implementation.</w:t>
      </w:r>
    </w:p>
    <w:p>
      <w:pPr>
        <w:pStyle w:val="Heading1"/>
      </w:pPr>
      <w:r>
        <w:t>7. Success measures</w:t>
      </w:r>
    </w:p>
    <w:p>
      <w:pPr>
        <w:pStyle w:val="ListBullet"/>
      </w:pPr>
      <w:r>
        <w:t>Visitors understand the company and first product within one minute.</w:t>
      </w:r>
    </w:p>
    <w:p>
      <w:pPr>
        <w:pStyle w:val="ListBullet"/>
      </w:pPr>
      <w:r>
        <w:t>Core public pages meet agreed accessibility and performance budgets.</w:t>
      </w:r>
    </w:p>
    <w:p>
      <w:pPr>
        <w:pStyle w:val="ListBullet"/>
      </w:pPr>
      <w:r>
        <w:t>Product discovery converts to legitimate sign-in, demo, or contact intent.</w:t>
      </w:r>
    </w:p>
    <w:p>
      <w:pPr>
        <w:pStyle w:val="ListBullet"/>
      </w:pPr>
      <w:r>
        <w:t>No operational diagnostics or sensitive metadata are publicly exposed.</w:t>
      </w:r>
    </w:p>
    <w:p>
      <w:pPr>
        <w:pStyle w:val="ListBullet"/>
      </w:pPr>
      <w:r>
        <w:t>Brand and interaction patterns remain coherent as new products are introduced.</w:t>
      </w:r>
    </w:p>
    <w:p>
      <w:pPr>
        <w:pStyle w:val="Heading1"/>
      </w:pPr>
      <w:r>
        <w:t>8. Open decisions</w:t>
      </w:r>
    </w:p>
    <w:p>
      <w:pPr>
        <w:pStyle w:val="ListBullet"/>
      </w:pPr>
      <w:r>
        <w:t>Final public positioning statement and primary audience.</w:t>
      </w:r>
    </w:p>
    <w:p>
      <w:pPr>
        <w:pStyle w:val="ListBullet"/>
      </w:pPr>
      <w:r>
        <w:t>Product naming and subdomain convention.</w:t>
      </w:r>
    </w:p>
    <w:p>
      <w:pPr>
        <w:pStyle w:val="ListBullet"/>
      </w:pPr>
      <w:r>
        <w:t>Support, privacy, and legal publication readiness.</w:t>
      </w:r>
    </w:p>
    <w:p>
      <w:pPr>
        <w:pStyle w:val="ListBullet"/>
      </w:pPr>
      <w:r>
        <w:t>AI governance owner and approved model/provider policy.</w:t>
      </w:r>
    </w:p>
    <w:p>
      <w:pPr>
        <w:pStyle w:val="ListBullet"/>
      </w:pPr>
      <w:r>
        <w:t>Company-registration and claims review before public commercialization.</w:t>
      </w:r>
    </w:p>
    <w:p>
      <w:pPr>
        <w:pStyle w:val="Heading1"/>
      </w:pPr>
      <w:r>
        <w:t>Approved experience direction - 5 September 2026</w:t>
      </w:r>
    </w:p>
    <w:p>
      <w:r>
        <w:t>BQ Labs will use an Apple-inspired but independently designed experience system. The standard is professional restraint: clarity, hierarchy, original BQ Labs assets, excellent responsive behaviour, and motion that supports rather than competes with the user's work.</w:t>
      </w:r>
    </w:p>
    <w:tbl>
      <w:tblPr>
        <w:tblW w:type="auto" w:w="0"/>
        <w:jc w:val="left"/>
        <w:tblLayout w:type="fixed"/>
        <w:tblLook w:firstColumn="1" w:firstRow="1" w:lastColumn="0" w:lastRow="0" w:noHBand="0" w:noVBand="1" w:val="04A0"/>
      </w:tblPr>
      <w:tblGrid>
        <w:gridCol w:w="4680"/>
        <w:gridCol w:w="4680"/>
      </w:tblGrid>
      <w:tr>
        <w:trPr>
          <w:tblHeader w:val="true"/>
        </w:trPr>
        <w:tc>
          <w:tcPr>
            <w:tcW w:type="dxa" w:w="1944"/>
            <w:shd w:fill="102A43"/>
            <w:tcMar>
              <w:top w:w="80" w:type="dxa"/>
              <w:start w:w="120" w:type="dxa"/>
              <w:bottom w:w="80" w:type="dxa"/>
              <w:end w:w="120" w:type="dxa"/>
            </w:tcMar>
          </w:tcPr>
          <w:p>
            <w:pPr>
              <w:spacing w:after="0"/>
            </w:pPr>
            <w:r>
              <w:rPr>
                <w:rFonts w:ascii="Aptos" w:hAnsi="Aptos"/>
                <w:b/>
                <w:color w:val="FFFFFF"/>
                <w:sz w:val="18"/>
              </w:rPr>
              <w:t>Foundation</w:t>
            </w:r>
          </w:p>
        </w:tc>
        <w:tc>
          <w:tcPr>
            <w:tcW w:type="dxa" w:w="7416"/>
            <w:shd w:fill="102A43"/>
            <w:tcMar>
              <w:top w:w="80" w:type="dxa"/>
              <w:start w:w="120" w:type="dxa"/>
              <w:bottom w:w="80" w:type="dxa"/>
              <w:end w:w="120" w:type="dxa"/>
            </w:tcMar>
          </w:tcPr>
          <w:p>
            <w:pPr>
              <w:spacing w:after="0"/>
            </w:pPr>
            <w:r>
              <w:rPr>
                <w:rFonts w:ascii="Aptos" w:hAnsi="Aptos"/>
                <w:b/>
                <w:color w:val="FFFFFF"/>
                <w:sz w:val="18"/>
              </w:rPr>
              <w:t>Approved direction</w:t>
            </w:r>
          </w:p>
        </w:tc>
      </w:tr>
      <w:tr>
        <w:tc>
          <w:tcPr>
            <w:tcW w:type="dxa" w:w="1944"/>
            <w:tcMar>
              <w:top w:w="80" w:type="dxa"/>
              <w:start w:w="120" w:type="dxa"/>
              <w:bottom w:w="80" w:type="dxa"/>
              <w:end w:w="120" w:type="dxa"/>
            </w:tcMar>
          </w:tcPr>
          <w:p>
            <w:pPr>
              <w:spacing w:after="0"/>
            </w:pPr>
            <w:r>
              <w:rPr>
                <w:rFonts w:ascii="Aptos" w:hAnsi="Aptos"/>
                <w:b w:val="0"/>
                <w:color w:val="172B4D"/>
                <w:sz w:val="18"/>
              </w:rPr>
              <w:t>Themes</w:t>
            </w:r>
          </w:p>
        </w:tc>
        <w:tc>
          <w:tcPr>
            <w:tcW w:type="dxa" w:w="7416"/>
            <w:tcMar>
              <w:top w:w="80" w:type="dxa"/>
              <w:start w:w="120" w:type="dxa"/>
              <w:bottom w:w="80" w:type="dxa"/>
              <w:end w:w="120" w:type="dxa"/>
            </w:tcMar>
          </w:tcPr>
          <w:p>
            <w:pPr>
              <w:spacing w:after="0"/>
            </w:pPr>
            <w:r>
              <w:rPr>
                <w:rFonts w:ascii="Aptos" w:hAnsi="Aptos"/>
                <w:b w:val="0"/>
                <w:color w:val="172B4D"/>
                <w:sz w:val="18"/>
              </w:rPr>
              <w:t>Light-dominant public site with selected cinematic dark sections; Quantum OPS light by default with complete dark-theme support.</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Typography</w:t>
            </w:r>
          </w:p>
        </w:tc>
        <w:tc>
          <w:tcPr>
            <w:tcW w:type="dxa" w:w="7416"/>
            <w:tcMar>
              <w:top w:w="80" w:type="dxa"/>
              <w:start w:w="120" w:type="dxa"/>
              <w:bottom w:w="80" w:type="dxa"/>
              <w:end w:w="120" w:type="dxa"/>
            </w:tcMar>
            <w:shd w:fill="F4F7FB"/>
          </w:tcPr>
          <w:p>
            <w:pPr>
              <w:spacing w:after="0"/>
            </w:pPr>
            <w:r>
              <w:rPr>
                <w:rFonts w:ascii="Aptos" w:hAnsi="Aptos"/>
                <w:b w:val="0"/>
                <w:color w:val="172B4D"/>
                <w:sz w:val="18"/>
              </w:rPr>
              <w:t>Self-hosted Manrope for expressive display text and Inter for interfaces, tables, forms, and body copy; system fallbacks.</w:t>
            </w:r>
          </w:p>
        </w:tc>
      </w:tr>
      <w:tr>
        <w:tc>
          <w:tcPr>
            <w:tcW w:type="dxa" w:w="1944"/>
            <w:tcMar>
              <w:top w:w="80" w:type="dxa"/>
              <w:start w:w="120" w:type="dxa"/>
              <w:bottom w:w="80" w:type="dxa"/>
              <w:end w:w="120" w:type="dxa"/>
            </w:tcMar>
          </w:tcPr>
          <w:p>
            <w:pPr>
              <w:spacing w:after="0"/>
            </w:pPr>
            <w:r>
              <w:rPr>
                <w:rFonts w:ascii="Aptos" w:hAnsi="Aptos"/>
                <w:b w:val="0"/>
                <w:color w:val="172B4D"/>
                <w:sz w:val="18"/>
              </w:rPr>
              <w:t>Colour</w:t>
            </w:r>
          </w:p>
        </w:tc>
        <w:tc>
          <w:tcPr>
            <w:tcW w:type="dxa" w:w="7416"/>
            <w:tcMar>
              <w:top w:w="80" w:type="dxa"/>
              <w:start w:w="120" w:type="dxa"/>
              <w:bottom w:w="80" w:type="dxa"/>
              <w:end w:w="120" w:type="dxa"/>
            </w:tcMar>
          </w:tcPr>
          <w:p>
            <w:pPr>
              <w:spacing w:after="0"/>
            </w:pPr>
            <w:r>
              <w:rPr>
                <w:rFonts w:ascii="Aptos" w:hAnsi="Aptos"/>
                <w:b w:val="0"/>
                <w:color w:val="172B4D"/>
                <w:sz w:val="18"/>
              </w:rPr>
              <w:t>Near-black and soft-white neutrals, electric-blue primary accent, restrained cyan-violet gradients, semantic green/amber/red only.</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Surfaces</w:t>
            </w:r>
          </w:p>
        </w:tc>
        <w:tc>
          <w:tcPr>
            <w:tcW w:type="dxa" w:w="7416"/>
            <w:tcMar>
              <w:top w:w="80" w:type="dxa"/>
              <w:start w:w="120" w:type="dxa"/>
              <w:bottom w:w="80" w:type="dxa"/>
              <w:end w:w="120" w:type="dxa"/>
            </w:tcMar>
            <w:shd w:fill="F4F7FB"/>
          </w:tcPr>
          <w:p>
            <w:pPr>
              <w:spacing w:after="0"/>
            </w:pPr>
            <w:r>
              <w:rPr>
                <w:rFonts w:ascii="Aptos" w:hAnsi="Aptos"/>
                <w:b w:val="0"/>
                <w:color w:val="172B4D"/>
                <w:sz w:val="18"/>
              </w:rPr>
              <w:t>12-16px radii, thin neutral borders, subtle shadows, limited translucency, flatter high-density tables and forms.</w:t>
            </w:r>
          </w:p>
        </w:tc>
      </w:tr>
      <w:tr>
        <w:tc>
          <w:tcPr>
            <w:tcW w:type="dxa" w:w="1944"/>
            <w:tcMar>
              <w:top w:w="80" w:type="dxa"/>
              <w:start w:w="120" w:type="dxa"/>
              <w:bottom w:w="80" w:type="dxa"/>
              <w:end w:w="120" w:type="dxa"/>
            </w:tcMar>
          </w:tcPr>
          <w:p>
            <w:pPr>
              <w:spacing w:after="0"/>
            </w:pPr>
            <w:r>
              <w:rPr>
                <w:rFonts w:ascii="Aptos" w:hAnsi="Aptos"/>
                <w:b w:val="0"/>
                <w:color w:val="172B4D"/>
                <w:sz w:val="18"/>
              </w:rPr>
              <w:t>Navigation</w:t>
            </w:r>
          </w:p>
        </w:tc>
        <w:tc>
          <w:tcPr>
            <w:tcW w:type="dxa" w:w="7416"/>
            <w:tcMar>
              <w:top w:w="80" w:type="dxa"/>
              <w:start w:w="120" w:type="dxa"/>
              <w:bottom w:w="80" w:type="dxa"/>
              <w:end w:w="120" w:type="dxa"/>
            </w:tcMar>
          </w:tcPr>
          <w:p>
            <w:pPr>
              <w:spacing w:after="0"/>
            </w:pPr>
            <w:r>
              <w:rPr>
                <w:rFonts w:ascii="Aptos" w:hAnsi="Aptos"/>
                <w:b w:val="0"/>
                <w:color w:val="172B4D"/>
                <w:sz w:val="18"/>
              </w:rPr>
              <w:t>Slim sticky public header; role-aware application sidebar/top bar; collapsible tablet shell; mobile bottom navigation.</w:t>
            </w:r>
          </w:p>
        </w:tc>
      </w:tr>
      <w:tr>
        <w:tc>
          <w:tcPr>
            <w:tcW w:type="dxa" w:w="1944"/>
            <w:tcMar>
              <w:top w:w="80" w:type="dxa"/>
              <w:start w:w="120" w:type="dxa"/>
              <w:bottom w:w="80" w:type="dxa"/>
              <w:end w:w="120" w:type="dxa"/>
            </w:tcMar>
            <w:shd w:fill="F4F7FB"/>
          </w:tcPr>
          <w:p>
            <w:pPr>
              <w:spacing w:after="0"/>
            </w:pPr>
            <w:r>
              <w:rPr>
                <w:rFonts w:ascii="Aptos" w:hAnsi="Aptos"/>
                <w:b w:val="0"/>
                <w:color w:val="172B4D"/>
                <w:sz w:val="18"/>
              </w:rPr>
              <w:t>Dashboards</w:t>
            </w:r>
          </w:p>
        </w:tc>
        <w:tc>
          <w:tcPr>
            <w:tcW w:type="dxa" w:w="7416"/>
            <w:tcMar>
              <w:top w:w="80" w:type="dxa"/>
              <w:start w:w="120" w:type="dxa"/>
              <w:bottom w:w="80" w:type="dxa"/>
              <w:end w:w="120" w:type="dxa"/>
            </w:tcMar>
            <w:shd w:fill="F4F7FB"/>
          </w:tcPr>
          <w:p>
            <w:pPr>
              <w:spacing w:after="0"/>
            </w:pPr>
            <w:r>
              <w:rPr>
                <w:rFonts w:ascii="Aptos" w:hAnsi="Aptos"/>
                <w:b w:val="0"/>
                <w:color w:val="172B4D"/>
                <w:sz w:val="18"/>
              </w:rPr>
              <w:t>Role-based calm command centre: concise summary, urgent actions, few meaningful metrics, operational lists/tables, charts only for useful trends.</w:t>
            </w:r>
          </w:p>
        </w:tc>
      </w:tr>
      <w:tr>
        <w:tc>
          <w:tcPr>
            <w:tcW w:type="dxa" w:w="1944"/>
            <w:tcMar>
              <w:top w:w="80" w:type="dxa"/>
              <w:start w:w="120" w:type="dxa"/>
              <w:bottom w:w="80" w:type="dxa"/>
              <w:end w:w="120" w:type="dxa"/>
            </w:tcMar>
          </w:tcPr>
          <w:p>
            <w:pPr>
              <w:spacing w:after="0"/>
            </w:pPr>
            <w:r>
              <w:rPr>
                <w:rFonts w:ascii="Aptos" w:hAnsi="Aptos"/>
                <w:b w:val="0"/>
                <w:color w:val="172B4D"/>
                <w:sz w:val="18"/>
              </w:rPr>
              <w:t>Motion</w:t>
            </w:r>
          </w:p>
        </w:tc>
        <w:tc>
          <w:tcPr>
            <w:tcW w:type="dxa" w:w="7416"/>
            <w:tcMar>
              <w:top w:w="80" w:type="dxa"/>
              <w:start w:w="120" w:type="dxa"/>
              <w:bottom w:w="80" w:type="dxa"/>
              <w:end w:w="120" w:type="dxa"/>
            </w:tcMar>
          </w:tcPr>
          <w:p>
            <w:pPr>
              <w:spacing w:after="0"/>
            </w:pPr>
            <w:r>
              <w:rPr>
                <w:rFonts w:ascii="Aptos" w:hAnsi="Aptos"/>
                <w:b w:val="0"/>
                <w:color w:val="172B4D"/>
                <w:sz w:val="18"/>
              </w:rPr>
              <w:t>Subtle transitions and feedback, sparing public scroll reveals, no workflow delays, no decorative table/form animation, reduced-motion support.</w:t>
            </w:r>
          </w:p>
        </w:tc>
      </w:tr>
    </w:tbl>
    <w:p/>
    <w:p>
      <w:pPr>
        <w:pStyle w:val="ListBullet"/>
      </w:pPr>
      <w:r>
        <w:t>The shared system applies to BQ Labs, Quantum OPS, and future products through reusable design tokens and accessible components.</w:t>
      </w:r>
    </w:p>
    <w:p>
      <w:pPr>
        <w:pStyle w:val="ListBullet"/>
      </w:pPr>
      <w:r>
        <w:t>Product-specific accents are allowed within controlled accessibility and brand rules.</w:t>
      </w:r>
    </w:p>
    <w:p>
      <w:pPr>
        <w:pStyle w:val="ListBullet"/>
      </w:pPr>
      <w:r>
        <w:t>The user has delegated remaining detailed design choices to the implementation team and will review the functioning application for adjustments.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77A"/>
        <w:sz w:val="16"/>
      </w:rPr>
      <w:t>BQ Labs | Internal planning reference | 30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A"/>
        <w:sz w:val="17"/>
      </w:rPr>
      <w:t>BQ LABS - PRODUCT AND BRAND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2A4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val="0"/>
      <w:i/>
      <w:iCs/>
      <w:color w:val="5B67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