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rFonts w:ascii="Arial" w:cs="Arial" w:eastAsia="Arial" w:hAnsi="Arial"/>
          <w:sz w:val="4"/>
          <w:szCs w:val="4"/>
        </w:rPr>
        <w:t xml:space="preserve"> </w:t>
      </w:r>
    </w:p>
    <w:p>
      <w:pPr>
        <w:shd w:fill="1B3A6B" w:val="clear"/>
        <w:spacing w:after="20" w:before="60"/>
        <w:jc w:val="center"/>
      </w:pPr>
      <w:r>
        <w:rPr>
          <w:rFonts w:ascii="Arial" w:cs="Arial" w:eastAsia="Arial" w:hAnsi="Arial"/>
          <w:b/>
          <w:bCs/>
          <w:color w:val="FFFFFF"/>
          <w:sz w:val="52"/>
          <w:szCs w:val="52"/>
        </w:rPr>
        <w:t xml:space="preserve">Annotation Best Practices Guide</w:t>
      </w:r>
    </w:p>
    <w:p>
      <w:pPr>
        <w:shd w:fill="1B3A6B" w:val="clear"/>
        <w:spacing w:after="60" w:before="0"/>
        <w:jc w:val="center"/>
      </w:pPr>
      <w:r>
        <w:rPr>
          <w:rFonts w:ascii="Arial" w:cs="Arial" w:eastAsia="Arial" w:hAnsi="Arial"/>
          <w:i/>
          <w:iCs/>
          <w:color w:val="BFD7FF"/>
          <w:sz w:val="24"/>
          <w:szCs w:val="24"/>
        </w:rPr>
        <w:t xml:space="preserve">Compiled from 6+ Years of Production Annotation Work</w:t>
      </w:r>
    </w:p>
    <w:p>
      <w:pPr>
        <w:shd w:fill="1B3A6B" w:val="clear"/>
        <w:spacing w:after="0" w:before="0"/>
      </w:pPr>
      <w:r>
        <w:rPr>
          <w:rFonts w:ascii="Arial" w:cs="Arial" w:eastAsia="Arial" w:hAnsi="Arial"/>
          <w:sz w:val="4"/>
          <w:szCs w:val="4"/>
        </w:rPr>
        <w:t xml:space="preserve">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Busari Quadri Oyelekan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Document: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DOC-005 / Rev. 1.0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2024</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Portfolio Work Sample — Confidential</w:t>
            </w:r>
          </w:p>
        </w:tc>
      </w:tr>
    </w:tbl>
    <w:p>
      <w:pPr>
        <w:spacing w:after="120" w:before="0"/>
      </w:pPr>
    </w:p>
    <w:p>
      <w:pPr>
        <w:pStyle w:val="Heading1"/>
      </w:pPr>
      <w:r>
        <w:t xml:space="preserve">1. Why This Guide Exists</w:t>
      </w:r>
    </w:p>
    <w:p>
      <w:pPr>
        <w:spacing w:after="60" w:before="40"/>
        <w:jc w:val="left"/>
      </w:pPr>
      <w:r>
        <w:rPr>
          <w:rFonts w:ascii="Arial" w:cs="Arial" w:eastAsia="Arial" w:hAnsi="Arial"/>
          <w:b w:val="false"/>
          <w:bCs w:val="false"/>
          <w:i w:val="false"/>
          <w:iCs w:val="false"/>
          <w:color w:val="0F172A"/>
          <w:sz w:val="20"/>
          <w:szCs w:val="20"/>
        </w:rPr>
        <w:t xml:space="preserve">I wrote the first version of this guide in 2023 after completing QA reviews of 25,000+ annotations from junior team members. The same errors appeared repeatedly, not because the annotators were careless, but because guidelines written by people who already understand the task tend to leave out the things that are obvious to the writer and confusing to the reader.</w:t>
      </w:r>
    </w:p>
    <w:p>
      <w:pPr>
        <w:spacing w:after="60" w:before="40"/>
        <w:jc w:val="left"/>
      </w:pPr>
      <w:r>
        <w:rPr>
          <w:rFonts w:ascii="Arial" w:cs="Arial" w:eastAsia="Arial" w:hAnsi="Arial"/>
          <w:b w:val="false"/>
          <w:bCs w:val="false"/>
          <w:i w:val="false"/>
          <w:iCs w:val="false"/>
          <w:color w:val="0F172A"/>
          <w:sz w:val="20"/>
          <w:szCs w:val="20"/>
        </w:rPr>
        <w:t xml:space="preserve">This guide is written the other way around. It starts from the mistakes I corrected most often and works backwards to explain what the correct approach looks like and, more to the point, why.</w:t>
      </w:r>
    </w:p>
    <w:p>
      <w:pPr>
        <w:spacing w:after="60" w:before="0"/>
      </w:pPr>
    </w:p>
    <w:p>
      <w:pPr>
        <w:pStyle w:val="Heading1"/>
      </w:pPr>
      <w:r>
        <w:t xml:space="preserve">2. Before You Start Annotating</w:t>
      </w:r>
    </w:p>
    <w:p>
      <w:pPr>
        <w:spacing w:after="60" w:before="0"/>
      </w:pPr>
    </w:p>
    <w:p>
      <w:pPr>
        <w:pStyle w:val="Heading2"/>
      </w:pPr>
      <w:r>
        <w:t xml:space="preserve">2.1 Read the entire guideline before labelling a single item</w:t>
      </w:r>
    </w:p>
    <w:p>
      <w:pPr>
        <w:spacing w:after="60" w:before="40"/>
        <w:jc w:val="left"/>
      </w:pPr>
      <w:r>
        <w:rPr>
          <w:rFonts w:ascii="Arial" w:cs="Arial" w:eastAsia="Arial" w:hAnsi="Arial"/>
          <w:b w:val="false"/>
          <w:bCs w:val="false"/>
          <w:i w:val="false"/>
          <w:iCs w:val="false"/>
          <w:color w:val="0F172A"/>
          <w:sz w:val="20"/>
          <w:szCs w:val="20"/>
        </w:rPr>
        <w:t xml:space="preserve">The most common error pattern I see in new annotators is beginning work before reading to the end of the annotation guide. Guidelines almost always have special cases and overrides that appear later in the document. If you have not read to the end, you may correctly apply the general rule to an item that the guide actually classifies differently.</w:t>
      </w:r>
    </w:p>
    <w:p>
      <w:pPr>
        <w:spacing w:after="60" w:before="40"/>
        <w:jc w:val="left"/>
      </w:pPr>
      <w:r>
        <w:rPr>
          <w:rFonts w:ascii="Arial" w:cs="Arial" w:eastAsia="Arial" w:hAnsi="Arial"/>
          <w:b w:val="false"/>
          <w:bCs w:val="false"/>
          <w:i w:val="false"/>
          <w:iCs w:val="false"/>
          <w:color w:val="0F172A"/>
          <w:sz w:val="20"/>
          <w:szCs w:val="20"/>
        </w:rPr>
        <w:t xml:space="preserve">In practice: read the full guide, then annotate five items as slowly as you like, checking back against the guide for each one. Only after those five items should you increase your pace.</w:t>
      </w:r>
    </w:p>
    <w:p>
      <w:pPr>
        <w:spacing w:after="60" w:before="0"/>
      </w:pPr>
    </w:p>
    <w:p>
      <w:pPr>
        <w:pStyle w:val="Heading2"/>
      </w:pPr>
      <w:r>
        <w:t xml:space="preserve">2.2 Know your edge case policy before you encounter one</w:t>
      </w:r>
    </w:p>
    <w:p>
      <w:pPr>
        <w:spacing w:after="60" w:before="40"/>
        <w:jc w:val="left"/>
      </w:pPr>
      <w:r>
        <w:rPr>
          <w:rFonts w:ascii="Arial" w:cs="Arial" w:eastAsia="Arial" w:hAnsi="Arial"/>
          <w:b w:val="false"/>
          <w:bCs w:val="false"/>
          <w:i w:val="false"/>
          <w:iCs w:val="false"/>
          <w:color w:val="0F172A"/>
          <w:sz w:val="20"/>
          <w:szCs w:val="20"/>
        </w:rPr>
        <w:t xml:space="preserve">Every annotation project has a policy for handling ambiguous items: items that do not clearly fit any category. The policy might be: skip and flag, apply the closest category, or apply a special 'uncertain' label. Knowing this policy before you start means you spend zero time deliberating when you hit an edge case. You apply the policy and move on.</w:t>
      </w:r>
    </w:p>
    <w:p>
      <w:pPr>
        <w:spacing w:after="60" w:before="40"/>
        <w:jc w:val="left"/>
      </w:pPr>
      <w:r>
        <w:rPr>
          <w:rFonts w:ascii="Arial" w:cs="Arial" w:eastAsia="Arial" w:hAnsi="Arial"/>
          <w:b w:val="false"/>
          <w:bCs w:val="false"/>
          <w:i w:val="false"/>
          <w:iCs w:val="false"/>
          <w:color w:val="0F172A"/>
          <w:sz w:val="20"/>
          <w:szCs w:val="20"/>
        </w:rPr>
        <w:t xml:space="preserve">If the guide does not state an edge case policy, ask before you start. Improvising under uncertainty produces inconsistent labels that damage model training quality.</w:t>
      </w:r>
    </w:p>
    <w:p>
      <w:pPr>
        <w:spacing w:after="60" w:before="0"/>
      </w:pPr>
    </w:p>
    <w:p>
      <w:pPr>
        <w:pStyle w:val="Heading2"/>
      </w:pPr>
      <w:r>
        <w:t xml:space="preserve">2.3 Calibrate against the examples before your first real batch</w:t>
      </w:r>
    </w:p>
    <w:p>
      <w:pPr>
        <w:spacing w:after="60" w:before="40"/>
        <w:jc w:val="left"/>
      </w:pPr>
      <w:r>
        <w:rPr>
          <w:rFonts w:ascii="Arial" w:cs="Arial" w:eastAsia="Arial" w:hAnsi="Arial"/>
          <w:b w:val="false"/>
          <w:bCs w:val="false"/>
          <w:i w:val="false"/>
          <w:iCs w:val="false"/>
          <w:color w:val="0F172A"/>
          <w:sz w:val="20"/>
          <w:szCs w:val="20"/>
        </w:rPr>
        <w:t xml:space="preserve">Most annotation projects include a calibration set, which is a set of pre-labelled items you annotate and then compare against the gold standard. If your project includes one, treat it seriously. A calibration set is not a test to pass; it is a tool for identifying the specific places your intuition diverges from the project's definition.</w:t>
      </w:r>
    </w:p>
    <w:p>
      <w:pPr>
        <w:spacing w:after="60" w:before="0"/>
      </w:pPr>
    </w:p>
    <w:p>
      <w:pPr>
        <w:pStyle w:val="Heading1"/>
      </w:pPr>
      <w:r>
        <w:t xml:space="preserve">3. Image Annotation: Specific Guidance</w:t>
      </w:r>
    </w:p>
    <w:p>
      <w:pPr>
        <w:spacing w:after="60" w:before="0"/>
      </w:pPr>
    </w:p>
    <w:p>
      <w:pPr>
        <w:pStyle w:val="Heading2"/>
      </w:pPr>
      <w:r>
        <w:t xml:space="preserve">3.1 Boundary placement</w:t>
      </w:r>
    </w:p>
    <w:p>
      <w:pPr>
        <w:spacing w:after="60" w:before="40"/>
        <w:jc w:val="left"/>
      </w:pPr>
      <w:r>
        <w:rPr>
          <w:rFonts w:ascii="Arial" w:cs="Arial" w:eastAsia="Arial" w:hAnsi="Arial"/>
          <w:b w:val="false"/>
          <w:bCs w:val="false"/>
          <w:i w:val="false"/>
          <w:iCs w:val="false"/>
          <w:color w:val="0F172A"/>
          <w:sz w:val="20"/>
          <w:szCs w:val="20"/>
        </w:rPr>
        <w:t xml:space="preserve">The most consistent error I correct in image annotations is boundary placement that follows the visible edge of an object as the annotator perceives it, rather than as the task requires. The distinction matters because it changes with the task:</w:t>
      </w:r>
    </w:p>
    <w:p>
      <w:pPr>
        <w:pStyle w:val="ListParagraph"/>
        <w:numPr>
          <w:ilvl w:val="0"/>
          <w:numId w:val="2"/>
        </w:numPr>
        <w:spacing w:after="30" w:before="30"/>
      </w:pPr>
      <w:r>
        <w:rPr>
          <w:rFonts w:ascii="Arial" w:cs="Arial" w:eastAsia="Arial" w:hAnsi="Arial"/>
          <w:color w:val="0F172A"/>
          <w:sz w:val="20"/>
          <w:szCs w:val="20"/>
        </w:rPr>
        <w:t xml:space="preserve">For object detection training: the bounding box or polygon should be the tightest fit around the complete object, including partially occluded portions that would be visible if the occlusion were removed.</w:t>
      </w:r>
    </w:p>
    <w:p>
      <w:pPr>
        <w:pStyle w:val="ListParagraph"/>
        <w:numPr>
          <w:ilvl w:val="0"/>
          <w:numId w:val="2"/>
        </w:numPr>
        <w:spacing w:after="30" w:before="30"/>
      </w:pPr>
      <w:r>
        <w:rPr>
          <w:rFonts w:ascii="Arial" w:cs="Arial" w:eastAsia="Arial" w:hAnsi="Arial"/>
          <w:color w:val="0F172A"/>
          <w:sz w:val="20"/>
          <w:szCs w:val="20"/>
        </w:rPr>
        <w:t xml:space="preserve">For segmentation training: the polygon follows the visible boundary only; occluded portions are not included.</w:t>
      </w:r>
    </w:p>
    <w:p>
      <w:pPr>
        <w:pStyle w:val="ListParagraph"/>
        <w:numPr>
          <w:ilvl w:val="0"/>
          <w:numId w:val="2"/>
        </w:numPr>
        <w:spacing w:after="30" w:before="30"/>
      </w:pPr>
      <w:r>
        <w:rPr>
          <w:rFonts w:ascii="Arial" w:cs="Arial" w:eastAsia="Arial" w:hAnsi="Arial"/>
          <w:color w:val="0F172A"/>
          <w:sz w:val="20"/>
          <w:szCs w:val="20"/>
        </w:rPr>
        <w:t xml:space="preserve">For defect classification: the annotation should cover the defect region only, not the surrounding material, even if they appear similar in texture.</w:t>
      </w:r>
    </w:p>
    <w:p>
      <w:pPr>
        <w:spacing w:after="60" w:before="40"/>
        <w:jc w:val="left"/>
      </w:pPr>
      <w:r>
        <w:rPr>
          <w:rFonts w:ascii="Arial" w:cs="Arial" w:eastAsia="Arial" w:hAnsi="Arial"/>
          <w:b w:val="false"/>
          <w:bCs w:val="false"/>
          <w:i w:val="false"/>
          <w:iCs w:val="false"/>
          <w:color w:val="0F172A"/>
          <w:sz w:val="20"/>
          <w:szCs w:val="20"/>
        </w:rPr>
        <w:t xml:space="preserve">The guide will specify which approach applies. If it does not, this is the question to ask before annotating.</w:t>
      </w:r>
    </w:p>
    <w:p>
      <w:pPr>
        <w:spacing w:after="60" w:before="0"/>
      </w:pPr>
    </w:p>
    <w:p>
      <w:pPr>
        <w:pStyle w:val="Heading2"/>
      </w:pPr>
      <w:r>
        <w:t xml:space="preserve">3.2 When to use polygon vs bounding box</w:t>
      </w:r>
    </w:p>
    <w:p>
      <w:pPr>
        <w:spacing w:after="60" w:before="40"/>
        <w:jc w:val="left"/>
      </w:pPr>
      <w:r>
        <w:rPr>
          <w:rFonts w:ascii="Arial" w:cs="Arial" w:eastAsia="Arial" w:hAnsi="Arial"/>
          <w:b w:val="false"/>
          <w:bCs w:val="false"/>
          <w:i w:val="false"/>
          <w:iCs w:val="false"/>
          <w:color w:val="0F172A"/>
          <w:sz w:val="20"/>
          <w:szCs w:val="20"/>
        </w:rPr>
        <w:t xml:space="preserve">Use a bounding box when the object is roughly rectangular and the area outside the box corners but inside the box adds no misleading training signal. Use a polygon when the object has irregular edges or significant concavities, and the difference between the polygon and the bounding box represents more than approximately 15% of the object area.</w:t>
      </w:r>
    </w:p>
    <w:p>
      <w:pPr>
        <w:spacing w:after="60" w:before="40"/>
        <w:jc w:val="left"/>
      </w:pPr>
      <w:r>
        <w:rPr>
          <w:rFonts w:ascii="Arial" w:cs="Arial" w:eastAsia="Arial" w:hAnsi="Arial"/>
          <w:b w:val="false"/>
          <w:bCs w:val="false"/>
          <w:i w:val="false"/>
          <w:iCs w:val="false"/>
          <w:color w:val="0F172A"/>
          <w:sz w:val="20"/>
          <w:szCs w:val="20"/>
        </w:rPr>
        <w:t xml:space="preserve">In practice, I annotated 80,000+ images in industrial and scientific contexts where most objects are non-rectangular. Defaulting to polygons in those contexts improved model precision in the downstream evaluation compared to bounding box baselines.</w:t>
      </w:r>
    </w:p>
    <w:p>
      <w:pPr>
        <w:spacing w:after="60" w:before="0"/>
      </w:pPr>
    </w:p>
    <w:p>
      <w:pPr>
        <w:pStyle w:val="Heading2"/>
      </w:pPr>
      <w:r>
        <w:t xml:space="preserve">3.3 Handling partial visibility</w:t>
      </w:r>
    </w:p>
    <w:p>
      <w:pPr>
        <w:spacing w:after="60" w:before="40"/>
        <w:jc w:val="left"/>
      </w:pPr>
      <w:r>
        <w:rPr>
          <w:rFonts w:ascii="Arial" w:cs="Arial" w:eastAsia="Arial" w:hAnsi="Arial"/>
          <w:b w:val="false"/>
          <w:bCs w:val="false"/>
          <w:i w:val="false"/>
          <w:iCs w:val="false"/>
          <w:color w:val="0F172A"/>
          <w:sz w:val="20"/>
          <w:szCs w:val="20"/>
        </w:rPr>
        <w:t xml:space="preserve">If an object is partially outside the image frame, annotate only the visible portion. Do not extrapolate outside the frame boundary. Record in the metadata that the annotation is truncated.</w:t>
      </w:r>
    </w:p>
    <w:p>
      <w:pPr>
        <w:spacing w:after="60" w:before="40"/>
        <w:jc w:val="left"/>
      </w:pPr>
      <w:r>
        <w:rPr>
          <w:rFonts w:ascii="Arial" w:cs="Arial" w:eastAsia="Arial" w:hAnsi="Arial"/>
          <w:b w:val="false"/>
          <w:bCs w:val="false"/>
          <w:i w:val="false"/>
          <w:iCs w:val="false"/>
          <w:color w:val="0F172A"/>
          <w:sz w:val="20"/>
          <w:szCs w:val="20"/>
        </w:rPr>
        <w:t xml:space="preserve">If an object is partially occluded by another object within the frame: follow your task-specific policy (see 3.1). If uncertain, the safe choice is to annotate the visible portion and add an occlusion flag rather than either skipping the item or guessing the full extent.</w:t>
      </w:r>
    </w:p>
    <w:p>
      <w:pPr>
        <w:spacing w:after="60" w:before="0"/>
      </w:pPr>
    </w:p>
    <w:p>
      <w:pPr>
        <w:pStyle w:val="Heading1"/>
      </w:pPr>
      <w:r>
        <w:t xml:space="preserve">4. Text and NER Annotation: Specific Guidance</w:t>
      </w:r>
    </w:p>
    <w:p>
      <w:pPr>
        <w:spacing w:after="60" w:before="0"/>
      </w:pPr>
    </w:p>
    <w:p>
      <w:pPr>
        <w:pStyle w:val="Heading2"/>
      </w:pPr>
      <w:r>
        <w:t xml:space="preserve">4.1 Span boundary precision</w:t>
      </w:r>
    </w:p>
    <w:p>
      <w:pPr>
        <w:spacing w:after="60" w:before="40"/>
        <w:jc w:val="left"/>
      </w:pPr>
      <w:r>
        <w:rPr>
          <w:rFonts w:ascii="Arial" w:cs="Arial" w:eastAsia="Arial" w:hAnsi="Arial"/>
          <w:b w:val="false"/>
          <w:bCs w:val="false"/>
          <w:i w:val="false"/>
          <w:iCs w:val="false"/>
          <w:color w:val="0F172A"/>
          <w:sz w:val="20"/>
          <w:szCs w:val="20"/>
        </w:rPr>
        <w:t xml:space="preserve">Span boundaries are a consistent source of inter-annotator disagreement in NER tasks. The general principle is to include exactly the words that carry the entity meaning, no more and no less.</w:t>
      </w:r>
    </w:p>
    <w:p>
      <w:pPr>
        <w:pStyle w:val="ListParagraph"/>
        <w:numPr>
          <w:ilvl w:val="0"/>
          <w:numId w:val="2"/>
        </w:numPr>
        <w:spacing w:after="30" w:before="30"/>
      </w:pPr>
      <w:r>
        <w:rPr>
          <w:rFonts w:ascii="Arial" w:cs="Arial" w:eastAsia="Arial" w:hAnsi="Arial"/>
          <w:color w:val="0F172A"/>
          <w:sz w:val="20"/>
          <w:szCs w:val="20"/>
        </w:rPr>
        <w:t xml:space="preserve">Do not include leading articles ('the', 'a') in entity spans unless they are part of a proper name (e.g., 'The Coca-Cola Company').</w:t>
      </w:r>
    </w:p>
    <w:p>
      <w:pPr>
        <w:pStyle w:val="ListParagraph"/>
        <w:numPr>
          <w:ilvl w:val="0"/>
          <w:numId w:val="2"/>
        </w:numPr>
        <w:spacing w:after="30" w:before="30"/>
      </w:pPr>
      <w:r>
        <w:rPr>
          <w:rFonts w:ascii="Arial" w:cs="Arial" w:eastAsia="Arial" w:hAnsi="Arial"/>
          <w:color w:val="0F172A"/>
          <w:sz w:val="20"/>
          <w:szCs w:val="20"/>
        </w:rPr>
        <w:t xml:space="preserve">Do not include trailing punctuation in the span.</w:t>
      </w:r>
    </w:p>
    <w:p>
      <w:pPr>
        <w:pStyle w:val="ListParagraph"/>
        <w:numPr>
          <w:ilvl w:val="0"/>
          <w:numId w:val="2"/>
        </w:numPr>
        <w:spacing w:after="30" w:before="30"/>
      </w:pPr>
      <w:r>
        <w:rPr>
          <w:rFonts w:ascii="Arial" w:cs="Arial" w:eastAsia="Arial" w:hAnsi="Arial"/>
          <w:color w:val="0F172A"/>
          <w:sz w:val="20"/>
          <w:szCs w:val="20"/>
        </w:rPr>
        <w:t xml:space="preserve">Do include possessive markers if removing them would change the identity of the entity (e.g., 'the Company's' when the entity is 'the Company'; exclude the possessive 's).</w:t>
      </w:r>
    </w:p>
    <w:p>
      <w:pPr>
        <w:pStyle w:val="ListParagraph"/>
        <w:numPr>
          <w:ilvl w:val="0"/>
          <w:numId w:val="2"/>
        </w:numPr>
        <w:spacing w:after="30" w:before="30"/>
      </w:pPr>
      <w:r>
        <w:rPr>
          <w:rFonts w:ascii="Arial" w:cs="Arial" w:eastAsia="Arial" w:hAnsi="Arial"/>
          <w:color w:val="0F172A"/>
          <w:sz w:val="20"/>
          <w:szCs w:val="20"/>
        </w:rPr>
        <w:t xml:space="preserve">For date entities, include qualifiers that are part of the temporal expression: 'as of 31 March 2023' is a single span, not two.</w:t>
      </w:r>
    </w:p>
    <w:p>
      <w:pPr>
        <w:spacing w:after="60" w:before="0"/>
      </w:pPr>
    </w:p>
    <w:p>
      <w:pPr>
        <w:pStyle w:val="Heading2"/>
      </w:pPr>
      <w:r>
        <w:t xml:space="preserve">4.2 Nested entities</w:t>
      </w:r>
    </w:p>
    <w:p>
      <w:pPr>
        <w:spacing w:after="60" w:before="40"/>
        <w:jc w:val="left"/>
      </w:pPr>
      <w:r>
        <w:rPr>
          <w:rFonts w:ascii="Arial" w:cs="Arial" w:eastAsia="Arial" w:hAnsi="Arial"/>
          <w:b w:val="false"/>
          <w:bCs w:val="false"/>
          <w:i w:val="false"/>
          <w:iCs w:val="false"/>
          <w:color w:val="0F172A"/>
          <w:sz w:val="20"/>
          <w:szCs w:val="20"/>
        </w:rPr>
        <w:t xml:space="preserve">Many NER tasks disallow nested annotations. In tasks that do allow them, the rule is: annotate at the most specific level first, then the broader level. Do not annotate the broader level if the entire span is already covered by a more specific entity of the same general type.</w:t>
      </w:r>
    </w:p>
    <w:p>
      <w:pPr>
        <w:spacing w:after="60" w:before="40"/>
        <w:jc w:val="left"/>
      </w:pPr>
      <w:r>
        <w:rPr>
          <w:rFonts w:ascii="Arial" w:cs="Arial" w:eastAsia="Arial" w:hAnsi="Arial"/>
          <w:b w:val="false"/>
          <w:bCs w:val="false"/>
          <w:i w:val="false"/>
          <w:iCs w:val="false"/>
          <w:color w:val="0F172A"/>
          <w:sz w:val="20"/>
          <w:szCs w:val="20"/>
        </w:rPr>
        <w:t xml:space="preserve">Example from the business document taxonomy: 'Patricia O'Connor Properties, San Jose, CA' contains both a legal entity name (PE-01) and a geographic reference (CL-03). Both are valid and should be annotated. The geographic reference is a nested annotation within the full phrase if the full phrase is also a legal entity span.</w:t>
      </w:r>
    </w:p>
    <w:p>
      <w:pPr>
        <w:spacing w:after="60" w:before="0"/>
      </w:pPr>
    </w:p>
    <w:p>
      <w:pPr>
        <w:pStyle w:val="Heading2"/>
      </w:pPr>
      <w:r>
        <w:t xml:space="preserve">4.3 Maintaining consistency within a document</w:t>
      </w:r>
    </w:p>
    <w:p>
      <w:pPr>
        <w:spacing w:after="60" w:before="40"/>
        <w:jc w:val="left"/>
      </w:pPr>
      <w:r>
        <w:rPr>
          <w:rFonts w:ascii="Arial" w:cs="Arial" w:eastAsia="Arial" w:hAnsi="Arial"/>
          <w:b w:val="false"/>
          <w:bCs w:val="false"/>
          <w:i w:val="false"/>
          <w:iCs w:val="false"/>
          <w:color w:val="0F172A"/>
          <w:sz w:val="20"/>
          <w:szCs w:val="20"/>
        </w:rPr>
        <w:t xml:space="preserve">Every instance of the same entity within a document should be labelled identically. If 'Chen Wei' is PE-03 in paragraph one, it is PE-03 every time it appears in that document, regardless of whether later appearances have less surrounding context. This is the single most common annotation inconsistency I corrected in NER review batches; annotators would correctly label the first occurrence and then miss or relabel subsequent ones.</w:t>
      </w:r>
    </w:p>
    <w:p>
      <w:pPr>
        <w:spacing w:after="60" w:before="0"/>
      </w:pPr>
    </w:p>
    <w:p>
      <w:pPr>
        <w:pStyle w:val="Heading1"/>
      </w:pPr>
      <w:r>
        <w:t xml:space="preserve">5. Audio Transcription: Specific Guidance</w:t>
      </w:r>
    </w:p>
    <w:p>
      <w:pPr>
        <w:spacing w:after="60" w:before="0"/>
      </w:pPr>
    </w:p>
    <w:p>
      <w:pPr>
        <w:pStyle w:val="Heading2"/>
      </w:pPr>
      <w:r>
        <w:t xml:space="preserve">5.1 Speaker identification</w:t>
      </w:r>
    </w:p>
    <w:p>
      <w:pPr>
        <w:spacing w:after="60" w:before="40"/>
        <w:jc w:val="left"/>
      </w:pPr>
      <w:r>
        <w:rPr>
          <w:rFonts w:ascii="Arial" w:cs="Arial" w:eastAsia="Arial" w:hAnsi="Arial"/>
          <w:b w:val="false"/>
          <w:bCs w:val="false"/>
          <w:i w:val="false"/>
          <w:iCs w:val="false"/>
          <w:color w:val="0F172A"/>
          <w:sz w:val="20"/>
          <w:szCs w:val="20"/>
        </w:rPr>
        <w:t xml:space="preserve">Label each turn with the speaker identifier before transcribing the content. In diarised audio, do not change the speaker label mid-turn unless there is a clearly audible change. If two speakers overlap, transcribe the primary speaker (typically louder or more continuous) and note the overlap in a flag.</w:t>
      </w:r>
    </w:p>
    <w:p>
      <w:pPr>
        <w:spacing w:after="60" w:before="0"/>
      </w:pPr>
    </w:p>
    <w:p>
      <w:pPr>
        <w:pStyle w:val="Heading2"/>
      </w:pPr>
      <w:r>
        <w:t xml:space="preserve">5.2 Non-speech markers</w:t>
      </w:r>
    </w:p>
    <w:p>
      <w:pPr>
        <w:spacing w:after="60" w:before="40"/>
        <w:jc w:val="left"/>
      </w:pPr>
      <w:r>
        <w:rPr>
          <w:rFonts w:ascii="Arial" w:cs="Arial" w:eastAsia="Arial" w:hAnsi="Arial"/>
          <w:b w:val="false"/>
          <w:bCs w:val="false"/>
          <w:i w:val="false"/>
          <w:iCs w:val="false"/>
          <w:color w:val="0F172A"/>
          <w:sz w:val="20"/>
          <w:szCs w:val="20"/>
        </w:rPr>
        <w:t xml:space="preserve">Different projects handle non-speech markers differently. The general conventions I have worked with:</w:t>
      </w:r>
    </w:p>
    <w:p>
      <w:pPr>
        <w:pStyle w:val="ListParagraph"/>
        <w:numPr>
          <w:ilvl w:val="0"/>
          <w:numId w:val="2"/>
        </w:numPr>
        <w:spacing w:after="30" w:before="30"/>
      </w:pPr>
      <w:r>
        <w:rPr>
          <w:rFonts w:ascii="Arial" w:cs="Arial" w:eastAsia="Arial" w:hAnsi="Arial"/>
          <w:color w:val="0F172A"/>
          <w:sz w:val="20"/>
          <w:szCs w:val="20"/>
        </w:rPr>
        <w:t xml:space="preserve">[inaudible]: used when audio exists but speech cannot be discerned with confidence.</w:t>
      </w:r>
    </w:p>
    <w:p>
      <w:pPr>
        <w:pStyle w:val="ListParagraph"/>
        <w:numPr>
          <w:ilvl w:val="0"/>
          <w:numId w:val="2"/>
        </w:numPr>
        <w:spacing w:after="30" w:before="30"/>
      </w:pPr>
      <w:r>
        <w:rPr>
          <w:rFonts w:ascii="Arial" w:cs="Arial" w:eastAsia="Arial" w:hAnsi="Arial"/>
          <w:color w:val="0F172A"/>
          <w:sz w:val="20"/>
          <w:szCs w:val="20"/>
        </w:rPr>
        <w:t xml:space="preserve">[crosstalk]: two or more speakers talking simultaneously such that neither is clearly primary.</w:t>
      </w:r>
    </w:p>
    <w:p>
      <w:pPr>
        <w:pStyle w:val="ListParagraph"/>
        <w:numPr>
          <w:ilvl w:val="0"/>
          <w:numId w:val="2"/>
        </w:numPr>
        <w:spacing w:after="30" w:before="30"/>
      </w:pPr>
      <w:r>
        <w:rPr>
          <w:rFonts w:ascii="Arial" w:cs="Arial" w:eastAsia="Arial" w:hAnsi="Arial"/>
          <w:color w:val="0F172A"/>
          <w:sz w:val="20"/>
          <w:szCs w:val="20"/>
        </w:rPr>
        <w:t xml:space="preserve">[noise]: non-speech audio that interrupts the transcription (cough, door slam, phone ring).</w:t>
      </w:r>
    </w:p>
    <w:p>
      <w:pPr>
        <w:pStyle w:val="ListParagraph"/>
        <w:numPr>
          <w:ilvl w:val="0"/>
          <w:numId w:val="2"/>
        </w:numPr>
        <w:spacing w:after="30" w:before="30"/>
      </w:pPr>
      <w:r>
        <w:rPr>
          <w:rFonts w:ascii="Arial" w:cs="Arial" w:eastAsia="Arial" w:hAnsi="Arial"/>
          <w:color w:val="0F172A"/>
          <w:sz w:val="20"/>
          <w:szCs w:val="20"/>
        </w:rPr>
        <w:t xml:space="preserve">Filler words ('um', 'uh', 'like'): transcribe them unless the guide specifies otherwise. Removing fillers is an editorial decision, not an accuracy decision, and should not be made without an explicit instruction.</w:t>
      </w:r>
    </w:p>
    <w:p>
      <w:pPr>
        <w:spacing w:after="60" w:before="0"/>
      </w:pPr>
    </w:p>
    <w:p>
      <w:pPr>
        <w:pStyle w:val="Heading2"/>
      </w:pPr>
      <w:r>
        <w:t xml:space="preserve">5.3 Handling accented or dialectal speech</w:t>
      </w:r>
    </w:p>
    <w:p>
      <w:pPr>
        <w:spacing w:after="60" w:before="40"/>
        <w:jc w:val="left"/>
      </w:pPr>
      <w:r>
        <w:rPr>
          <w:rFonts w:ascii="Arial" w:cs="Arial" w:eastAsia="Arial" w:hAnsi="Arial"/>
          <w:b w:val="false"/>
          <w:bCs w:val="false"/>
          <w:i w:val="false"/>
          <w:iCs w:val="false"/>
          <w:color w:val="0F172A"/>
          <w:sz w:val="20"/>
          <w:szCs w:val="20"/>
        </w:rPr>
        <w:t xml:space="preserve">I transcribed 500+ hours of Nigerian English, Yoruba, and Pidgin audio. The consistent lesson across that work is that dialectal features should be transcribed as spoken, not normalised to a standard variety. 'I go do am' in Nigerian Pidgin is the correct transcription of that utterance, not 'I will do it.' Normalisation removes precisely the linguistic features the ASR model needs to learn.</w:t>
      </w:r>
    </w:p>
    <w:p>
      <w:pPr>
        <w:spacing w:after="60" w:before="40"/>
        <w:jc w:val="left"/>
      </w:pPr>
      <w:r>
        <w:rPr>
          <w:rFonts w:ascii="Arial" w:cs="Arial" w:eastAsia="Arial" w:hAnsi="Arial"/>
          <w:b w:val="false"/>
          <w:bCs w:val="false"/>
          <w:i w:val="false"/>
          <w:iCs w:val="false"/>
          <w:color w:val="0F172A"/>
          <w:sz w:val="20"/>
          <w:szCs w:val="20"/>
        </w:rPr>
        <w:t xml:space="preserve">If you are uncertain whether a word is a dialectal feature or an error in your transcription, flag it rather than guessing. Flagged items reviewed by a domain expert produce better training data than confident but incorrect normalisations.</w:t>
      </w:r>
    </w:p>
    <w:p>
      <w:pPr>
        <w:spacing w:after="60" w:before="0"/>
      </w:pPr>
    </w:p>
    <w:p>
      <w:pPr>
        <w:pStyle w:val="Heading1"/>
      </w:pPr>
      <w:r>
        <w:t xml:space="preserve">6. Session Management</w:t>
      </w:r>
    </w:p>
    <w:p>
      <w:pPr>
        <w:spacing w:after="60" w:before="40"/>
        <w:jc w:val="left"/>
      </w:pPr>
      <w:r>
        <w:rPr>
          <w:rFonts w:ascii="Arial" w:cs="Arial" w:eastAsia="Arial" w:hAnsi="Arial"/>
          <w:b w:val="false"/>
          <w:bCs w:val="false"/>
          <w:i w:val="false"/>
          <w:iCs w:val="false"/>
          <w:color w:val="0F172A"/>
          <w:sz w:val="20"/>
          <w:szCs w:val="20"/>
        </w:rPr>
        <w:t xml:space="preserve">Annotation accuracy declines with fatigue. My own error analysis across timestamped batches shows a consistent pattern: error rate is lowest in the second hour of a session (after a warm-up period), rises gradually through hours three and four, and increases more sharply after that.</w:t>
      </w:r>
    </w:p>
    <w:p>
      <w:pPr>
        <w:spacing w:after="60" w:before="40"/>
        <w:jc w:val="left"/>
      </w:pPr>
      <w:r>
        <w:rPr>
          <w:rFonts w:ascii="Arial" w:cs="Arial" w:eastAsia="Arial" w:hAnsi="Arial"/>
          <w:b w:val="false"/>
          <w:bCs w:val="false"/>
          <w:i w:val="false"/>
          <w:iCs w:val="false"/>
          <w:color w:val="0F172A"/>
          <w:sz w:val="20"/>
          <w:szCs w:val="20"/>
        </w:rPr>
        <w:t xml:space="preserve">Practical implications:</w:t>
      </w:r>
    </w:p>
    <w:p>
      <w:pPr>
        <w:pStyle w:val="ListParagraph"/>
        <w:numPr>
          <w:ilvl w:val="0"/>
          <w:numId w:val="2"/>
        </w:numPr>
        <w:spacing w:after="30" w:before="30"/>
      </w:pPr>
      <w:r>
        <w:rPr>
          <w:rFonts w:ascii="Arial" w:cs="Arial" w:eastAsia="Arial" w:hAnsi="Arial"/>
          <w:color w:val="0F172A"/>
          <w:sz w:val="20"/>
          <w:szCs w:val="20"/>
        </w:rPr>
        <w:t xml:space="preserve">Do not begin a batch in the last two hours of your working session if it requires above-average precision, such as complex polygon segmentation, nested NER, or specialised spectral line identification.</w:t>
      </w:r>
    </w:p>
    <w:p>
      <w:pPr>
        <w:pStyle w:val="ListParagraph"/>
        <w:numPr>
          <w:ilvl w:val="0"/>
          <w:numId w:val="2"/>
        </w:numPr>
        <w:spacing w:after="30" w:before="30"/>
      </w:pPr>
      <w:r>
        <w:rPr>
          <w:rFonts w:ascii="Arial" w:cs="Arial" w:eastAsia="Arial" w:hAnsi="Arial"/>
          <w:color w:val="0F172A"/>
          <w:sz w:val="20"/>
          <w:szCs w:val="20"/>
        </w:rPr>
        <w:t xml:space="preserve">Take a five-minute break every 90 minutes. The subjective sense of still being able to work accurately is not a reliable indicator of actual accuracy at the four-hour mark.</w:t>
      </w:r>
    </w:p>
    <w:p>
      <w:pPr>
        <w:pStyle w:val="ListParagraph"/>
        <w:numPr>
          <w:ilvl w:val="0"/>
          <w:numId w:val="2"/>
        </w:numPr>
        <w:spacing w:after="30" w:before="30"/>
      </w:pPr>
      <w:r>
        <w:rPr>
          <w:rFonts w:ascii="Arial" w:cs="Arial" w:eastAsia="Arial" w:hAnsi="Arial"/>
          <w:color w:val="0F172A"/>
          <w:sz w:val="20"/>
          <w:szCs w:val="20"/>
        </w:rPr>
        <w:t xml:space="preserve">Review the last 20 items you completed before ending a session to catch the accuracy decline before it enters the submitted batch.</w:t>
      </w:r>
    </w:p>
    <w:p>
      <w:pPr>
        <w:spacing w:after="60" w:before="0"/>
      </w:pPr>
    </w:p>
    <w:p>
      <w:pPr>
        <w:spacing w:after="60" w:before="40"/>
        <w:jc w:val="left"/>
      </w:pPr>
      <w:r>
        <w:rPr>
          <w:rFonts w:ascii="Arial" w:cs="Arial" w:eastAsia="Arial" w:hAnsi="Arial"/>
          <w:b w:val="false"/>
          <w:bCs w:val="false"/>
          <w:i w:val="false"/>
          <w:iCs w:val="false"/>
          <w:color w:val="0F172A"/>
          <w:sz w:val="20"/>
          <w:szCs w:val="20"/>
        </w:rPr>
        <w:t xml:space="preserve">I maintained under 2% error rate across 6–8 hour annotation sessions consistently by treating session structure as a deliberate system rather than a matter of willpower.</w:t>
      </w:r>
    </w:p>
    <w:p>
      <w:pPr>
        <w:spacing w:after="6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spacing w:after="0" w:before="60"/>
    </w:pPr>
    <w:r>
      <w:rPr>
        <w:rFonts w:ascii="Arial" w:cs="Arial" w:eastAsia="Arial" w:hAnsi="Arial"/>
        <w:color w:val="334155"/>
        <w:sz w:val="16"/>
        <w:szCs w:val="16"/>
      </w:rPr>
      <w:t xml:space="preserve">Annotation Best Practices Guide  |  Busari Quadri Oyelekan</w:t>
    </w:r>
    <w:r>
      <w:rPr>
        <w:rFonts w:ascii="Arial" w:cs="Arial" w:eastAsia="Arial" w:hAnsi="Arial"/>
        <w:sz w:val="16"/>
        <w:szCs w:val="16"/>
      </w:rPr>
      <w:t xml:space="preserv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2563EB"/>
        <w:sz w:val="20"/>
        <w:szCs w:val="20"/>
      </w:rPr>
    </w:lvl>
  </w:abstractNum>
  <w:abstractNum w:abstractNumId="3" w15:restartNumberingAfterBreak="0">
    <w:multiLevelType w:val="hybridMultilevel"/>
    <w:lvl w:ilvl="0" w15:tentative="1">
      <w:start w:val="1"/>
      <w:numFmt w:val="bullet"/>
      <w:lvlText w:val="–"/>
      <w:lvlJc w:val="left"/>
      <w:pPr>
        <w:ind w:left="720" w:hanging="240"/>
      </w:pPr>
      <w:rPr>
        <w:rFonts w:ascii="Arial" w:cs="Arial" w:eastAsia="Arial" w:hAnsi="Arial"/>
        <w:color w:val="334155"/>
        <w:sz w:val="20"/>
        <w:szCs w:val="20"/>
      </w:rPr>
    </w:lvl>
  </w:abstractNum>
  <w:abstractNum w:abstractNumId="4" w15:restartNumberingAfterBreak="0">
    <w:multiLevelType w:val="hybridMultilevel"/>
    <w:lvl w:ilvl="0" w15:tentative="1">
      <w:start w:val="1"/>
      <w:numFmt w:val="decimal"/>
      <w:lvlText w:val="%1."/>
      <w:lvlJc w:val="left"/>
      <w:pPr>
        <w:ind w:left="480" w:hanging="24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0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00"/>
      <w:outlineLvl w:val="1"/>
    </w:pPr>
    <w:rPr>
      <w:rFonts w:ascii="Arial" w:cs="Arial" w:eastAsia="Arial" w:hAnsi="Arial"/>
      <w:b/>
      <w:bCs/>
      <w:color w:val="33415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2026-05-24T11:08:09.402Z</dcterms:created>
  <dcterms:modified xsi:type="dcterms:W3CDTF">2026-05-24T11:08:09.402Z</dcterms:modified>
</cp:coreProperties>
</file>

<file path=docProps/custom.xml><?xml version="1.0" encoding="utf-8"?>
<Properties xmlns="http://schemas.openxmlformats.org/officeDocument/2006/custom-properties" xmlns:vt="http://schemas.openxmlformats.org/officeDocument/2006/docPropsVTypes"/>
</file>