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rFonts w:ascii="Arial" w:cs="Arial" w:eastAsia="Arial" w:hAnsi="Arial"/>
          <w:sz w:val="4"/>
          <w:szCs w:val="4"/>
        </w:rPr>
        <w:t xml:space="preserve"> </w:t>
      </w:r>
    </w:p>
    <w:p>
      <w:pPr>
        <w:shd w:fill="1B3A6B" w:val="clear"/>
        <w:spacing w:after="20" w:before="60"/>
        <w:jc w:val="center"/>
      </w:pPr>
      <w:r>
        <w:rPr>
          <w:rFonts w:ascii="Arial" w:cs="Arial" w:eastAsia="Arial" w:hAnsi="Arial"/>
          <w:b/>
          <w:bCs/>
          <w:color w:val="FFFFFF"/>
          <w:sz w:val="52"/>
          <w:szCs w:val="52"/>
        </w:rPr>
        <w:t xml:space="preserve">Business Document Intelligence Taxonomy</w:t>
      </w:r>
    </w:p>
    <w:p>
      <w:pPr>
        <w:shd w:fill="1B3A6B" w:val="clear"/>
        <w:spacing w:after="60" w:before="0"/>
        <w:jc w:val="center"/>
      </w:pPr>
      <w:r>
        <w:rPr>
          <w:rFonts w:ascii="Arial" w:cs="Arial" w:eastAsia="Arial" w:hAnsi="Arial"/>
          <w:i/>
          <w:iCs/>
          <w:color w:val="BFD7FF"/>
          <w:sz w:val="24"/>
          <w:szCs w:val="24"/>
        </w:rPr>
        <w:t xml:space="preserve">31-Class Entity and Document-Type Schema for NER and Document AI</w:t>
      </w:r>
    </w:p>
    <w:p>
      <w:pPr>
        <w:shd w:fill="1B3A6B" w:val="clear"/>
        <w:spacing w:after="0" w:before="0"/>
      </w:pPr>
      <w:r>
        <w:rPr>
          <w:rFonts w:ascii="Arial" w:cs="Arial" w:eastAsia="Arial" w:hAnsi="Arial"/>
          <w:sz w:val="4"/>
          <w:szCs w:val="4"/>
        </w:rPr>
        <w:t xml:space="preserve"> </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Busari Quadri Oyelekan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Document: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DOC-003 / Rev. 2.0</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2022–2023</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Portfolio Work Sample — Confidential</w:t>
            </w:r>
          </w:p>
        </w:tc>
      </w:tr>
    </w:tbl>
    <w:p>
      <w:pPr>
        <w:spacing w:after="120" w:before="0"/>
      </w:pPr>
    </w:p>
    <w:p>
      <w:pPr>
        <w:pStyle w:val="Heading1"/>
      </w:pPr>
      <w:r>
        <w:t xml:space="preserve">1. Background</w:t>
      </w:r>
    </w:p>
    <w:p>
      <w:pPr>
        <w:spacing w:after="60" w:before="40"/>
        <w:jc w:val="left"/>
      </w:pPr>
      <w:r>
        <w:rPr>
          <w:rFonts w:ascii="Arial" w:cs="Arial" w:eastAsia="Arial" w:hAnsi="Arial"/>
          <w:b w:val="false"/>
          <w:bCs w:val="false"/>
          <w:i w:val="false"/>
          <w:iCs w:val="false"/>
          <w:color w:val="0F172A"/>
          <w:sz w:val="20"/>
          <w:szCs w:val="20"/>
        </w:rPr>
        <w:t xml:space="preserve">This taxonomy was developed during my work as a Business Strategy Consultant at Moh-Youngs Concepts (2014–2018) and refined for AI annotation use between 2022 and 2023. The original classification work involved processing over 800 business documents across 15 industrial sectors. During my transition into data annotation, I formalised the implicit classification system I had been using into an explicit 31-class taxonomy suitable for named entity recognition and document intelligence model training.</w:t>
      </w:r>
    </w:p>
    <w:p>
      <w:pPr>
        <w:spacing w:after="60" w:before="40"/>
        <w:jc w:val="left"/>
      </w:pPr>
      <w:r>
        <w:rPr>
          <w:rFonts w:ascii="Arial" w:cs="Arial" w:eastAsia="Arial" w:hAnsi="Arial"/>
          <w:b w:val="false"/>
          <w:bCs w:val="false"/>
          <w:i w:val="false"/>
          <w:iCs w:val="false"/>
          <w:color w:val="0F172A"/>
          <w:sz w:val="20"/>
          <w:szCs w:val="20"/>
        </w:rPr>
        <w:t xml:space="preserve">Over 12,000 data points were extracted and verified against this schema at 99.8% accuracy across the original consulting work. The annotation version was subsequently applied to business document NER tasks on AI labeling platforms.</w:t>
      </w:r>
    </w:p>
    <w:p>
      <w:pPr>
        <w:spacing w:after="60" w:before="0"/>
      </w:pPr>
    </w:p>
    <w:p>
      <w:pPr>
        <w:pStyle w:val="Heading1"/>
      </w:pPr>
      <w:r>
        <w:t xml:space="preserve">2. Document-Level Classification (11 classes)</w:t>
      </w:r>
    </w:p>
    <w:p>
      <w:pPr>
        <w:spacing w:after="60" w:before="40"/>
        <w:jc w:val="left"/>
      </w:pPr>
      <w:r>
        <w:rPr>
          <w:rFonts w:ascii="Arial" w:cs="Arial" w:eastAsia="Arial" w:hAnsi="Arial"/>
          <w:b w:val="false"/>
          <w:bCs w:val="false"/>
          <w:i w:val="false"/>
          <w:iCs w:val="false"/>
          <w:color w:val="0F172A"/>
          <w:sz w:val="20"/>
          <w:szCs w:val="20"/>
        </w:rPr>
        <w:t xml:space="preserve">The first axis of the taxonomy classifies the document type itself before entity-level annotation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rPr>
          <w:tblHeader/>
        </w:trPr>
        <w:tc>
          <w:tcPr>
            <w:tcW w:type="dxa" w:w="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Type</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Defining Characteristics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Common Entity Types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DT-01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Commercial Invoice</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Itemised list of goods/services with unit prices, totals, tax. Seller to buyer.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Seller, Buyer, Line Items, Tax, Currency, Payment Terms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DT-02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Purchase Order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Buyer-initiated document authorising a purchase. Contains PO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Buyer, Vendor, PO Number, Delivery Date, Line Items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DT-03</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Contract / Agreement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Legally binding bilateral document with terms, obligations, and signatures.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Parties, Effective Date, Termination Date, Governing Law, Signatories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DT-04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Financial Statement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Periodic report of financial position: balance sheet, P&amp;L, cash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Entity Name, Reporting Period, Currency, Line Items, Auditor</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DT-05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Compliance Report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Regulatory submission demonstrating adherence to standards or law.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Regulator, Submission Date, Standard, Non-conformances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DT-06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Meeting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Record of discussions, decisions, and action items from a formal meeting.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Date, Attendees, Agenda Items, Decisions, Action Owners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DT-07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Proposal / Tender</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Offer document submitted in response to a request for proposal.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Client, Scope, Value, Validity Period, Deliverables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DT-08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Employment Contract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Agreement governing terms of employment between employer and employee.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Employer, Employee, Start Date, Salary, Notice Period, Role</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DT-09</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Non-Disclosure Agreement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Confidentiality agreement restricting information disclosure.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Disclosing Party, Receiving Party, Duration, Jurisdiction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8"/>
                <w:szCs w:val="18"/>
              </w:rPr>
              <w:t xml:space="preserve">DT-10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Insurance Policy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Coverage document issued by insurer to policyholder.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Insurer, Insured, Coverage Amount, Premium, Exclusions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B3A6B"/>
                <w:sz w:val="18"/>
                <w:szCs w:val="18"/>
              </w:rPr>
              <w:t xml:space="preserve">DT-11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Regulatory Filing</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Submission to government or regulatory body. Includes tax returns and permits.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Filing Entity, Reference Number, Period, Authority, Declarations</w:t>
            </w:r>
          </w:p>
        </w:tc>
      </w:tr>
    </w:tbl>
    <w:p>
      <w:pPr>
        <w:spacing w:after="60" w:before="0"/>
      </w:pPr>
    </w:p>
    <w:p>
      <w:pPr>
        <w:pStyle w:val="Heading1"/>
      </w:pPr>
      <w:r>
        <w:t xml:space="preserve">3. Entity-Level Classification (20 classes)</w:t>
      </w:r>
    </w:p>
    <w:p>
      <w:pPr>
        <w:spacing w:after="60" w:before="40"/>
        <w:jc w:val="left"/>
      </w:pPr>
      <w:r>
        <w:rPr>
          <w:rFonts w:ascii="Arial" w:cs="Arial" w:eastAsia="Arial" w:hAnsi="Arial"/>
          <w:b w:val="false"/>
          <w:bCs w:val="false"/>
          <w:i w:val="false"/>
          <w:iCs w:val="false"/>
          <w:color w:val="0F172A"/>
          <w:sz w:val="20"/>
          <w:szCs w:val="20"/>
        </w:rPr>
        <w:t xml:space="preserve">Entity types are applied at the span level within documents after document-type classification is complete. Annotators apply both a document-level label and the relevant entity-level labels for each passage.</w:t>
      </w:r>
    </w:p>
    <w:p>
      <w:pPr>
        <w:spacing w:after="60" w:before="0"/>
      </w:pPr>
    </w:p>
    <w:p>
      <w:pPr>
        <w:pStyle w:val="Heading2"/>
      </w:pPr>
      <w:r>
        <w:t xml:space="preserve">3.1 Party Entities (5 classes)</w:t>
      </w:r>
    </w:p>
    <w:p>
      <w:pPr>
        <w:pStyle w:val="Heading3"/>
      </w:pPr>
      <w:r>
        <w:t xml:space="preserve">PE-01: Legal Entity Name</w:t>
      </w:r>
    </w:p>
    <w:p>
      <w:pPr>
        <w:spacing w:after="60" w:before="40"/>
        <w:jc w:val="left"/>
      </w:pPr>
      <w:r>
        <w:rPr>
          <w:rFonts w:ascii="Arial" w:cs="Arial" w:eastAsia="Arial" w:hAnsi="Arial"/>
          <w:b w:val="false"/>
          <w:bCs w:val="false"/>
          <w:i w:val="false"/>
          <w:iCs w:val="false"/>
          <w:color w:val="0F172A"/>
          <w:sz w:val="20"/>
          <w:szCs w:val="20"/>
        </w:rPr>
        <w:t xml:space="preserve">The full registered name of a company, organisation, or institution as it appears on official documents. Distinguished from trading names, which are tagged PE-02.</w:t>
      </w:r>
    </w:p>
    <w:p>
      <w:pPr>
        <w:spacing w:after="60" w:before="0"/>
      </w:pPr>
    </w:p>
    <w:p>
      <w:pPr>
        <w:pStyle w:val="Heading3"/>
      </w:pPr>
      <w:r>
        <w:t xml:space="preserve">PE-02: Trading / DBA Name</w:t>
      </w:r>
    </w:p>
    <w:p>
      <w:pPr>
        <w:spacing w:after="60" w:before="40"/>
        <w:jc w:val="left"/>
      </w:pPr>
      <w:r>
        <w:rPr>
          <w:rFonts w:ascii="Arial" w:cs="Arial" w:eastAsia="Arial" w:hAnsi="Arial"/>
          <w:b w:val="false"/>
          <w:bCs w:val="false"/>
          <w:i w:val="false"/>
          <w:iCs w:val="false"/>
          <w:color w:val="0F172A"/>
          <w:sz w:val="20"/>
          <w:szCs w:val="20"/>
        </w:rPr>
        <w:t xml:space="preserve">'Doing Business As' name used commercially but distinct from the registered legal name. Often found in contracts and invoices alongside PE-01.</w:t>
      </w:r>
    </w:p>
    <w:p>
      <w:pPr>
        <w:spacing w:after="60" w:before="0"/>
      </w:pPr>
    </w:p>
    <w:p>
      <w:pPr>
        <w:pStyle w:val="Heading3"/>
      </w:pPr>
      <w:r>
        <w:t xml:space="preserve">PE-03: Individual Person Name</w:t>
      </w:r>
    </w:p>
    <w:p>
      <w:pPr>
        <w:spacing w:after="60" w:before="40"/>
        <w:jc w:val="left"/>
      </w:pPr>
      <w:r>
        <w:rPr>
          <w:rFonts w:ascii="Arial" w:cs="Arial" w:eastAsia="Arial" w:hAnsi="Arial"/>
          <w:b w:val="false"/>
          <w:bCs w:val="false"/>
          <w:i w:val="false"/>
          <w:iCs w:val="false"/>
          <w:color w:val="0F172A"/>
          <w:sz w:val="20"/>
          <w:szCs w:val="20"/>
        </w:rPr>
        <w:t xml:space="preserve">Full name of a natural person in a professional capacity, including signatories,, representative, contact, officer. Excludes names in personal communication context.</w:t>
      </w:r>
    </w:p>
    <w:p>
      <w:pPr>
        <w:spacing w:after="60" w:before="0"/>
      </w:pPr>
    </w:p>
    <w:p>
      <w:pPr>
        <w:pStyle w:val="Heading3"/>
      </w:pPr>
      <w:r>
        <w:t xml:space="preserve">PE-04: Regulatory Body / Authority</w:t>
      </w:r>
    </w:p>
    <w:p>
      <w:pPr>
        <w:spacing w:after="60" w:before="40"/>
        <w:jc w:val="left"/>
      </w:pPr>
      <w:r>
        <w:rPr>
          <w:rFonts w:ascii="Arial" w:cs="Arial" w:eastAsia="Arial" w:hAnsi="Arial"/>
          <w:b w:val="false"/>
          <w:bCs w:val="false"/>
          <w:i w:val="false"/>
          <w:iCs w:val="false"/>
          <w:color w:val="0F172A"/>
          <w:sz w:val="20"/>
          <w:szCs w:val="20"/>
        </w:rPr>
        <w:t xml:space="preserve">Name of a government agency, regulatory body, standards organisation, or court. Examples: SEC, OSHA, ISO, HMRC.</w:t>
      </w:r>
    </w:p>
    <w:p>
      <w:pPr>
        <w:spacing w:after="60" w:before="0"/>
      </w:pPr>
    </w:p>
    <w:p>
      <w:pPr>
        <w:pStyle w:val="Heading3"/>
      </w:pPr>
      <w:r>
        <w:t xml:space="preserve">PE-05: Third-Party Reference</w:t>
      </w:r>
    </w:p>
    <w:p>
      <w:pPr>
        <w:spacing w:after="60" w:before="40"/>
        <w:jc w:val="left"/>
      </w:pPr>
      <w:r>
        <w:rPr>
          <w:rFonts w:ascii="Arial" w:cs="Arial" w:eastAsia="Arial" w:hAnsi="Arial"/>
          <w:b w:val="false"/>
          <w:bCs w:val="false"/>
          <w:i w:val="false"/>
          <w:iCs w:val="false"/>
          <w:color w:val="0F172A"/>
          <w:sz w:val="20"/>
          <w:szCs w:val="20"/>
        </w:rPr>
        <w:t xml:space="preserve">Names of entities that are referenced in the document but are not primary parties: subcontractors,, referenced clients, named competitors.</w:t>
      </w:r>
    </w:p>
    <w:p>
      <w:pPr>
        <w:spacing w:after="60" w:before="0"/>
      </w:pPr>
    </w:p>
    <w:p>
      <w:pPr>
        <w:pStyle w:val="Heading2"/>
      </w:pPr>
      <w:r>
        <w:t xml:space="preserve">3.2 Financial Entities (6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B3A6B" w:sz="1"/>
              <w:left w:val="single" w:color="1B3A6B" w:sz="1"/>
              <w:bottom w:val="single" w:color="1B3A6B" w:sz="1"/>
              <w:right w:val="single" w:color="1B3A6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2400"/>
            <w:tcBorders>
              <w:top w:val="single" w:color="1B3A6B" w:sz="1"/>
              <w:left w:val="single" w:color="1B3A6B" w:sz="1"/>
              <w:bottom w:val="single" w:color="1B3A6B" w:sz="1"/>
              <w:right w:val="single" w:color="1B3A6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Entity Class</w:t>
            </w:r>
          </w:p>
        </w:tc>
        <w:tc>
          <w:tcPr>
            <w:tcW w:type="dxa" w:w="6160"/>
            <w:tcBorders>
              <w:top w:val="single" w:color="1B3A6B" w:sz="1"/>
              <w:left w:val="single" w:color="1B3A6B" w:sz="1"/>
              <w:bottom w:val="single" w:color="1B3A6B" w:sz="1"/>
              <w:right w:val="single" w:color="1B3A6B" w:sz="1"/>
            </w:tcBorders>
            <w:shd w:fill="B4530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 and Annotation Notes</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FE-01</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0F172A"/>
                <w:sz w:val="18"/>
                <w:szCs w:val="18"/>
              </w:rPr>
              <w:t xml:space="preserve">Monetary Amount</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F172A"/>
                <w:sz w:val="18"/>
                <w:szCs w:val="18"/>
              </w:rPr>
              <w:t xml:space="preserve">Any numerical value combined with a currency symbol or code. Includes unit prices, totals, salaries, and penalties. Always capture currency separately as FE-02.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400E"/>
                <w:sz w:val="18"/>
                <w:szCs w:val="18"/>
              </w:rPr>
              <w:t xml:space="preserve">FE-02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Currency Identifier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ISO 4217 code (USD, GBP, EUR) or symbol ($, £, €). Tag separately from the amount even when they appear adjacent.</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FE-03</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0F172A"/>
                <w:sz w:val="18"/>
                <w:szCs w:val="18"/>
              </w:rPr>
              <w:t xml:space="preserve">Payment Terms</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F172A"/>
                <w:sz w:val="18"/>
                <w:szCs w:val="18"/>
              </w:rPr>
              <w:t xml:space="preserve">Clauses specifying when and how payment is due. Examples: Net 30, 50% upfront, upon delivery. Tag the full phrase.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400E"/>
                <w:sz w:val="18"/>
                <w:szCs w:val="18"/>
              </w:rPr>
              <w:t xml:space="preserve">FE-04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Account / Reference Number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Invoice number, PO number, account number, policy number, or any unique document identifier.</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FE-05</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0F172A"/>
                <w:sz w:val="18"/>
                <w:szCs w:val="18"/>
              </w:rPr>
              <w:t xml:space="preserve">Tax / VAT Information</w:t>
            </w:r>
          </w:p>
        </w:tc>
        <w:tc>
          <w:tcPr>
            <w:tcW w:type="dxa" w:w="61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val="false"/>
                <w:bCs w:val="false"/>
                <w:color w:val="0F172A"/>
                <w:sz w:val="18"/>
                <w:szCs w:val="18"/>
              </w:rPr>
              <w:t xml:space="preserve">Tax rate, tax amount, or tax registration number. Tag the rate and amount as separate spans if both appear.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2400E"/>
                <w:sz w:val="18"/>
                <w:szCs w:val="18"/>
              </w:rPr>
              <w:t xml:space="preserve">FE-06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Financial Ratio / Metric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Named financial metric appearing in statements: EBITDA, P/E ratio, current ratio, debt-to-equity. Tag with its value if stated.</w:t>
            </w:r>
          </w:p>
        </w:tc>
      </w:tr>
    </w:tbl>
    <w:p>
      <w:pPr>
        <w:spacing w:after="60" w:before="0"/>
      </w:pPr>
    </w:p>
    <w:p>
      <w:pPr>
        <w:pStyle w:val="Heading2"/>
      </w:pPr>
      <w:r>
        <w:t xml:space="preserve">3.3 Temporal Entities (3 classes)</w:t>
      </w:r>
    </w:p>
    <w:p>
      <w:pPr>
        <w:pStyle w:val="Heading3"/>
      </w:pPr>
      <w:r>
        <w:t xml:space="preserve">TE-01: Absolute Date</w:t>
      </w:r>
    </w:p>
    <w:p>
      <w:pPr>
        <w:spacing w:after="60" w:before="40"/>
        <w:jc w:val="left"/>
      </w:pPr>
      <w:r>
        <w:rPr>
          <w:rFonts w:ascii="Arial" w:cs="Arial" w:eastAsia="Arial" w:hAnsi="Arial"/>
          <w:b w:val="false"/>
          <w:bCs w:val="false"/>
          <w:i w:val="false"/>
          <w:iCs w:val="false"/>
          <w:color w:val="0F172A"/>
          <w:sz w:val="20"/>
          <w:szCs w:val="20"/>
        </w:rPr>
        <w:t xml:space="preserve">Specific calendar date in any format: 15 March 2023, 03/15/2023, Q1 FY2023. Tag the full expression.</w:t>
      </w:r>
    </w:p>
    <w:p>
      <w:pPr>
        <w:spacing w:after="60" w:before="0"/>
      </w:pPr>
    </w:p>
    <w:p>
      <w:pPr>
        <w:pStyle w:val="Heading3"/>
      </w:pPr>
      <w:r>
        <w:t xml:space="preserve">TE-02: Relative Date</w:t>
      </w:r>
    </w:p>
    <w:p>
      <w:pPr>
        <w:spacing w:after="60" w:before="40"/>
        <w:jc w:val="left"/>
      </w:pPr>
      <w:r>
        <w:rPr>
          <w:rFonts w:ascii="Arial" w:cs="Arial" w:eastAsia="Arial" w:hAnsi="Arial"/>
          <w:b w:val="false"/>
          <w:bCs w:val="false"/>
          <w:i w:val="false"/>
          <w:iCs w:val="false"/>
          <w:color w:val="0F172A"/>
          <w:sz w:val="20"/>
          <w:szCs w:val="20"/>
        </w:rPr>
        <w:t xml:space="preserve">Dates expressed relative to a reference point: within 30 days of signing, upon delivery, the following quarter. Tag the full phrase including the anchor reference.</w:t>
      </w:r>
    </w:p>
    <w:p>
      <w:pPr>
        <w:spacing w:after="60" w:before="0"/>
      </w:pPr>
    </w:p>
    <w:p>
      <w:pPr>
        <w:pStyle w:val="Heading3"/>
      </w:pPr>
      <w:r>
        <w:t xml:space="preserve">TE-03: Duration / Period</w:t>
      </w:r>
    </w:p>
    <w:p>
      <w:pPr>
        <w:spacing w:after="60" w:before="40"/>
        <w:jc w:val="left"/>
      </w:pPr>
      <w:r>
        <w:rPr>
          <w:rFonts w:ascii="Arial" w:cs="Arial" w:eastAsia="Arial" w:hAnsi="Arial"/>
          <w:b w:val="false"/>
          <w:bCs w:val="false"/>
          <w:i w:val="false"/>
          <w:iCs w:val="false"/>
          <w:color w:val="0F172A"/>
          <w:sz w:val="20"/>
          <w:szCs w:val="20"/>
        </w:rPr>
        <w:t xml:space="preserve">A span of time rather than a point: 12-month term, 5 years, the notice period. Annotate the quantity and unit together.</w:t>
      </w:r>
    </w:p>
    <w:p>
      <w:pPr>
        <w:spacing w:after="60" w:before="0"/>
      </w:pPr>
    </w:p>
    <w:p>
      <w:pPr>
        <w:pStyle w:val="Heading2"/>
      </w:pPr>
      <w:r>
        <w:t xml:space="preserve">3.4 Legal and Compliance Entities (3 classes)</w:t>
      </w:r>
    </w:p>
    <w:p>
      <w:pPr>
        <w:pStyle w:val="Heading3"/>
      </w:pPr>
      <w:r>
        <w:t xml:space="preserve">LE-01: Governing Law / Jurisdiction</w:t>
      </w:r>
    </w:p>
    <w:p>
      <w:pPr>
        <w:spacing w:after="60" w:before="40"/>
        <w:jc w:val="left"/>
      </w:pPr>
      <w:r>
        <w:rPr>
          <w:rFonts w:ascii="Arial" w:cs="Arial" w:eastAsia="Arial" w:hAnsi="Arial"/>
          <w:b w:val="false"/>
          <w:bCs w:val="false"/>
          <w:i w:val="false"/>
          <w:iCs w:val="false"/>
          <w:color w:val="0F172A"/>
          <w:sz w:val="20"/>
          <w:szCs w:val="20"/>
        </w:rPr>
        <w:t xml:space="preserve">The legal system or court system specified to resolve disputes. Tag the full clause including the named jurisdiction.</w:t>
      </w:r>
    </w:p>
    <w:p>
      <w:pPr>
        <w:spacing w:after="60" w:before="0"/>
      </w:pPr>
    </w:p>
    <w:p>
      <w:pPr>
        <w:pStyle w:val="Heading3"/>
      </w:pPr>
      <w:r>
        <w:t xml:space="preserve">LE-02: Clause / Section Reference</w:t>
      </w:r>
    </w:p>
    <w:p>
      <w:pPr>
        <w:spacing w:after="60" w:before="40"/>
        <w:jc w:val="left"/>
      </w:pPr>
      <w:r>
        <w:rPr>
          <w:rFonts w:ascii="Arial" w:cs="Arial" w:eastAsia="Arial" w:hAnsi="Arial"/>
          <w:b w:val="false"/>
          <w:bCs w:val="false"/>
          <w:i w:val="false"/>
          <w:iCs w:val="false"/>
          <w:color w:val="0F172A"/>
          <w:sz w:val="20"/>
          <w:szCs w:val="20"/>
        </w:rPr>
        <w:t xml:space="preserve">Named or numbered references to specific contract sections or regulatory articles. Example: 'pursuant to Section 4.2(b)'; tag the reference expression.</w:t>
      </w:r>
    </w:p>
    <w:p>
      <w:pPr>
        <w:spacing w:after="60" w:before="0"/>
      </w:pPr>
    </w:p>
    <w:p>
      <w:pPr>
        <w:pStyle w:val="Heading3"/>
      </w:pPr>
      <w:r>
        <w:t xml:space="preserve">LE-03: Obligation / Prohibition Marker</w:t>
      </w:r>
    </w:p>
    <w:p>
      <w:pPr>
        <w:spacing w:after="60" w:before="40"/>
        <w:jc w:val="left"/>
      </w:pPr>
      <w:r>
        <w:rPr>
          <w:rFonts w:ascii="Arial" w:cs="Arial" w:eastAsia="Arial" w:hAnsi="Arial"/>
          <w:b w:val="false"/>
          <w:bCs w:val="false"/>
          <w:i w:val="false"/>
          <w:iCs w:val="false"/>
          <w:color w:val="0F172A"/>
          <w:sz w:val="20"/>
          <w:szCs w:val="20"/>
        </w:rPr>
        <w:t xml:space="preserve">Key modal language creating obligations (shall, must, agrees to) or prohibitions (shall not, is prohibited from). Tag the modal + verb phrase as the entity span.</w:t>
      </w:r>
    </w:p>
    <w:p>
      <w:pPr>
        <w:spacing w:after="60" w:before="0"/>
      </w:pPr>
    </w:p>
    <w:p>
      <w:pPr>
        <w:pStyle w:val="Heading2"/>
      </w:pPr>
      <w:r>
        <w:t xml:space="preserve">3.5 Contact and Location Entities (3 classes)</w:t>
      </w:r>
    </w:p>
    <w:p>
      <w:pPr>
        <w:pStyle w:val="Heading3"/>
      </w:pPr>
      <w:r>
        <w:t xml:space="preserve">CL-01: Physical Address</w:t>
      </w:r>
    </w:p>
    <w:p>
      <w:pPr>
        <w:spacing w:after="60" w:before="40"/>
        <w:jc w:val="left"/>
      </w:pPr>
      <w:r>
        <w:rPr>
          <w:rFonts w:ascii="Arial" w:cs="Arial" w:eastAsia="Arial" w:hAnsi="Arial"/>
          <w:b w:val="false"/>
          <w:bCs w:val="false"/>
          <w:i w:val="false"/>
          <w:iCs w:val="false"/>
          <w:color w:val="0F172A"/>
          <w:sz w:val="20"/>
          <w:szCs w:val="20"/>
        </w:rPr>
        <w:t xml:space="preserve">Full or partial postal address in a business context. Street, city, postcode/ZIP, country tagged as a single span.</w:t>
      </w:r>
    </w:p>
    <w:p>
      <w:pPr>
        <w:spacing w:after="60" w:before="0"/>
      </w:pPr>
    </w:p>
    <w:p>
      <w:pPr>
        <w:pStyle w:val="Heading3"/>
      </w:pPr>
      <w:r>
        <w:t xml:space="preserve">CL-02: Contact Detail</w:t>
      </w:r>
    </w:p>
    <w:p>
      <w:pPr>
        <w:spacing w:after="60" w:before="40"/>
        <w:jc w:val="left"/>
      </w:pPr>
      <w:r>
        <w:rPr>
          <w:rFonts w:ascii="Arial" w:cs="Arial" w:eastAsia="Arial" w:hAnsi="Arial"/>
          <w:b w:val="false"/>
          <w:bCs w:val="false"/>
          <w:i w:val="false"/>
          <w:iCs w:val="false"/>
          <w:color w:val="0F172A"/>
          <w:sz w:val="20"/>
          <w:szCs w:val="20"/>
        </w:rPr>
        <w:t xml:space="preserve">Phone number, email address, fax number, or website URL. Tag type and value together where they appear adjacent.</w:t>
      </w:r>
    </w:p>
    <w:p>
      <w:pPr>
        <w:spacing w:after="60" w:before="0"/>
      </w:pPr>
    </w:p>
    <w:p>
      <w:pPr>
        <w:pStyle w:val="Heading3"/>
      </w:pPr>
      <w:r>
        <w:t xml:space="preserve">CL-03: Geographic Reference</w:t>
      </w:r>
    </w:p>
    <w:p>
      <w:pPr>
        <w:spacing w:after="60" w:before="40"/>
        <w:jc w:val="left"/>
      </w:pPr>
      <w:r>
        <w:rPr>
          <w:rFonts w:ascii="Arial" w:cs="Arial" w:eastAsia="Arial" w:hAnsi="Arial"/>
          <w:b w:val="false"/>
          <w:bCs w:val="false"/>
          <w:i w:val="false"/>
          <w:iCs w:val="false"/>
          <w:color w:val="0F172A"/>
          <w:sz w:val="20"/>
          <w:szCs w:val="20"/>
        </w:rPr>
        <w:t xml:space="preserve">Named locations that are not postal addresses: countries, regions, jurisdictions, delivery territories. Example: 'shipment to the European Union'.</w:t>
      </w:r>
    </w:p>
    <w:p>
      <w:pPr>
        <w:spacing w:after="60" w:before="0"/>
      </w:pPr>
    </w:p>
    <w:p>
      <w:pPr>
        <w:pStyle w:val="Heading1"/>
      </w:pPr>
      <w:r>
        <w:t xml:space="preserve">4. Sector-Specific Subcategory Index</w:t>
      </w:r>
    </w:p>
    <w:p>
      <w:pPr>
        <w:spacing w:after="60" w:before="40"/>
        <w:jc w:val="left"/>
      </w:pPr>
      <w:r>
        <w:rPr>
          <w:rFonts w:ascii="Arial" w:cs="Arial" w:eastAsia="Arial" w:hAnsi="Arial"/>
          <w:b w:val="false"/>
          <w:bCs w:val="false"/>
          <w:i w:val="false"/>
          <w:iCs w:val="false"/>
          <w:color w:val="0F172A"/>
          <w:sz w:val="20"/>
          <w:szCs w:val="20"/>
        </w:rPr>
        <w:t xml:space="preserve">During the original consulting engagement, the taxonomy was applied across 15 industrial sectors with 40+ sub-categories tracking sector-specific terminology. The sectors and their primary document types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Sector</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Document Types</w:t>
            </w:r>
          </w:p>
        </w:tc>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Dominant Entity Classes</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Oil &amp; Gas</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DT-02, DT-07, DT-11</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PE-01, FE-01, FE-04, LE-01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Banking &amp; 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DT-04, DT-10, DT-11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FE-01 to FE-06, TE-01, LE-03</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Manufacturing</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DT-01, DT-02, DT-05</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PE-01, FE-01, CL-01, TE-01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Telecommunications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DT-03, DT-09, DT-10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PE-01 to PE-03, TE-01 to TE-03</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Real Estate</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DT-03, DT-08, DT-11</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CL-01, FE-01, TE-01, LE-01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Healthcare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DT-05, DT-10, DT-11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PE-04, LE-02, LE-03, TE-01</w:t>
            </w:r>
          </w:p>
        </w:tc>
      </w:tr>
      <w:tr>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18"/>
                <w:szCs w:val="18"/>
              </w:rPr>
              <w:t xml:space="preserve">Retail &amp; FMCG</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DT-01, DT-02, DT-07</w:t>
            </w:r>
          </w:p>
        </w:tc>
        <w:tc>
          <w:tcPr>
            <w:tcW w:type="dxa" w:w="312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FE-01, FE-02, FE-03, TE-01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Logistics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DT-01, DT-02, DT-05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CL-01, CL-03, TE-01, FE-04</w:t>
            </w:r>
          </w:p>
        </w:tc>
      </w:tr>
    </w:tbl>
    <w:p>
      <w:pPr>
        <w:spacing w:after="60" w:before="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tabs>
        <w:tab w:val="right" w:pos="9360"/>
      </w:tabs>
      <w:spacing w:after="0" w:before="60"/>
    </w:pPr>
    <w:r>
      <w:rPr>
        <w:rFonts w:ascii="Arial" w:cs="Arial" w:eastAsia="Arial" w:hAnsi="Arial"/>
        <w:color w:val="334155"/>
        <w:sz w:val="16"/>
        <w:szCs w:val="16"/>
      </w:rPr>
      <w:t xml:space="preserve">Business Document Taxonomy — 31-Class Schema  |  Busari Quadri Oyelekan</w:t>
    </w:r>
    <w:r>
      <w:rPr>
        <w:rFonts w:ascii="Arial" w:cs="Arial" w:eastAsia="Arial" w:hAnsi="Arial"/>
        <w:sz w:val="16"/>
        <w:szCs w:val="16"/>
      </w:rPr>
      <w:t xml:space="preserve">	</w:t>
    </w:r>
    <w:r>
      <w:rPr>
        <w:rFonts w:ascii="Arial" w:cs="Arial" w:eastAsia="Arial" w:hAnsi="Arial"/>
        <w:color w:val="3341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2563EB"/>
        <w:sz w:val="20"/>
        <w:szCs w:val="20"/>
      </w:rPr>
    </w:lvl>
  </w:abstractNum>
  <w:abstractNum w:abstractNumId="3" w15:restartNumberingAfterBreak="0">
    <w:multiLevelType w:val="hybridMultilevel"/>
    <w:lvl w:ilvl="0" w15:tentative="1">
      <w:start w:val="1"/>
      <w:numFmt w:val="bullet"/>
      <w:lvlText w:val="–"/>
      <w:lvlJc w:val="left"/>
      <w:pPr>
        <w:ind w:left="720" w:hanging="240"/>
      </w:pPr>
      <w:rPr>
        <w:rFonts w:ascii="Arial" w:cs="Arial" w:eastAsia="Arial" w:hAnsi="Arial"/>
        <w:color w:val="334155"/>
        <w:sz w:val="20"/>
        <w:szCs w:val="20"/>
      </w:rPr>
    </w:lvl>
  </w:abstractNum>
  <w:abstractNum w:abstractNumId="4" w15:restartNumberingAfterBreak="0">
    <w:multiLevelType w:val="hybridMultilevel"/>
    <w:lvl w:ilvl="0" w15:tentative="1">
      <w:start w:val="1"/>
      <w:numFmt w:val="decimal"/>
      <w:lvlText w:val="%1."/>
      <w:lvlJc w:val="left"/>
      <w:pPr>
        <w:ind w:left="480" w:hanging="24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100" w:before="28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00"/>
      <w:outlineLvl w:val="1"/>
    </w:pPr>
    <w:rPr>
      <w:rFonts w:ascii="Arial" w:cs="Arial" w:eastAsia="Arial" w:hAnsi="Arial"/>
      <w:b/>
      <w:bCs/>
      <w:color w:val="33415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2026-05-24T11:08:09.377Z</dcterms:created>
  <dcterms:modified xsi:type="dcterms:W3CDTF">2026-05-24T11:08:09.377Z</dcterms:modified>
</cp:coreProperties>
</file>

<file path=docProps/custom.xml><?xml version="1.0" encoding="utf-8"?>
<Properties xmlns="http://schemas.openxmlformats.org/officeDocument/2006/custom-properties" xmlns:vt="http://schemas.openxmlformats.org/officeDocument/2006/docPropsVTypes"/>
</file>