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3a6b" w:val="clear"/>
        <w:spacing w:after="0" w:before="0" w:lineRule="auto"/>
        <w:rPr/>
      </w:pPr>
      <w:r>
        <w:rPr>
          <w:rFonts w:ascii="Arial" w:cs="Arial" w:eastAsia="Arial" w:hAnsi="Arial"/>
          <w:sz w:val="4"/>
          <w:szCs w:val="4"/>
          <w:rtl w:val="0"/>
        </w:rPr>
        <w:t xml:space="preserve"> </w:t>
      </w:r>
      <w:r>
        <w:rPr>
          <w:rtl w:val="0"/>
        </w:rPr>
      </w:r>
    </w:p>
    <w:p w:rsidR="00000000" w:rsidDel="00000000" w:rsidP="00000000" w:rsidRDefault="00000000" w:rsidRPr="00000000" w14:paraId="00000002">
      <w:pPr>
        <w:shd w:fill="1b3a6b" w:val="clear"/>
        <w:spacing w:after="20" w:before="60" w:lineRule="auto"/>
        <w:jc w:val="center"/>
        <w:rPr/>
      </w:pPr>
      <w:r>
        <w:rPr>
          <w:rFonts w:ascii="Arial" w:cs="Arial" w:eastAsia="Arial" w:hAnsi="Arial"/>
          <w:b w:val="1"/>
          <w:bCs w:val="1"/>
          <w:color w:val="ffffff"/>
          <w:sz w:val="52"/>
          <w:szCs w:val="52"/>
          <w:rtl w:val="0"/>
        </w:rPr>
        <w:t xml:space="preserve">Chemical Hazard Classification Taxonomy</w:t>
      </w:r>
      <w:r>
        <w:rPr>
          <w:rtl w:val="0"/>
        </w:rPr>
      </w:r>
    </w:p>
    <w:p w:rsidR="00000000" w:rsidDel="00000000" w:rsidP="00000000" w:rsidRDefault="00000000" w:rsidRPr="00000000" w14:paraId="00000003">
      <w:pPr>
        <w:shd w:fill="1b3a6b" w:val="clear"/>
        <w:spacing w:after="60" w:before="0" w:lineRule="auto"/>
        <w:jc w:val="center"/>
        <w:rPr/>
      </w:pPr>
      <w:r>
        <w:rPr>
          <w:rFonts w:ascii="Arial" w:cs="Arial" w:eastAsia="Arial" w:hAnsi="Arial"/>
          <w:i w:val="1"/>
          <w:iCs w:val="1"/>
          <w:color w:val="bfd7ff"/>
          <w:sz w:val="24"/>
          <w:szCs w:val="24"/>
          <w:rtl w:val="0"/>
        </w:rPr>
        <w:t xml:space="preserve">23-Category GHS-Aligned Labeling Schema for Industrial Safety AI Models</w:t>
      </w:r>
      <w:r>
        <w:rPr>
          <w:rtl w:val="0"/>
        </w:rPr>
      </w:r>
    </w:p>
    <w:p w:rsidR="00000000" w:rsidDel="00000000" w:rsidP="00000000" w:rsidRDefault="00000000" w:rsidRPr="00000000" w14:paraId="00000004">
      <w:pPr>
        <w:shd w:fill="1b3a6b" w:val="clear"/>
        <w:spacing w:after="0" w:before="0" w:lineRule="auto"/>
        <w:rPr/>
      </w:pPr>
      <w:r>
        <w:rPr>
          <w:rFonts w:ascii="Arial" w:cs="Arial" w:eastAsia="Arial" w:hAnsi="Arial"/>
          <w:sz w:val="4"/>
          <w:szCs w:val="4"/>
          <w:rtl w:val="0"/>
        </w:rPr>
        <w:t xml:space="preserve"> </w:t>
      </w:r>
      <w:r>
        <w:rPr>
          <w:rtl w:val="0"/>
        </w:rPr>
      </w:r>
    </w:p>
    <w:p w:rsidR="00000000" w:rsidDel="00000000" w:rsidP="00000000" w:rsidRDefault="00000000" w:rsidRPr="00000000" w14:paraId="00000005">
      <w:pPr>
        <w:spacing w:after="12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06">
            <w:pPr>
              <w:rPr/>
            </w:pPr>
            <w:r>
              <w:rPr>
                <w:rFonts w:ascii="Arial" w:cs="Arial" w:eastAsia="Arial" w:hAnsi="Arial"/>
                <w:b w:val="1"/>
                <w:bCs w:val="1"/>
                <w:color w:val="1b3a6b"/>
                <w:sz w:val="18"/>
                <w:szCs w:val="18"/>
                <w:rtl w:val="0"/>
              </w:rPr>
              <w:t xml:space="preserve">Author: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Pr>
                <w:rFonts w:ascii="Arial" w:cs="Arial" w:eastAsia="Arial" w:hAnsi="Arial"/>
                <w:b w:val="0"/>
                <w:bCs w:val="0"/>
                <w:color w:val="0f172a"/>
                <w:sz w:val="18"/>
                <w:szCs w:val="18"/>
                <w:rtl w:val="0"/>
              </w:rPr>
              <w:t xml:space="preserve">Busari Quadri Oyelekan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08">
            <w:pPr>
              <w:rPr/>
            </w:pPr>
            <w:r>
              <w:rPr>
                <w:rFonts w:ascii="Arial" w:cs="Arial" w:eastAsia="Arial" w:hAnsi="Arial"/>
                <w:b w:val="1"/>
                <w:bCs w:val="1"/>
                <w:color w:val="1b3a6b"/>
                <w:sz w:val="18"/>
                <w:szCs w:val="18"/>
                <w:rtl w:val="0"/>
              </w:rPr>
              <w:t xml:space="preserve">Document: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Pr>
                <w:rFonts w:ascii="Arial" w:cs="Arial" w:eastAsia="Arial" w:hAnsi="Arial"/>
                <w:b w:val="0"/>
                <w:bCs w:val="0"/>
                <w:color w:val="0f172a"/>
                <w:sz w:val="18"/>
                <w:szCs w:val="18"/>
                <w:rtl w:val="0"/>
              </w:rPr>
              <w:t xml:space="preserve">DOC-001 / Rev. 3.2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0A">
            <w:pPr>
              <w:rPr/>
            </w:pPr>
            <w:r>
              <w:rPr>
                <w:rFonts w:ascii="Arial" w:cs="Arial" w:eastAsia="Arial" w:hAnsi="Arial"/>
                <w:b w:val="1"/>
                <w:bCs w:val="1"/>
                <w:color w:val="1b3a6b"/>
                <w:sz w:val="18"/>
                <w:szCs w:val="18"/>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Pr>
                <w:rFonts w:ascii="Arial" w:cs="Arial" w:eastAsia="Arial" w:hAnsi="Arial"/>
                <w:b w:val="0"/>
                <w:bCs w:val="0"/>
                <w:color w:val="0f172a"/>
                <w:sz w:val="18"/>
                <w:szCs w:val="18"/>
                <w:rtl w:val="0"/>
              </w:rPr>
              <w:t xml:space="preserve">2024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0C">
            <w:pPr>
              <w:rPr/>
            </w:pPr>
            <w:r>
              <w:rPr>
                <w:rFonts w:ascii="Arial" w:cs="Arial" w:eastAsia="Arial" w:hAnsi="Arial"/>
                <w:b w:val="1"/>
                <w:bCs w:val="1"/>
                <w:color w:val="1b3a6b"/>
                <w:sz w:val="18"/>
                <w:szCs w:val="18"/>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Fonts w:ascii="Arial" w:cs="Arial" w:eastAsia="Arial" w:hAnsi="Arial"/>
                <w:b w:val="0"/>
                <w:bCs w:val="0"/>
                <w:color w:val="0f172a"/>
                <w:sz w:val="18"/>
                <w:szCs w:val="18"/>
                <w:rtl w:val="0"/>
              </w:rPr>
              <w:t xml:space="preserve">Portfolio Work Sample — Confidential</w:t>
            </w:r>
            <w:r>
              <w:rPr>
                <w:rtl w:val="0"/>
              </w:rPr>
            </w:r>
          </w:p>
        </w:tc>
      </w:tr>
    </w:tbl>
    <w:p w:rsidR="00000000" w:rsidDel="00000000" w:rsidP="00000000" w:rsidRDefault="00000000" w:rsidRPr="00000000" w14:paraId="0000000E">
      <w:pPr>
        <w:spacing w:after="120" w:before="0" w:lineRule="auto"/>
        <w:rPr/>
      </w:pPr>
      <w:r>
        <w:rPr>
          <w:rtl w:val="0"/>
        </w:rPr>
      </w:r>
    </w:p>
    <w:p w:rsidR="00000000" w:rsidDel="00000000" w:rsidP="00000000" w:rsidRDefault="00000000" w:rsidRPr="00000000" w14:paraId="0000000F">
      <w:pPr>
        <w:pStyle w:val="Heading1"/>
        <w:rPr/>
      </w:pPr>
      <w:r>
        <w:rPr>
          <w:rtl w:val="0"/>
        </w:rPr>
        <w:t xml:space="preserve">1. Overview and Purpose</w:t>
      </w:r>
    </w:p>
    <w:p w:rsidR="00000000" w:rsidDel="00000000" w:rsidP="00000000" w:rsidRDefault="00000000" w:rsidRPr="00000000" w14:paraId="00000010">
      <w:pPr>
        <w:spacing w:after="60" w:before="40" w:lineRule="auto"/>
        <w:jc w:val="left"/>
        <w:rPr/>
      </w:pPr>
      <w:r>
        <w:rPr>
          <w:rFonts w:ascii="Arial" w:cs="Arial" w:eastAsia="Arial" w:hAnsi="Arial"/>
          <w:b w:val="0"/>
          <w:bCs w:val="0"/>
          <w:i w:val="0"/>
          <w:iCs w:val="0"/>
          <w:color w:val="0f172a"/>
          <w:sz w:val="20"/>
          <w:szCs w:val="20"/>
          <w:rtl w:val="0"/>
        </w:rPr>
        <w:t xml:space="preserve">This taxonomy was developed to support the annotation of chemical safety datasets for machine-learning-based hazard recognition systems. The schema draws directly on my background in industrial chemistry and practical experience with GHS (Globally Harmonised System of Classification and Labelling of Chemicals) as applied in laboratory and manufacturing environments.</w:t>
      </w:r>
      <w:r>
        <w:rPr>
          <w:rtl w:val="0"/>
        </w:rPr>
      </w:r>
    </w:p>
    <w:p w:rsidR="00000000" w:rsidDel="00000000" w:rsidP="00000000" w:rsidRDefault="00000000" w:rsidRPr="00000000" w14:paraId="00000011">
      <w:pPr>
        <w:spacing w:after="60" w:before="40" w:lineRule="auto"/>
        <w:jc w:val="left"/>
        <w:rPr/>
      </w:pPr>
      <w:r>
        <w:rPr>
          <w:rFonts w:ascii="Arial" w:cs="Arial" w:eastAsia="Arial" w:hAnsi="Arial"/>
          <w:b w:val="0"/>
          <w:bCs w:val="0"/>
          <w:i w:val="0"/>
          <w:iCs w:val="0"/>
          <w:color w:val="0f172a"/>
          <w:sz w:val="20"/>
          <w:szCs w:val="20"/>
          <w:rtl w:val="0"/>
        </w:rPr>
        <w:t xml:space="preserve">The 23-category framework was built iteratively across 12 specialized annotation projects, starting with a narrower 14-category version that proved insufficient for distinguishing sub-classes of reactive and environmental hazards. Each revision incorporated edge cases flagged during QA review.</w:t>
      </w:r>
      <w:r>
        <w:rPr>
          <w:rtl w:val="0"/>
        </w:rPr>
      </w:r>
    </w:p>
    <w:p w:rsidR="00000000" w:rsidDel="00000000" w:rsidP="00000000" w:rsidRDefault="00000000" w:rsidRPr="00000000" w14:paraId="00000012">
      <w:pPr>
        <w:spacing w:after="60" w:before="0" w:lineRule="auto"/>
        <w:rPr/>
      </w:pPr>
      <w:r>
        <w:rPr>
          <w:rtl w:val="0"/>
        </w:rPr>
      </w:r>
    </w:p>
    <w:p w:rsidR="00000000" w:rsidDel="00000000" w:rsidP="00000000" w:rsidRDefault="00000000" w:rsidRPr="00000000" w14:paraId="00000013">
      <w:pPr>
        <w:pStyle w:val="Heading1"/>
        <w:rPr/>
      </w:pPr>
      <w:r>
        <w:rPr>
          <w:rtl w:val="0"/>
        </w:rPr>
        <w:t xml:space="preserve">2. Taxonomy Structure</w:t>
      </w:r>
    </w:p>
    <w:p w:rsidR="00000000" w:rsidDel="00000000" w:rsidP="00000000" w:rsidRDefault="00000000" w:rsidRPr="00000000" w14:paraId="00000014">
      <w:pPr>
        <w:spacing w:after="60" w:before="40" w:lineRule="auto"/>
        <w:jc w:val="left"/>
        <w:rPr/>
      </w:pPr>
      <w:r>
        <w:rPr>
          <w:rFonts w:ascii="Arial" w:cs="Arial" w:eastAsia="Arial" w:hAnsi="Arial"/>
          <w:b w:val="0"/>
          <w:bCs w:val="0"/>
          <w:i w:val="0"/>
          <w:iCs w:val="0"/>
          <w:color w:val="0f172a"/>
          <w:sz w:val="20"/>
          <w:szCs w:val="20"/>
          <w:rtl w:val="0"/>
        </w:rPr>
        <w:t xml:space="preserve">Categories are organised into five top-level divisions. Each division contains between two and seven sub-categories reflecting distinct hazard mechanisms, labeling conventions, or regulatory significance.</w:t>
      </w:r>
      <w:r>
        <w:rPr>
          <w:rtl w:val="0"/>
        </w:rPr>
      </w:r>
    </w:p>
    <w:p w:rsidR="00000000" w:rsidDel="00000000" w:rsidP="00000000" w:rsidRDefault="00000000" w:rsidRPr="00000000" w14:paraId="00000015">
      <w:pPr>
        <w:spacing w:after="60" w:before="0" w:lineRule="auto"/>
        <w:rPr/>
      </w:pPr>
      <w:r>
        <w:rPr>
          <w:rtl w:val="0"/>
        </w:rPr>
      </w:r>
    </w:p>
    <w:p w:rsidR="00000000" w:rsidDel="00000000" w:rsidP="00000000" w:rsidRDefault="00000000" w:rsidRPr="00000000" w14:paraId="00000016">
      <w:pPr>
        <w:pStyle w:val="Heading2"/>
        <w:rPr/>
      </w:pPr>
      <w:r>
        <w:rPr>
          <w:rtl w:val="0"/>
        </w:rPr>
        <w:t xml:space="preserve">Division A - Physical Hazards (7 categories)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3480"/>
        <w:gridCol w:w="3480"/>
        <w:tblGridChange w:id="0">
          <w:tblGrid>
            <w:gridCol w:w="400"/>
            <w:gridCol w:w="2000"/>
            <w:gridCol w:w="3480"/>
            <w:gridCol w:w="34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Pr>
                <w:rFonts w:ascii="Arial" w:cs="Arial" w:eastAsia="Arial" w:hAnsi="Arial"/>
                <w:b w:val="1"/>
                <w:bCs w:val="1"/>
                <w:color w:val="ffffff"/>
                <w:sz w:val="18"/>
                <w:szCs w:val="18"/>
                <w:rtl w:val="0"/>
              </w:rPr>
              <w:t xml:space="preserve">ID</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Pr>
                <w:rFonts w:ascii="Arial" w:cs="Arial" w:eastAsia="Arial" w:hAnsi="Arial"/>
                <w:b w:val="1"/>
                <w:bCs w:val="1"/>
                <w:color w:val="ffffff"/>
                <w:sz w:val="18"/>
                <w:szCs w:val="18"/>
                <w:rtl w:val="0"/>
              </w:rPr>
              <w:t xml:space="preserve">Category</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Pr>
                <w:rFonts w:ascii="Arial" w:cs="Arial" w:eastAsia="Arial" w:hAnsi="Arial"/>
                <w:b w:val="1"/>
                <w:bCs w:val="1"/>
                <w:color w:val="ffffff"/>
                <w:sz w:val="18"/>
                <w:szCs w:val="18"/>
                <w:rtl w:val="0"/>
              </w:rPr>
              <w:t xml:space="preserve">Definition</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Pr>
                <w:rFonts w:ascii="Arial" w:cs="Arial" w:eastAsia="Arial" w:hAnsi="Arial"/>
                <w:b w:val="1"/>
                <w:bCs w:val="1"/>
                <w:color w:val="ffffff"/>
                <w:sz w:val="18"/>
                <w:szCs w:val="18"/>
                <w:rtl w:val="0"/>
              </w:rPr>
              <w:t xml:space="preserve">GHS Pictogram / Signal Word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b w:val="1"/>
                <w:bCs w:val="1"/>
                <w:color w:val="1b3a6b"/>
                <w:sz w:val="18"/>
                <w:szCs w:val="18"/>
                <w:rtl w:val="0"/>
              </w:rPr>
              <w:t xml:space="preserve">A1</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b w:val="0"/>
                <w:bCs w:val="0"/>
                <w:color w:val="0f172a"/>
                <w:sz w:val="18"/>
                <w:szCs w:val="18"/>
                <w:rtl w:val="0"/>
              </w:rPr>
              <w:t xml:space="preserve">Flammable Liquids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b w:val="0"/>
                <w:bCs w:val="0"/>
                <w:color w:val="0f172a"/>
                <w:sz w:val="18"/>
                <w:szCs w:val="18"/>
                <w:rtl w:val="0"/>
              </w:rPr>
              <w:t xml:space="preserve">Liquids with flash point below 60°C. Includes gasoline, ethanol, acetone.</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b w:val="0"/>
                <w:bCs w:val="0"/>
                <w:color w:val="0f172a"/>
                <w:sz w:val="18"/>
                <w:szCs w:val="18"/>
                <w:rtl w:val="0"/>
              </w:rPr>
              <w:t xml:space="preserve">Flame / DANGER (FP &lt; 23°C) or 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b w:val="1"/>
                <w:bCs w:val="1"/>
                <w:color w:val="1b3a6b"/>
                <w:sz w:val="18"/>
                <w:szCs w:val="18"/>
                <w:rtl w:val="0"/>
              </w:rPr>
              <w:t xml:space="preserve">A2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b w:val="0"/>
                <w:bCs w:val="0"/>
                <w:color w:val="0f172a"/>
                <w:sz w:val="18"/>
                <w:szCs w:val="18"/>
                <w:rtl w:val="0"/>
              </w:rPr>
              <w:t xml:space="preserve">Flammable Solids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b w:val="0"/>
                <w:bCs w:val="0"/>
                <w:color w:val="0f172a"/>
                <w:sz w:val="18"/>
                <w:szCs w:val="18"/>
                <w:rtl w:val="0"/>
              </w:rPr>
              <w:t xml:space="preserve">Solids that combust readily or contribute to fire by friction.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b w:val="0"/>
                <w:bCs w:val="0"/>
                <w:color w:val="0f172a"/>
                <w:sz w:val="18"/>
                <w:szCs w:val="18"/>
                <w:rtl w:val="0"/>
              </w:rPr>
              <w:t xml:space="preserve">Flame / 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3">
            <w:pPr>
              <w:rPr/>
            </w:pPr>
            <w:r>
              <w:rPr>
                <w:rFonts w:ascii="Arial" w:cs="Arial" w:eastAsia="Arial" w:hAnsi="Arial"/>
                <w:b w:val="1"/>
                <w:bCs w:val="1"/>
                <w:color w:val="1b3a6b"/>
                <w:sz w:val="18"/>
                <w:szCs w:val="18"/>
                <w:rtl w:val="0"/>
              </w:rPr>
              <w:t xml:space="preserve">A3</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b w:val="0"/>
                <w:bCs w:val="0"/>
                <w:color w:val="0f172a"/>
                <w:sz w:val="18"/>
                <w:szCs w:val="18"/>
                <w:rtl w:val="0"/>
              </w:rPr>
              <w:t xml:space="preserve">Self-Reactive Substances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b w:val="0"/>
                <w:bCs w:val="0"/>
                <w:color w:val="0f172a"/>
                <w:sz w:val="18"/>
                <w:szCs w:val="18"/>
                <w:rtl w:val="0"/>
              </w:rPr>
              <w:t xml:space="preserve">Thermally unstable substances liable to undergo exothermic decomposition.</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b w:val="0"/>
                <w:bCs w:val="0"/>
                <w:color w:val="0f172a"/>
                <w:sz w:val="18"/>
                <w:szCs w:val="18"/>
                <w:rtl w:val="0"/>
              </w:rPr>
              <w:t xml:space="preserve">Exploding bomb or Flame / DANGER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b w:val="1"/>
                <w:bCs w:val="1"/>
                <w:color w:val="1b3a6b"/>
                <w:sz w:val="18"/>
                <w:szCs w:val="18"/>
                <w:rtl w:val="0"/>
              </w:rPr>
              <w:t xml:space="preserve">A4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b w:val="0"/>
                <w:bCs w:val="0"/>
                <w:color w:val="0f172a"/>
                <w:sz w:val="18"/>
                <w:szCs w:val="18"/>
                <w:rtl w:val="0"/>
              </w:rPr>
              <w:t xml:space="preserve">Pyrophoric Substances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b w:val="0"/>
                <w:bCs w:val="0"/>
                <w:color w:val="0f172a"/>
                <w:sz w:val="18"/>
                <w:szCs w:val="18"/>
                <w:rtl w:val="0"/>
              </w:rPr>
              <w:t xml:space="preserve">Liquids or solids that ignite spontaneously in air within 5 minutes.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0"/>
                <w:bCs w:val="0"/>
                <w:color w:val="0f172a"/>
                <w:sz w:val="18"/>
                <w:szCs w:val="18"/>
                <w:rtl w:val="0"/>
              </w:rPr>
              <w:t xml:space="preserve">Flame / DANGER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b w:val="1"/>
                <w:bCs w:val="1"/>
                <w:color w:val="1b3a6b"/>
                <w:sz w:val="18"/>
                <w:szCs w:val="18"/>
                <w:rtl w:val="0"/>
              </w:rPr>
              <w:t xml:space="preserve">A5</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0"/>
                <w:bCs w:val="0"/>
                <w:color w:val="0f172a"/>
                <w:sz w:val="18"/>
                <w:szCs w:val="18"/>
                <w:rtl w:val="0"/>
              </w:rPr>
              <w:t xml:space="preserve">Oxidising Agents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b w:val="0"/>
                <w:bCs w:val="0"/>
                <w:color w:val="0f172a"/>
                <w:sz w:val="18"/>
                <w:szCs w:val="18"/>
                <w:rtl w:val="0"/>
              </w:rPr>
              <w:t xml:space="preserve">Substances that cause or contribute to the combustion of other materials.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b w:val="0"/>
                <w:bCs w:val="0"/>
                <w:color w:val="0f172a"/>
                <w:sz w:val="18"/>
                <w:szCs w:val="18"/>
                <w:rtl w:val="0"/>
              </w:rPr>
              <w:t xml:space="preserve">Flame over circle / DANGER or 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Pr>
                <w:rFonts w:ascii="Arial" w:cs="Arial" w:eastAsia="Arial" w:hAnsi="Arial"/>
                <w:b w:val="1"/>
                <w:bCs w:val="1"/>
                <w:color w:val="1b3a6b"/>
                <w:sz w:val="18"/>
                <w:szCs w:val="18"/>
                <w:rtl w:val="0"/>
              </w:rPr>
              <w:t xml:space="preserve">A6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0"/>
                <w:bCs w:val="0"/>
                <w:color w:val="0f172a"/>
                <w:sz w:val="18"/>
                <w:szCs w:val="18"/>
                <w:rtl w:val="0"/>
              </w:rPr>
              <w:t xml:space="preserve">Compressed Gases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0"/>
                <w:bCs w:val="0"/>
                <w:color w:val="0f172a"/>
                <w:sz w:val="18"/>
                <w:szCs w:val="18"/>
                <w:rtl w:val="0"/>
              </w:rPr>
              <w:t xml:space="preserve">Gases under pressure in containers, including liquefied and dissolved gases.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0"/>
                <w:bCs w:val="0"/>
                <w:color w:val="0f172a"/>
                <w:sz w:val="18"/>
                <w:szCs w:val="18"/>
                <w:rtl w:val="0"/>
              </w:rPr>
              <w:t xml:space="preserve">Gas cylinder / 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1"/>
                <w:bCs w:val="1"/>
                <w:color w:val="1b3a6b"/>
                <w:sz w:val="18"/>
                <w:szCs w:val="18"/>
                <w:rtl w:val="0"/>
              </w:rPr>
              <w:t xml:space="preserve">A7</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0"/>
                <w:bCs w:val="0"/>
                <w:color w:val="0f172a"/>
                <w:sz w:val="18"/>
                <w:szCs w:val="18"/>
                <w:rtl w:val="0"/>
              </w:rPr>
              <w:t xml:space="preserve">Explosives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color w:val="0f172a"/>
                <w:sz w:val="18"/>
                <w:szCs w:val="18"/>
                <w:rtl w:val="0"/>
              </w:rPr>
              <w:t xml:space="preserve">Substances capable of rapid gas release causing damage through pressure.</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0"/>
                <w:bCs w:val="0"/>
                <w:color w:val="0f172a"/>
                <w:sz w:val="18"/>
                <w:szCs w:val="18"/>
                <w:rtl w:val="0"/>
              </w:rPr>
              <w:t xml:space="preserve">Exploding bomb / DANGER</w:t>
            </w:r>
            <w:r>
              <w:rPr>
                <w:rtl w:val="0"/>
              </w:rPr>
            </w:r>
          </w:p>
        </w:tc>
      </w:tr>
    </w:tbl>
    <w:p w:rsidR="00000000" w:rsidDel="00000000" w:rsidP="00000000" w:rsidRDefault="00000000" w:rsidRPr="00000000" w14:paraId="00000037">
      <w:pPr>
        <w:spacing w:after="60" w:before="0" w:lineRule="auto"/>
        <w:rPr/>
      </w:pPr>
      <w:r>
        <w:rPr>
          <w:rtl w:val="0"/>
        </w:rPr>
      </w:r>
    </w:p>
    <w:p w:rsidR="00000000" w:rsidDel="00000000" w:rsidP="00000000" w:rsidRDefault="00000000" w:rsidRPr="00000000" w14:paraId="00000038">
      <w:pPr>
        <w:pStyle w:val="Heading2"/>
        <w:rPr/>
      </w:pPr>
      <w:r>
        <w:rPr>
          <w:rtl w:val="0"/>
        </w:rPr>
        <w:t xml:space="preserve">Division B: Health Hazards (8 categories)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380"/>
        <w:gridCol w:w="3380"/>
        <w:tblGridChange w:id="0">
          <w:tblGrid>
            <w:gridCol w:w="400"/>
            <w:gridCol w:w="2200"/>
            <w:gridCol w:w="3380"/>
            <w:gridCol w:w="33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0f766e"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Pr>
                <w:rFonts w:ascii="Arial" w:cs="Arial" w:eastAsia="Arial" w:hAnsi="Arial"/>
                <w:b w:val="1"/>
                <w:bCs w:val="1"/>
                <w:color w:val="ffffff"/>
                <w:sz w:val="18"/>
                <w:szCs w:val="18"/>
                <w:rtl w:val="0"/>
              </w:rPr>
              <w:t xml:space="preserve">ID</w:t>
            </w:r>
            <w:r>
              <w:rPr>
                <w:rtl w:val="0"/>
              </w:rPr>
            </w:r>
          </w:p>
        </w:tc>
        <w:tc>
          <w:tcPr>
            <w:tcBorders>
              <w:top w:color="1b3a6b" w:space="0" w:sz="4" w:val="single"/>
              <w:left w:color="1b3a6b" w:space="0" w:sz="4" w:val="single"/>
              <w:bottom w:color="1b3a6b" w:space="0" w:sz="4" w:val="single"/>
              <w:right w:color="1b3a6b" w:space="0" w:sz="4" w:val="single"/>
            </w:tcBorders>
            <w:shd w:fill="0f766e"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Pr>
                <w:rFonts w:ascii="Arial" w:cs="Arial" w:eastAsia="Arial" w:hAnsi="Arial"/>
                <w:b w:val="1"/>
                <w:bCs w:val="1"/>
                <w:color w:val="ffffff"/>
                <w:sz w:val="18"/>
                <w:szCs w:val="18"/>
                <w:rtl w:val="0"/>
              </w:rPr>
              <w:t xml:space="preserve">Category</w:t>
            </w:r>
            <w:r>
              <w:rPr>
                <w:rtl w:val="0"/>
              </w:rPr>
            </w:r>
          </w:p>
        </w:tc>
        <w:tc>
          <w:tcPr>
            <w:tcBorders>
              <w:top w:color="1b3a6b" w:space="0" w:sz="4" w:val="single"/>
              <w:left w:color="1b3a6b" w:space="0" w:sz="4" w:val="single"/>
              <w:bottom w:color="1b3a6b" w:space="0" w:sz="4" w:val="single"/>
              <w:right w:color="1b3a6b" w:space="0" w:sz="4" w:val="single"/>
            </w:tcBorders>
            <w:shd w:fill="0f766e"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Pr>
                <w:rFonts w:ascii="Arial" w:cs="Arial" w:eastAsia="Arial" w:hAnsi="Arial"/>
                <w:b w:val="1"/>
                <w:bCs w:val="1"/>
                <w:color w:val="ffffff"/>
                <w:sz w:val="18"/>
                <w:szCs w:val="18"/>
                <w:rtl w:val="0"/>
              </w:rPr>
              <w:t xml:space="preserve">Definition</w:t>
            </w:r>
            <w:r>
              <w:rPr>
                <w:rtl w:val="0"/>
              </w:rPr>
            </w:r>
          </w:p>
        </w:tc>
        <w:tc>
          <w:tcPr>
            <w:tcBorders>
              <w:top w:color="1b3a6b" w:space="0" w:sz="4" w:val="single"/>
              <w:left w:color="1b3a6b" w:space="0" w:sz="4" w:val="single"/>
              <w:bottom w:color="1b3a6b" w:space="0" w:sz="4" w:val="single"/>
              <w:right w:color="1b3a6b" w:space="0" w:sz="4" w:val="single"/>
            </w:tcBorders>
            <w:shd w:fill="0f766e"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Pr>
                <w:rFonts w:ascii="Arial" w:cs="Arial" w:eastAsia="Arial" w:hAnsi="Arial"/>
                <w:b w:val="1"/>
                <w:bCs w:val="1"/>
                <w:color w:val="ffffff"/>
                <w:sz w:val="18"/>
                <w:szCs w:val="18"/>
                <w:rtl w:val="0"/>
              </w:rPr>
              <w:t xml:space="preserve">Key Indicators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b w:val="1"/>
                <w:bCs w:val="1"/>
                <w:color w:val="0f766e"/>
                <w:sz w:val="18"/>
                <w:szCs w:val="18"/>
                <w:rtl w:val="0"/>
              </w:rPr>
              <w:t xml:space="preserve">B1</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b w:val="0"/>
                <w:bCs w:val="0"/>
                <w:color w:val="0f172a"/>
                <w:sz w:val="18"/>
                <w:szCs w:val="18"/>
                <w:rtl w:val="0"/>
              </w:rPr>
              <w:t xml:space="preserve">Acute Toxicity (Oral)</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b w:val="0"/>
                <w:bCs w:val="0"/>
                <w:color w:val="0f172a"/>
                <w:sz w:val="18"/>
                <w:szCs w:val="18"/>
                <w:rtl w:val="0"/>
              </w:rPr>
              <w:t xml:space="preserve">Fatal or harmful if swallowed. Classified LD50-based into categories </w:t>
            </w:r>
            <w:r>
              <w:rPr>
                <w:sz w:val="18"/>
                <w:szCs w:val="18"/>
                <w:rtl w:val="0"/>
              </w:rPr>
              <w:t xml:space="preserve">1-</w:t>
            </w:r>
            <w:r>
              <w:rPr>
                <w:rFonts w:ascii="Arial" w:cs="Arial" w:eastAsia="Arial" w:hAnsi="Arial"/>
                <w:b w:val="0"/>
                <w:bCs w:val="0"/>
                <w:color w:val="0f172a"/>
                <w:sz w:val="18"/>
                <w:szCs w:val="18"/>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b w:val="0"/>
                <w:bCs w:val="0"/>
                <w:color w:val="0f172a"/>
                <w:sz w:val="18"/>
                <w:szCs w:val="18"/>
                <w:rtl w:val="0"/>
              </w:rPr>
              <w:t xml:space="preserve">LD50 value, skull pictogram, DANGER/WARNING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b w:val="1"/>
                <w:bCs w:val="1"/>
                <w:color w:val="0f766e"/>
                <w:sz w:val="18"/>
                <w:szCs w:val="18"/>
                <w:rtl w:val="0"/>
              </w:rPr>
              <w:t xml:space="preserve">B2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b w:val="0"/>
                <w:bCs w:val="0"/>
                <w:color w:val="0f172a"/>
                <w:sz w:val="18"/>
                <w:szCs w:val="18"/>
                <w:rtl w:val="0"/>
              </w:rPr>
              <w:t xml:space="preserve">Acute Toxicity (Dermal)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b w:val="0"/>
                <w:bCs w:val="0"/>
                <w:color w:val="0f172a"/>
                <w:sz w:val="18"/>
                <w:szCs w:val="18"/>
                <w:rtl w:val="0"/>
              </w:rPr>
              <w:t xml:space="preserve">Fatal or harmful in contact with skin. Assessed via dermal LD50.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b w:val="0"/>
                <w:bCs w:val="0"/>
                <w:color w:val="0f172a"/>
                <w:sz w:val="18"/>
                <w:szCs w:val="18"/>
                <w:rtl w:val="0"/>
              </w:rPr>
              <w:t xml:space="preserve">Skull or exclamation pictogram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b w:val="1"/>
                <w:bCs w:val="1"/>
                <w:color w:val="0f766e"/>
                <w:sz w:val="18"/>
                <w:szCs w:val="18"/>
                <w:rtl w:val="0"/>
              </w:rPr>
              <w:t xml:space="preserve">B3</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b w:val="0"/>
                <w:bCs w:val="0"/>
                <w:color w:val="0f172a"/>
                <w:sz w:val="18"/>
                <w:szCs w:val="18"/>
                <w:rtl w:val="0"/>
              </w:rPr>
              <w:t xml:space="preserve">Acute Toxicity (Inhalation)</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b w:val="0"/>
                <w:bCs w:val="0"/>
                <w:color w:val="0f172a"/>
                <w:sz w:val="18"/>
                <w:szCs w:val="18"/>
                <w:rtl w:val="0"/>
              </w:rPr>
              <w:t xml:space="preserve">Fatal or harmful if inhaled. LC50-based assessment.</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b w:val="0"/>
                <w:bCs w:val="0"/>
                <w:color w:val="0f172a"/>
                <w:sz w:val="18"/>
                <w:szCs w:val="18"/>
                <w:rtl w:val="0"/>
              </w:rPr>
              <w:t xml:space="preserve">LC50 value, route of exposure noted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b w:val="1"/>
                <w:bCs w:val="1"/>
                <w:color w:val="0f766e"/>
                <w:sz w:val="18"/>
                <w:szCs w:val="18"/>
                <w:rtl w:val="0"/>
              </w:rPr>
              <w:t xml:space="preserve">B4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b w:val="0"/>
                <w:bCs w:val="0"/>
                <w:color w:val="0f172a"/>
                <w:sz w:val="18"/>
                <w:szCs w:val="18"/>
                <w:rtl w:val="0"/>
              </w:rPr>
              <w:t xml:space="preserve">Skin Corrosion/Irritation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b w:val="0"/>
                <w:bCs w:val="0"/>
                <w:color w:val="0f172a"/>
                <w:sz w:val="18"/>
                <w:szCs w:val="18"/>
                <w:rtl w:val="0"/>
              </w:rPr>
              <w:t xml:space="preserve">Irreversible or reversible skin damage on application.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b w:val="0"/>
                <w:bCs w:val="0"/>
                <w:color w:val="0f172a"/>
                <w:sz w:val="18"/>
                <w:szCs w:val="18"/>
                <w:rtl w:val="0"/>
              </w:rPr>
              <w:t xml:space="preserve">Corrosion or exclamation pictogram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b w:val="1"/>
                <w:bCs w:val="1"/>
                <w:color w:val="0f766e"/>
                <w:sz w:val="18"/>
                <w:szCs w:val="18"/>
                <w:rtl w:val="0"/>
              </w:rPr>
              <w:t xml:space="preserve">B5</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0"/>
                <w:bCs w:val="0"/>
                <w:color w:val="0f172a"/>
                <w:sz w:val="18"/>
                <w:szCs w:val="18"/>
                <w:rtl w:val="0"/>
              </w:rPr>
              <w:t xml:space="preserve">Serious Eye Damage/Irritation</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b w:val="0"/>
                <w:bCs w:val="0"/>
                <w:color w:val="0f172a"/>
                <w:sz w:val="18"/>
                <w:szCs w:val="18"/>
                <w:rtl w:val="0"/>
              </w:rPr>
              <w:t xml:space="preserve">Irreversible damage to eye tissue or reversible corneal inflammation.</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0"/>
                <w:bCs w:val="0"/>
                <w:color w:val="0f172a"/>
                <w:sz w:val="18"/>
                <w:szCs w:val="18"/>
                <w:rtl w:val="0"/>
              </w:rPr>
              <w:t xml:space="preserve">Corrosion or exclamation pictogram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1"/>
                <w:bCs w:val="1"/>
                <w:color w:val="0f766e"/>
                <w:sz w:val="18"/>
                <w:szCs w:val="18"/>
                <w:rtl w:val="0"/>
              </w:rPr>
              <w:t xml:space="preserve">B6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0"/>
                <w:bCs w:val="0"/>
                <w:color w:val="0f172a"/>
                <w:sz w:val="18"/>
                <w:szCs w:val="18"/>
                <w:rtl w:val="0"/>
              </w:rPr>
              <w:t xml:space="preserve">Respiratory Sensitisers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b w:val="0"/>
                <w:bCs w:val="0"/>
                <w:color w:val="0f172a"/>
                <w:sz w:val="18"/>
                <w:szCs w:val="18"/>
                <w:rtl w:val="0"/>
              </w:rPr>
              <w:t xml:space="preserve">Cause hypersensitivity of airways following inhalation.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0"/>
                <w:bCs w:val="0"/>
                <w:color w:val="0f172a"/>
                <w:sz w:val="18"/>
                <w:szCs w:val="18"/>
                <w:rtl w:val="0"/>
              </w:rPr>
              <w:t xml:space="preserve">Health hazard pictogram / DANGER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b w:val="1"/>
                <w:bCs w:val="1"/>
                <w:color w:val="0f766e"/>
                <w:sz w:val="18"/>
                <w:szCs w:val="18"/>
                <w:rtl w:val="0"/>
              </w:rPr>
              <w:t xml:space="preserve">B7</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b w:val="0"/>
                <w:bCs w:val="0"/>
                <w:color w:val="0f172a"/>
                <w:sz w:val="18"/>
                <w:szCs w:val="18"/>
                <w:rtl w:val="0"/>
              </w:rPr>
              <w:t xml:space="preserve">Carcinogenicity</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b w:val="0"/>
                <w:bCs w:val="0"/>
                <w:color w:val="0f172a"/>
                <w:sz w:val="18"/>
                <w:szCs w:val="18"/>
                <w:rtl w:val="0"/>
              </w:rPr>
              <w:t xml:space="preserve">Known or suspected to induce cancer. IARC Group 1/2A/2B.</w:t>
            </w:r>
            <w:r>
              <w:rPr>
                <w:rtl w:val="0"/>
              </w:rPr>
            </w:r>
          </w:p>
        </w:tc>
        <w:tc>
          <w:tcPr>
            <w:tcBorders>
              <w:top w:color="cccccc" w:space="0" w:sz="4" w:val="single"/>
              <w:left w:color="cccccc" w:space="0" w:sz="4" w:val="single"/>
              <w:bottom w:color="cccccc" w:space="0" w:sz="4" w:val="single"/>
              <w:right w:color="cccccc" w:space="0" w:sz="4" w:val="single"/>
            </w:tcBorders>
            <w:shd w:fill="ccfbf1" w:val="clear"/>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b w:val="0"/>
                <w:bCs w:val="0"/>
                <w:color w:val="0f172a"/>
                <w:sz w:val="18"/>
                <w:szCs w:val="18"/>
                <w:rtl w:val="0"/>
              </w:rPr>
              <w:t xml:space="preserve">Health hazard / WARNING or DANGER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b w:val="1"/>
                <w:bCs w:val="1"/>
                <w:color w:val="0f766e"/>
                <w:sz w:val="18"/>
                <w:szCs w:val="18"/>
                <w:rtl w:val="0"/>
              </w:rPr>
              <w:t xml:space="preserve">B8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b w:val="0"/>
                <w:bCs w:val="0"/>
                <w:color w:val="0f172a"/>
                <w:sz w:val="18"/>
                <w:szCs w:val="18"/>
                <w:rtl w:val="0"/>
              </w:rPr>
              <w:t xml:space="preserve">Reproductive Toxicity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b w:val="0"/>
                <w:bCs w:val="0"/>
                <w:color w:val="0f172a"/>
                <w:sz w:val="18"/>
                <w:szCs w:val="18"/>
                <w:rtl w:val="0"/>
              </w:rPr>
              <w:t xml:space="preserve">Adverse effects on sexual function, fertility or foetal development.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b w:val="0"/>
                <w:bCs w:val="0"/>
                <w:color w:val="0f172a"/>
                <w:sz w:val="18"/>
                <w:szCs w:val="18"/>
                <w:rtl w:val="0"/>
              </w:rPr>
              <w:t xml:space="preserve">Health hazard / DANGER or WARNING</w:t>
            </w:r>
            <w:r>
              <w:rPr>
                <w:rtl w:val="0"/>
              </w:rPr>
            </w:r>
          </w:p>
        </w:tc>
      </w:tr>
    </w:tbl>
    <w:p w:rsidR="00000000" w:rsidDel="00000000" w:rsidP="00000000" w:rsidRDefault="00000000" w:rsidRPr="00000000" w14:paraId="0000005D">
      <w:pPr>
        <w:spacing w:after="60" w:before="0" w:lineRule="auto"/>
        <w:rPr/>
      </w:pPr>
      <w:r>
        <w:rPr>
          <w:rtl w:val="0"/>
        </w:rPr>
      </w:r>
    </w:p>
    <w:p w:rsidR="00000000" w:rsidDel="00000000" w:rsidP="00000000" w:rsidRDefault="00000000" w:rsidRPr="00000000" w14:paraId="0000005E">
      <w:pPr>
        <w:pStyle w:val="Heading2"/>
        <w:rPr/>
      </w:pPr>
      <w:r>
        <w:rPr>
          <w:rtl w:val="0"/>
        </w:rPr>
        <w:t xml:space="preserve">Division C: Environmental Hazards (3 categories)</w:t>
      </w:r>
    </w:p>
    <w:p w:rsidR="00000000" w:rsidDel="00000000" w:rsidP="00000000" w:rsidRDefault="00000000" w:rsidRPr="00000000" w14:paraId="0000005F">
      <w:pPr>
        <w:pStyle w:val="Heading3"/>
        <w:rPr/>
      </w:pPr>
      <w:r>
        <w:rPr>
          <w:rtl w:val="0"/>
        </w:rPr>
        <w:t xml:space="preserve">C1 - Acute Aquatic Toxicity</w:t>
      </w:r>
    </w:p>
    <w:p w:rsidR="00000000" w:rsidDel="00000000" w:rsidP="00000000" w:rsidRDefault="00000000" w:rsidRPr="00000000" w14:paraId="00000060">
      <w:pPr>
        <w:spacing w:after="60" w:before="40" w:lineRule="auto"/>
        <w:jc w:val="left"/>
        <w:rPr/>
      </w:pPr>
      <w:r>
        <w:rPr>
          <w:rFonts w:ascii="Arial" w:cs="Arial" w:eastAsia="Arial" w:hAnsi="Arial"/>
          <w:b w:val="0"/>
          <w:bCs w:val="0"/>
          <w:i w:val="0"/>
          <w:iCs w:val="0"/>
          <w:color w:val="0f172a"/>
          <w:sz w:val="20"/>
          <w:szCs w:val="20"/>
          <w:rtl w:val="0"/>
        </w:rPr>
        <w:t xml:space="preserve">LC50 or EC50 value ≤ 1 mg/L for fish, crustaceans, or algae. Applies to substances that cause immediate harm to aquatic organisms. Most commonly encountered with industrial solvents, heavy metal compounds, and chlorinated hydrocarbons.</w:t>
      </w:r>
      <w:r>
        <w:rPr>
          <w:rtl w:val="0"/>
        </w:rPr>
      </w:r>
    </w:p>
    <w:p w:rsidR="00000000" w:rsidDel="00000000" w:rsidP="00000000" w:rsidRDefault="00000000" w:rsidRPr="00000000" w14:paraId="00000061">
      <w:pPr>
        <w:spacing w:after="60" w:before="0" w:lineRule="auto"/>
        <w:rPr/>
      </w:pPr>
      <w:r>
        <w:rPr>
          <w:rtl w:val="0"/>
        </w:rPr>
      </w:r>
    </w:p>
    <w:p w:rsidR="00000000" w:rsidDel="00000000" w:rsidP="00000000" w:rsidRDefault="00000000" w:rsidRPr="00000000" w14:paraId="00000062">
      <w:pPr>
        <w:pStyle w:val="Heading3"/>
        <w:rPr/>
      </w:pPr>
      <w:r>
        <w:rPr>
          <w:rtl w:val="0"/>
        </w:rPr>
        <w:t xml:space="preserve">C2 - Chronic Aquatic Toxicity</w:t>
      </w:r>
    </w:p>
    <w:p w:rsidR="00000000" w:rsidDel="00000000" w:rsidP="00000000" w:rsidRDefault="00000000" w:rsidRPr="00000000" w14:paraId="00000063">
      <w:pPr>
        <w:spacing w:after="60" w:before="40" w:lineRule="auto"/>
        <w:jc w:val="left"/>
        <w:rPr/>
      </w:pPr>
      <w:r>
        <w:rPr>
          <w:rFonts w:ascii="Arial" w:cs="Arial" w:eastAsia="Arial" w:hAnsi="Arial"/>
          <w:b w:val="0"/>
          <w:bCs w:val="0"/>
          <w:i w:val="0"/>
          <w:iCs w:val="0"/>
          <w:color w:val="0f172a"/>
          <w:sz w:val="20"/>
          <w:szCs w:val="20"/>
          <w:rtl w:val="0"/>
        </w:rPr>
        <w:t xml:space="preserve">Substances not classified as acutely toxic but capable of causing long-term effects at ≤ 1 mg/L. Includes substances with low degradability or bioaccumulation potential.</w:t>
      </w:r>
      <w:r>
        <w:rPr>
          <w:rtl w:val="0"/>
        </w:rPr>
      </w:r>
    </w:p>
    <w:p w:rsidR="00000000" w:rsidDel="00000000" w:rsidP="00000000" w:rsidRDefault="00000000" w:rsidRPr="00000000" w14:paraId="00000064">
      <w:pPr>
        <w:spacing w:after="60" w:before="0" w:lineRule="auto"/>
        <w:rPr/>
      </w:pPr>
      <w:r>
        <w:rPr>
          <w:rtl w:val="0"/>
        </w:rPr>
      </w:r>
    </w:p>
    <w:p w:rsidR="00000000" w:rsidDel="00000000" w:rsidP="00000000" w:rsidRDefault="00000000" w:rsidRPr="00000000" w14:paraId="00000065">
      <w:pPr>
        <w:pStyle w:val="Heading3"/>
        <w:rPr/>
      </w:pPr>
      <w:r>
        <w:rPr>
          <w:rtl w:val="0"/>
        </w:rPr>
        <w:t xml:space="preserve">C3 - Ozone-Depleting Substances</w:t>
      </w:r>
    </w:p>
    <w:p w:rsidR="00000000" w:rsidDel="00000000" w:rsidP="00000000" w:rsidRDefault="00000000" w:rsidRPr="00000000" w14:paraId="00000066">
      <w:pPr>
        <w:spacing w:after="60" w:before="40" w:lineRule="auto"/>
        <w:jc w:val="left"/>
        <w:rPr/>
      </w:pPr>
      <w:r>
        <w:rPr>
          <w:rFonts w:ascii="Arial" w:cs="Arial" w:eastAsia="Arial" w:hAnsi="Arial"/>
          <w:b w:val="0"/>
          <w:bCs w:val="0"/>
          <w:i w:val="0"/>
          <w:iCs w:val="0"/>
          <w:color w:val="0f172a"/>
          <w:sz w:val="20"/>
          <w:szCs w:val="20"/>
          <w:rtl w:val="0"/>
        </w:rPr>
        <w:t xml:space="preserve">Halogenated compounds that catalyse stratospheric ozone destruction. Classified per Montreal Protocol Annexes. Rare in modern industrial use but encountered in legacy equipment.</w:t>
      </w:r>
      <w:r>
        <w:rPr>
          <w:rtl w:val="0"/>
        </w:rPr>
      </w:r>
    </w:p>
    <w:p w:rsidR="00000000" w:rsidDel="00000000" w:rsidP="00000000" w:rsidRDefault="00000000" w:rsidRPr="00000000" w14:paraId="00000067">
      <w:pPr>
        <w:spacing w:after="60" w:before="0" w:lineRule="auto"/>
        <w:rPr/>
      </w:pPr>
      <w:r>
        <w:rPr>
          <w:rtl w:val="0"/>
        </w:rPr>
      </w:r>
    </w:p>
    <w:p w:rsidR="00000000" w:rsidDel="00000000" w:rsidP="00000000" w:rsidRDefault="00000000" w:rsidRPr="00000000" w14:paraId="00000068">
      <w:pPr>
        <w:pStyle w:val="Heading2"/>
        <w:rPr/>
      </w:pPr>
      <w:r>
        <w:rPr>
          <w:rtl w:val="0"/>
        </w:rPr>
        <w:t xml:space="preserve">Division D - Mixed/Combination Hazards (3 categories)</w:t>
      </w:r>
    </w:p>
    <w:p w:rsidR="00000000" w:rsidDel="00000000" w:rsidP="00000000" w:rsidRDefault="00000000" w:rsidRPr="00000000" w14:paraId="00000069">
      <w:pPr>
        <w:spacing w:after="60" w:before="40" w:lineRule="auto"/>
        <w:jc w:val="left"/>
        <w:rPr/>
      </w:pPr>
      <w:r>
        <w:rPr>
          <w:rFonts w:ascii="Arial" w:cs="Arial" w:eastAsia="Arial" w:hAnsi="Arial"/>
          <w:b w:val="0"/>
          <w:bCs w:val="0"/>
          <w:i w:val="0"/>
          <w:iCs w:val="0"/>
          <w:color w:val="0f172a"/>
          <w:sz w:val="20"/>
          <w:szCs w:val="20"/>
          <w:rtl w:val="0"/>
        </w:rPr>
        <w:t xml:space="preserve">These categories cover substances presenting multiple simultaneous hazard classifications. Annotators must assign the primary hazard first and note secondary classifications in the metadata.</w:t>
      </w:r>
      <w:r>
        <w:rPr>
          <w:rtl w:val="0"/>
        </w:rPr>
      </w:r>
    </w:p>
    <w:p w:rsidR="00000000" w:rsidDel="00000000" w:rsidP="00000000" w:rsidRDefault="00000000" w:rsidRPr="00000000" w14:paraId="0000006A">
      <w:pPr>
        <w:pStyle w:val="Heading3"/>
        <w:rPr/>
      </w:pPr>
      <w:r>
        <w:rPr>
          <w:rtl w:val="0"/>
        </w:rPr>
        <w:t xml:space="preserve">D1 - Flammable + Toxic</w:t>
      </w:r>
    </w:p>
    <w:p w:rsidR="00000000" w:rsidDel="00000000" w:rsidP="00000000" w:rsidRDefault="00000000" w:rsidRPr="00000000" w14:paraId="0000006B">
      <w:pPr>
        <w:spacing w:after="60" w:before="40" w:lineRule="auto"/>
        <w:jc w:val="left"/>
        <w:rPr/>
      </w:pPr>
      <w:r>
        <w:rPr>
          <w:rFonts w:ascii="Arial" w:cs="Arial" w:eastAsia="Arial" w:hAnsi="Arial"/>
          <w:b w:val="0"/>
          <w:bCs w:val="0"/>
          <w:i w:val="0"/>
          <w:iCs w:val="0"/>
          <w:color w:val="0f172a"/>
          <w:sz w:val="20"/>
          <w:szCs w:val="20"/>
          <w:rtl w:val="0"/>
        </w:rPr>
        <w:t xml:space="preserve">Substances presenting both flash point below 60°C and LD50-based toxicity. Common examples include methanol (toxic, flammable) and many organophosphate solvents.</w:t>
      </w:r>
      <w:r>
        <w:rPr>
          <w:rtl w:val="0"/>
        </w:rPr>
      </w:r>
    </w:p>
    <w:p w:rsidR="00000000" w:rsidDel="00000000" w:rsidP="00000000" w:rsidRDefault="00000000" w:rsidRPr="00000000" w14:paraId="0000006C">
      <w:pPr>
        <w:spacing w:after="60" w:before="0" w:lineRule="auto"/>
        <w:rPr/>
      </w:pPr>
      <w:r>
        <w:rPr>
          <w:rtl w:val="0"/>
        </w:rPr>
      </w:r>
    </w:p>
    <w:p w:rsidR="00000000" w:rsidDel="00000000" w:rsidP="00000000" w:rsidRDefault="00000000" w:rsidRPr="00000000" w14:paraId="0000006D">
      <w:pPr>
        <w:pStyle w:val="Heading3"/>
        <w:rPr/>
      </w:pPr>
      <w:r>
        <w:rPr>
          <w:rtl w:val="0"/>
        </w:rPr>
        <w:t xml:space="preserve">D2 - Corrosive + Oxidising</w:t>
      </w:r>
    </w:p>
    <w:p w:rsidR="00000000" w:rsidDel="00000000" w:rsidP="00000000" w:rsidRDefault="00000000" w:rsidRPr="00000000" w14:paraId="0000006E">
      <w:pPr>
        <w:spacing w:after="60" w:before="40" w:lineRule="auto"/>
        <w:jc w:val="left"/>
        <w:rPr/>
      </w:pPr>
      <w:r>
        <w:rPr>
          <w:rFonts w:ascii="Arial" w:cs="Arial" w:eastAsia="Arial" w:hAnsi="Arial"/>
          <w:b w:val="0"/>
          <w:bCs w:val="0"/>
          <w:i w:val="0"/>
          <w:iCs w:val="0"/>
          <w:color w:val="0f172a"/>
          <w:sz w:val="20"/>
          <w:szCs w:val="20"/>
          <w:rtl w:val="0"/>
        </w:rPr>
        <w:t xml:space="preserve">Compounds with dual corrosive and oxidising properties. Concentrated sulphuric acid and nitric acid are typical representatives.</w:t>
      </w:r>
      <w:r>
        <w:rPr>
          <w:rtl w:val="0"/>
        </w:rPr>
      </w:r>
    </w:p>
    <w:p w:rsidR="00000000" w:rsidDel="00000000" w:rsidP="00000000" w:rsidRDefault="00000000" w:rsidRPr="00000000" w14:paraId="0000006F">
      <w:pPr>
        <w:spacing w:after="60" w:before="0" w:lineRule="auto"/>
        <w:rPr/>
      </w:pPr>
      <w:r>
        <w:rPr>
          <w:rtl w:val="0"/>
        </w:rPr>
      </w:r>
    </w:p>
    <w:p w:rsidR="00000000" w:rsidDel="00000000" w:rsidP="00000000" w:rsidRDefault="00000000" w:rsidRPr="00000000" w14:paraId="00000070">
      <w:pPr>
        <w:pStyle w:val="Heading3"/>
        <w:rPr/>
      </w:pPr>
      <w:r>
        <w:rPr>
          <w:rtl w:val="0"/>
        </w:rPr>
        <w:t xml:space="preserve">D3 - Sensitiser + Carcinogen</w:t>
      </w:r>
    </w:p>
    <w:p w:rsidR="00000000" w:rsidDel="00000000" w:rsidP="00000000" w:rsidRDefault="00000000" w:rsidRPr="00000000" w14:paraId="00000071">
      <w:pPr>
        <w:spacing w:after="60" w:before="40" w:lineRule="auto"/>
        <w:jc w:val="left"/>
        <w:rPr/>
      </w:pPr>
      <w:r>
        <w:rPr>
          <w:rFonts w:ascii="Arial" w:cs="Arial" w:eastAsia="Arial" w:hAnsi="Arial"/>
          <w:b w:val="0"/>
          <w:bCs w:val="0"/>
          <w:i w:val="0"/>
          <w:iCs w:val="0"/>
          <w:color w:val="0f172a"/>
          <w:sz w:val="20"/>
          <w:szCs w:val="20"/>
          <w:rtl w:val="0"/>
        </w:rPr>
        <w:t xml:space="preserve">Substances that are both respiratory/skin sensitisers and classified carcinogens. Requires dual GHS pictogram labeling and separate annotation entries.</w:t>
      </w:r>
      <w:r>
        <w:rPr>
          <w:rtl w:val="0"/>
        </w:rPr>
      </w:r>
    </w:p>
    <w:p w:rsidR="00000000" w:rsidDel="00000000" w:rsidP="00000000" w:rsidRDefault="00000000" w:rsidRPr="00000000" w14:paraId="00000072">
      <w:pPr>
        <w:spacing w:after="60" w:before="0" w:lineRule="auto"/>
        <w:rPr/>
      </w:pPr>
      <w:r>
        <w:rPr>
          <w:rtl w:val="0"/>
        </w:rPr>
      </w:r>
    </w:p>
    <w:p w:rsidR="00000000" w:rsidDel="00000000" w:rsidP="00000000" w:rsidRDefault="00000000" w:rsidRPr="00000000" w14:paraId="00000073">
      <w:pPr>
        <w:pStyle w:val="Heading2"/>
        <w:rPr/>
      </w:pPr>
      <w:r>
        <w:rPr>
          <w:rtl w:val="0"/>
        </w:rPr>
        <w:t xml:space="preserve">Division E - Special Regulatory Categories (2 categories)</w:t>
      </w:r>
    </w:p>
    <w:p w:rsidR="00000000" w:rsidDel="00000000" w:rsidP="00000000" w:rsidRDefault="00000000" w:rsidRPr="00000000" w14:paraId="00000074">
      <w:pPr>
        <w:pStyle w:val="Heading3"/>
        <w:rPr/>
      </w:pPr>
      <w:r>
        <w:rPr>
          <w:rtl w:val="0"/>
        </w:rPr>
        <w:t xml:space="preserve">E1 - Substance of Very High Concern (SVHC)</w:t>
      </w:r>
    </w:p>
    <w:p w:rsidR="00000000" w:rsidDel="00000000" w:rsidP="00000000" w:rsidRDefault="00000000" w:rsidRPr="00000000" w14:paraId="00000075">
      <w:pPr>
        <w:spacing w:after="60" w:before="40" w:lineRule="auto"/>
        <w:jc w:val="left"/>
        <w:rPr/>
      </w:pPr>
      <w:r>
        <w:rPr>
          <w:rFonts w:ascii="Arial" w:cs="Arial" w:eastAsia="Arial" w:hAnsi="Arial"/>
          <w:b w:val="0"/>
          <w:bCs w:val="0"/>
          <w:i w:val="0"/>
          <w:iCs w:val="0"/>
          <w:color w:val="0f172a"/>
          <w:sz w:val="20"/>
          <w:szCs w:val="20"/>
          <w:rtl w:val="0"/>
        </w:rPr>
        <w:t xml:space="preserve">Substances meeting REACH Annex XIV criteria. Includes CMR substances (carcinogenic, mutagenic, reprotoxic), PBT (persistent, bioaccumulative, toxic), or vPvB substances. Requires specific regulatory labeling distinct from standard GHS.</w:t>
      </w:r>
      <w:r>
        <w:rPr>
          <w:rtl w:val="0"/>
        </w:rPr>
      </w:r>
    </w:p>
    <w:p w:rsidR="00000000" w:rsidDel="00000000" w:rsidP="00000000" w:rsidRDefault="00000000" w:rsidRPr="00000000" w14:paraId="00000076">
      <w:pPr>
        <w:spacing w:after="60" w:before="0" w:lineRule="auto"/>
        <w:rPr/>
      </w:pPr>
      <w:r>
        <w:rPr>
          <w:rtl w:val="0"/>
        </w:rPr>
      </w:r>
    </w:p>
    <w:p w:rsidR="00000000" w:rsidDel="00000000" w:rsidP="00000000" w:rsidRDefault="00000000" w:rsidRPr="00000000" w14:paraId="00000077">
      <w:pPr>
        <w:pStyle w:val="Heading3"/>
        <w:rPr/>
      </w:pPr>
      <w:r>
        <w:rPr>
          <w:rtl w:val="0"/>
        </w:rPr>
        <w:t xml:space="preserve">E2 - Unlabelled/Unknown Hazard</w:t>
      </w:r>
    </w:p>
    <w:p w:rsidR="00000000" w:rsidDel="00000000" w:rsidP="00000000" w:rsidRDefault="00000000" w:rsidRPr="00000000" w14:paraId="00000078">
      <w:pPr>
        <w:spacing w:after="60" w:before="40" w:lineRule="auto"/>
        <w:jc w:val="left"/>
        <w:rPr/>
      </w:pPr>
      <w:r>
        <w:rPr>
          <w:rFonts w:ascii="Arial" w:cs="Arial" w:eastAsia="Arial" w:hAnsi="Arial"/>
          <w:b w:val="0"/>
          <w:bCs w:val="0"/>
          <w:i w:val="0"/>
          <w:iCs w:val="0"/>
          <w:color w:val="0f172a"/>
          <w:sz w:val="20"/>
          <w:szCs w:val="20"/>
          <w:rtl w:val="0"/>
        </w:rPr>
        <w:t xml:space="preserve">Applied to substances lacking complete SDS documentation or where hazard classification is pending review. This category was added at revision 2.1 following repeated edge cases during the first industrial equipment project.</w:t>
      </w:r>
      <w:r>
        <w:rPr>
          <w:rtl w:val="0"/>
        </w:rPr>
      </w:r>
    </w:p>
    <w:p w:rsidR="00000000" w:rsidDel="00000000" w:rsidP="00000000" w:rsidRDefault="00000000" w:rsidRPr="00000000" w14:paraId="00000079">
      <w:pPr>
        <w:spacing w:after="60" w:before="0" w:lineRule="auto"/>
        <w:rPr/>
      </w:pPr>
      <w:r>
        <w:rPr>
          <w:rtl w:val="0"/>
        </w:rPr>
      </w:r>
    </w:p>
    <w:p w:rsidR="00000000" w:rsidDel="00000000" w:rsidP="00000000" w:rsidRDefault="00000000" w:rsidRPr="00000000" w14:paraId="0000007A">
      <w:pPr>
        <w:pStyle w:val="Heading1"/>
        <w:rPr/>
      </w:pPr>
      <w:r>
        <w:rPr>
          <w:rtl w:val="0"/>
        </w:rPr>
        <w:t xml:space="preserve">3. Annotation Decision Rules</w:t>
      </w:r>
    </w:p>
    <w:p w:rsidR="00000000" w:rsidDel="00000000" w:rsidP="00000000" w:rsidRDefault="00000000" w:rsidRPr="00000000" w14:paraId="0000007B">
      <w:pPr>
        <w:spacing w:after="60" w:before="40" w:lineRule="auto"/>
        <w:jc w:val="left"/>
        <w:rPr/>
      </w:pPr>
      <w:r>
        <w:rPr>
          <w:rFonts w:ascii="Arial" w:cs="Arial" w:eastAsia="Arial" w:hAnsi="Arial"/>
          <w:b w:val="0"/>
          <w:bCs w:val="0"/>
          <w:i w:val="0"/>
          <w:iCs w:val="0"/>
          <w:color w:val="0f172a"/>
          <w:sz w:val="20"/>
          <w:szCs w:val="20"/>
          <w:rtl w:val="0"/>
        </w:rPr>
        <w:t xml:space="preserve">The following rules govern category selection in ambiguous cases:</w:t>
      </w: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When a substance meets criteria for both Division A and Division B, annotate both and set primary category to whichever the SDS lists first under Section 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Division D categories take priority over individual A or B categories when the combination hazard is explicitly noted in the SDS.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E2 (Unknown Hazard) should only be applied when three or more mandatory SDS sections are missing or redacted.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Molecular structure annotations accompany every entry in categories B4 through B8 </w:t>
      </w:r>
      <w:r>
        <w:rPr>
          <w:rtl w:val="0"/>
        </w:rPr>
        <w:t xml:space="preserve">-</w:t>
      </w:r>
      <w:r>
        <w:rPr>
          <w:rFonts w:ascii="Arial" w:cs="Arial" w:eastAsia="Arial" w:hAnsi="Arial"/>
          <w:b w:val="0"/>
          <w:bCs w:val="0"/>
          <w:i w:val="0"/>
          <w:iCs w:val="0"/>
          <w:smallCaps w:val="0"/>
          <w:strike w:val="0"/>
          <w:color w:val="0f172a"/>
          <w:sz w:val="20"/>
          <w:szCs w:val="20"/>
          <w:u w:val="none"/>
          <w:shd w:fill="auto" w:val="clear"/>
          <w:vertAlign w:val="baseline"/>
          <w:rtl w:val="0"/>
        </w:rPr>
        <w:t xml:space="preserve"> structure image must be IUPAC-compliant.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GHS pictograms must be annotated using the standardised SVG library provided in the project toolkit, not freehand.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Signal word (DANGER vs WARNING) must be captured as a separate metadata field from the pictogram category.</w:t>
      </w:r>
    </w:p>
    <w:p w:rsidR="00000000" w:rsidDel="00000000" w:rsidP="00000000" w:rsidRDefault="00000000" w:rsidRPr="00000000" w14:paraId="00000082">
      <w:pPr>
        <w:spacing w:after="60" w:before="0" w:lineRule="auto"/>
        <w:rPr/>
      </w:pPr>
      <w:r>
        <w:rPr>
          <w:rtl w:val="0"/>
        </w:rPr>
      </w:r>
    </w:p>
    <w:p w:rsidR="00000000" w:rsidDel="00000000" w:rsidP="00000000" w:rsidRDefault="00000000" w:rsidRPr="00000000" w14:paraId="00000083">
      <w:pPr>
        <w:pStyle w:val="Heading1"/>
        <w:rPr/>
      </w:pPr>
      <w:r>
        <w:rPr>
          <w:rtl w:val="0"/>
        </w:rPr>
        <w:t xml:space="preserve">4. Inter-Annotator Agreement Notes</w:t>
      </w:r>
    </w:p>
    <w:p w:rsidR="00000000" w:rsidDel="00000000" w:rsidP="00000000" w:rsidRDefault="00000000" w:rsidRPr="00000000" w14:paraId="00000084">
      <w:pPr>
        <w:spacing w:after="60" w:before="40" w:lineRule="auto"/>
        <w:jc w:val="left"/>
        <w:rPr/>
      </w:pPr>
      <w:r>
        <w:rPr>
          <w:rFonts w:ascii="Arial" w:cs="Arial" w:eastAsia="Arial" w:hAnsi="Arial"/>
          <w:b w:val="0"/>
          <w:bCs w:val="0"/>
          <w:i w:val="0"/>
          <w:iCs w:val="0"/>
          <w:color w:val="0f172a"/>
          <w:sz w:val="20"/>
          <w:szCs w:val="20"/>
          <w:rtl w:val="0"/>
        </w:rPr>
        <w:t xml:space="preserve">During QA auditing across 12 projects using this taxonomy, the following categories consistently produced the lowest IAA scores and required the most guideline clarification:</w:t>
      </w: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B6 vs B7 (Respiratory Sensitiser vs Carcinogen) </w:t>
      </w:r>
      <w:r>
        <w:rPr>
          <w:rtl w:val="0"/>
        </w:rPr>
        <w:t xml:space="preserve">- </w:t>
      </w:r>
      <w:r>
        <w:rPr>
          <w:rFonts w:ascii="Arial" w:cs="Arial" w:eastAsia="Arial" w:hAnsi="Arial"/>
          <w:b w:val="0"/>
          <w:bCs w:val="0"/>
          <w:i w:val="0"/>
          <w:iCs w:val="0"/>
          <w:smallCaps w:val="0"/>
          <w:strike w:val="0"/>
          <w:color w:val="0f172a"/>
          <w:sz w:val="20"/>
          <w:szCs w:val="20"/>
          <w:u w:val="none"/>
          <w:shd w:fill="auto" w:val="clear"/>
          <w:vertAlign w:val="baseline"/>
          <w:rtl w:val="0"/>
        </w:rPr>
        <w:t xml:space="preserve">resolved by adding the rule that B6 requires confirmed bronchial hypersensitivity evidence in the SDS, not merely respiratory route of exposure.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C1 vs C2 (Acute vs Chronic Aquatic Toxicity) </w:t>
      </w:r>
      <w:r>
        <w:rPr>
          <w:rtl w:val="0"/>
        </w:rPr>
        <w:t xml:space="preserve">-</w:t>
      </w:r>
      <w:r>
        <w:rPr>
          <w:rFonts w:ascii="Arial" w:cs="Arial" w:eastAsia="Arial" w:hAnsi="Arial"/>
          <w:b w:val="0"/>
          <w:bCs w:val="0"/>
          <w:i w:val="0"/>
          <w:iCs w:val="0"/>
          <w:smallCaps w:val="0"/>
          <w:strike w:val="0"/>
          <w:color w:val="0f172a"/>
          <w:sz w:val="20"/>
          <w:szCs w:val="20"/>
          <w:u w:val="none"/>
          <w:shd w:fill="auto" w:val="clear"/>
          <w:vertAlign w:val="baseline"/>
          <w:rtl w:val="0"/>
        </w:rPr>
        <w:t xml:space="preserve"> resolved by making degradability the deciding factor when both acute and chronic data are present.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Pr>
          <w:rFonts w:ascii="Arial" w:cs="Arial" w:eastAsia="Arial" w:hAnsi="Arial"/>
          <w:b w:val="0"/>
          <w:bCs w:val="0"/>
          <w:i w:val="0"/>
          <w:iCs w:val="0"/>
          <w:smallCaps w:val="0"/>
          <w:strike w:val="0"/>
          <w:color w:val="0f172a"/>
          <w:sz w:val="20"/>
          <w:szCs w:val="20"/>
          <w:u w:val="none"/>
          <w:shd w:fill="auto" w:val="clear"/>
          <w:vertAlign w:val="baseline"/>
          <w:rtl w:val="0"/>
        </w:rPr>
        <w:t xml:space="preserve">D-category assignment </w:t>
      </w:r>
      <w:r>
        <w:rPr>
          <w:rtl w:val="0"/>
        </w:rPr>
        <w:t xml:space="preserve">-</w:t>
      </w:r>
      <w:r>
        <w:rPr>
          <w:rFonts w:ascii="Arial" w:cs="Arial" w:eastAsia="Arial" w:hAnsi="Arial"/>
          <w:b w:val="0"/>
          <w:bCs w:val="0"/>
          <w:i w:val="0"/>
          <w:iCs w:val="0"/>
          <w:smallCaps w:val="0"/>
          <w:strike w:val="0"/>
          <w:color w:val="0f172a"/>
          <w:sz w:val="20"/>
          <w:szCs w:val="20"/>
          <w:u w:val="none"/>
          <w:shd w:fill="auto" w:val="clear"/>
          <w:vertAlign w:val="baseline"/>
          <w:rtl w:val="0"/>
        </w:rPr>
        <w:t xml:space="preserve"> resolved by adding mandatory dual-entry requirement so substances are recorded in both their primary single-hazard category and the appropriate Division D combination category.</w:t>
      </w:r>
    </w:p>
    <w:p w:rsidR="00000000" w:rsidDel="00000000" w:rsidP="00000000" w:rsidRDefault="00000000" w:rsidRPr="00000000" w14:paraId="00000088">
      <w:pPr>
        <w:spacing w:after="60" w:before="0" w:lineRule="auto"/>
        <w:rPr/>
      </w:pPr>
      <w:r>
        <w:rPr>
          <w:rtl w:val="0"/>
        </w:rPr>
      </w:r>
    </w:p>
    <w:p w:rsidR="00000000" w:rsidDel="00000000" w:rsidP="00000000" w:rsidRDefault="00000000" w:rsidRPr="00000000" w14:paraId="00000089">
      <w:pPr>
        <w:spacing w:after="60" w:before="40" w:lineRule="auto"/>
        <w:jc w:val="left"/>
        <w:rPr/>
      </w:pPr>
      <w:r>
        <w:rPr>
          <w:rFonts w:ascii="Arial" w:cs="Arial" w:eastAsia="Arial" w:hAnsi="Arial"/>
          <w:b w:val="0"/>
          <w:bCs w:val="0"/>
          <w:i w:val="0"/>
          <w:iCs w:val="0"/>
          <w:color w:val="0f172a"/>
          <w:sz w:val="20"/>
          <w:szCs w:val="20"/>
          <w:rtl w:val="0"/>
        </w:rPr>
        <w:t xml:space="preserve">Following these clarifications, IAA for this taxonomy reached 97.2% across a review batch of 4,400 annotations.</w:t>
      </w:r>
      <w:r>
        <w:rPr>
          <w:rtl w:val="0"/>
        </w:rPr>
      </w:r>
    </w:p>
    <w:p w:rsidR="00000000" w:rsidDel="00000000" w:rsidP="00000000" w:rsidRDefault="00000000" w:rsidRPr="00000000" w14:paraId="0000008A">
      <w:pPr>
        <w:spacing w:after="60" w:before="0" w:lineRule="auto"/>
        <w:rPr/>
      </w:pPr>
      <w:r>
        <w:rPr>
          <w:rtl w:val="0"/>
        </w:rPr>
      </w:r>
    </w:p>
    <w:p w:rsidR="00000000" w:rsidDel="00000000" w:rsidP="00000000" w:rsidRDefault="00000000" w:rsidRPr="00000000" w14:paraId="0000008B">
      <w:pPr>
        <w:pStyle w:val="Heading1"/>
        <w:rPr/>
      </w:pPr>
      <w:r>
        <w:rPr>
          <w:rtl w:val="0"/>
        </w:rPr>
        <w:t xml:space="preserve">5. Revision History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4960"/>
        <w:gridCol w:w="2000"/>
        <w:tblGridChange w:id="0">
          <w:tblGrid>
            <w:gridCol w:w="1200"/>
            <w:gridCol w:w="1200"/>
            <w:gridCol w:w="496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Pr>
                <w:rFonts w:ascii="Arial" w:cs="Arial" w:eastAsia="Arial" w:hAnsi="Arial"/>
                <w:b w:val="1"/>
                <w:bCs w:val="1"/>
                <w:color w:val="ffffff"/>
                <w:sz w:val="18"/>
                <w:szCs w:val="18"/>
                <w:rtl w:val="0"/>
              </w:rPr>
              <w:t xml:space="preserve">Version</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Pr>
                <w:rFonts w:ascii="Arial" w:cs="Arial" w:eastAsia="Arial" w:hAnsi="Arial"/>
                <w:b w:val="1"/>
                <w:bCs w:val="1"/>
                <w:color w:val="ffffff"/>
                <w:sz w:val="18"/>
                <w:szCs w:val="18"/>
                <w:rtl w:val="0"/>
              </w:rPr>
              <w:t xml:space="preserve">Date</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Pr>
                <w:rFonts w:ascii="Arial" w:cs="Arial" w:eastAsia="Arial" w:hAnsi="Arial"/>
                <w:b w:val="1"/>
                <w:bCs w:val="1"/>
                <w:color w:val="ffffff"/>
                <w:sz w:val="18"/>
                <w:szCs w:val="18"/>
                <w:rtl w:val="0"/>
              </w:rPr>
              <w:t xml:space="preserve">Changes</w:t>
            </w:r>
            <w:r>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Pr>
                <w:rFonts w:ascii="Arial" w:cs="Arial" w:eastAsia="Arial" w:hAnsi="Arial"/>
                <w:b w:val="1"/>
                <w:bCs w:val="1"/>
                <w:color w:val="ffffff"/>
                <w:sz w:val="18"/>
                <w:szCs w:val="18"/>
                <w:rtl w:val="0"/>
              </w:rPr>
              <w:t xml:space="preserve">Author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b w:val="1"/>
                <w:bCs w:val="1"/>
                <w:color w:val="1b3a6b"/>
                <w:sz w:val="18"/>
                <w:szCs w:val="18"/>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b w:val="0"/>
                <w:bCs w:val="0"/>
                <w:color w:val="0f172a"/>
                <w:sz w:val="18"/>
                <w:szCs w:val="18"/>
                <w:rtl w:val="0"/>
              </w:rPr>
              <w:t xml:space="preserve">Jan 2023</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0"/>
                <w:bCs w:val="0"/>
                <w:color w:val="0f172a"/>
                <w:sz w:val="18"/>
                <w:szCs w:val="18"/>
                <w:rtl w:val="0"/>
              </w:rPr>
              <w:t xml:space="preserve">Initial 14-category schema </w:t>
            </w:r>
            <w:r>
              <w:rPr>
                <w:sz w:val="18"/>
                <w:szCs w:val="18"/>
                <w:rtl w:val="0"/>
              </w:rPr>
              <w:t xml:space="preserve">-</w:t>
            </w:r>
            <w:r>
              <w:rPr>
                <w:rFonts w:ascii="Arial" w:cs="Arial" w:eastAsia="Arial" w:hAnsi="Arial"/>
                <w:b w:val="0"/>
                <w:bCs w:val="0"/>
                <w:color w:val="0f172a"/>
                <w:sz w:val="18"/>
                <w:szCs w:val="18"/>
                <w:rtl w:val="0"/>
              </w:rPr>
              <w:t xml:space="preserve"> Divisions A and B only.</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b w:val="0"/>
                <w:bCs w:val="0"/>
                <w:color w:val="0f172a"/>
                <w:sz w:val="18"/>
                <w:szCs w:val="18"/>
                <w:rtl w:val="0"/>
              </w:rPr>
              <w:t xml:space="preserve">BQ Oyelekan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b w:val="1"/>
                <w:bCs w:val="1"/>
                <w:color w:val="1b3a6b"/>
                <w:sz w:val="18"/>
                <w:szCs w:val="18"/>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b w:val="0"/>
                <w:bCs w:val="0"/>
                <w:color w:val="0f172a"/>
                <w:sz w:val="18"/>
                <w:szCs w:val="18"/>
                <w:rtl w:val="0"/>
              </w:rPr>
              <w:t xml:space="preserve">Apr 2023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b w:val="0"/>
                <w:bCs w:val="0"/>
                <w:color w:val="0f172a"/>
                <w:sz w:val="18"/>
                <w:szCs w:val="18"/>
                <w:rtl w:val="0"/>
              </w:rPr>
              <w:t xml:space="preserve">Added Division C (Environmental Hazards). Expanded B to 8 categories.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b w:val="0"/>
                <w:bCs w:val="0"/>
                <w:color w:val="0f172a"/>
                <w:sz w:val="18"/>
                <w:szCs w:val="18"/>
                <w:rtl w:val="0"/>
              </w:rPr>
              <w:t xml:space="preserve">BQ Oyelekan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b w:val="1"/>
                <w:bCs w:val="1"/>
                <w:color w:val="1b3a6b"/>
                <w:sz w:val="18"/>
                <w:szCs w:val="18"/>
                <w:rtl w:val="0"/>
              </w:rPr>
              <w:t xml:space="preserve">2.1</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b w:val="0"/>
                <w:bCs w:val="0"/>
                <w:color w:val="0f172a"/>
                <w:sz w:val="18"/>
                <w:szCs w:val="18"/>
                <w:rtl w:val="0"/>
              </w:rPr>
              <w:t xml:space="preserve">Jul 2023</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0"/>
                <w:bCs w:val="0"/>
                <w:color w:val="0f172a"/>
                <w:sz w:val="18"/>
                <w:szCs w:val="18"/>
                <w:rtl w:val="0"/>
              </w:rPr>
              <w:t xml:space="preserve">Added E2 (Unknown Hazard) following edge case batch review.</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color w:val="0f172a"/>
                <w:sz w:val="18"/>
                <w:szCs w:val="18"/>
                <w:rtl w:val="0"/>
              </w:rPr>
              <w:t xml:space="preserve">BQ Oyelekan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b w:val="1"/>
                <w:bCs w:val="1"/>
                <w:color w:val="1b3a6b"/>
                <w:sz w:val="18"/>
                <w:szCs w:val="18"/>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b w:val="0"/>
                <w:bCs w:val="0"/>
                <w:color w:val="0f172a"/>
                <w:sz w:val="18"/>
                <w:szCs w:val="18"/>
                <w:rtl w:val="0"/>
              </w:rPr>
              <w:t xml:space="preserve">Nov 2023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b w:val="0"/>
                <w:bCs w:val="0"/>
                <w:color w:val="0f172a"/>
                <w:sz w:val="18"/>
                <w:szCs w:val="18"/>
                <w:rtl w:val="0"/>
              </w:rPr>
              <w:t xml:space="preserve">Added Division D (Combination Hazards). Dual-entry rule introduced.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0"/>
                <w:bCs w:val="0"/>
                <w:color w:val="0f172a"/>
                <w:sz w:val="18"/>
                <w:szCs w:val="18"/>
                <w:rtl w:val="0"/>
              </w:rPr>
              <w:t xml:space="preserve">BQ Oyelekan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1"/>
                <w:bCs w:val="1"/>
                <w:color w:val="1b3a6b"/>
                <w:sz w:val="18"/>
                <w:szCs w:val="18"/>
                <w:rtl w:val="0"/>
              </w:rPr>
              <w:t xml:space="preserve">3.2</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color w:val="0f172a"/>
                <w:sz w:val="18"/>
                <w:szCs w:val="18"/>
                <w:rtl w:val="0"/>
              </w:rPr>
              <w:t xml:space="preserve">Mar 2024</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0"/>
                <w:bCs w:val="0"/>
                <w:color w:val="0f172a"/>
                <w:sz w:val="18"/>
                <w:szCs w:val="18"/>
                <w:rtl w:val="0"/>
              </w:rPr>
              <w:t xml:space="preserve">IAA threshold raised to 97%. Clarified B6/B7 and C1/C2 decision rules.</w:t>
            </w:r>
            <w:r>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b w:val="0"/>
                <w:bCs w:val="0"/>
                <w:color w:val="0f172a"/>
                <w:sz w:val="18"/>
                <w:szCs w:val="18"/>
                <w:rtl w:val="0"/>
              </w:rPr>
              <w:t xml:space="preserve">BQ Oyelekan</w:t>
            </w:r>
            <w:r>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cccccc" w:space="2" w:sz="4" w:val="single"/>
      </w:pBdr>
      <w:tabs>
        <w:tab w:val="right" w:leader="none" w:pos="9360"/>
      </w:tabs>
      <w:spacing w:after="0" w:before="60" w:lineRule="auto"/>
      <w:rPr/>
    </w:pPr>
    <w:r w:rsidDel="00000000" w:rsidR="00000000" w:rsidRPr="00000000">
      <w:rPr>
        <w:rFonts w:ascii="Arial" w:cs="Arial" w:eastAsia="Arial" w:hAnsi="Arial"/>
        <w:color w:val="334155"/>
        <w:sz w:val="16"/>
        <w:szCs w:val="16"/>
        <w:rtl w:val="0"/>
      </w:rPr>
      <w:t xml:space="preserve">Chemical Hazard Classification Taxonomy  |  Busari Quadri Oyelekan</w:t>
    </w:r>
    <w:r w:rsidDel="00000000" w:rsidR="00000000" w:rsidRPr="00000000">
      <w:rPr>
        <w:rFonts w:ascii="Arial" w:cs="Arial" w:eastAsia="Arial" w:hAnsi="Arial"/>
        <w:color w:val="3341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rFonts w:ascii="Arial" w:cs="Arial" w:eastAsia="Arial" w:hAnsi="Arial"/>
        <w:color w:val="2563eb"/>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563eb" w:space="4" w:sz="6" w:val="single"/>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415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f766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