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001EB" w14:textId="77777777" w:rsidR="002F1C61" w:rsidRDefault="002F1C61">
      <w:pPr>
        <w:spacing w:after="200"/>
      </w:pPr>
    </w:p>
    <w:p w14:paraId="03B67B7A" w14:textId="77777777" w:rsidR="002F1C61" w:rsidRDefault="00000000">
      <w:pPr>
        <w:spacing w:after="60"/>
        <w:jc w:val="center"/>
      </w:pPr>
      <w:r>
        <w:rPr>
          <w:b/>
          <w:bCs/>
          <w:color w:val="1B2A4A"/>
          <w:sz w:val="52"/>
          <w:szCs w:val="52"/>
        </w:rPr>
        <w:t>ANNOTATION GUIDELINES</w:t>
      </w:r>
    </w:p>
    <w:p w14:paraId="0AABA867" w14:textId="77777777" w:rsidR="002F1C61" w:rsidRDefault="00000000">
      <w:pPr>
        <w:pBdr>
          <w:bottom w:val="single" w:sz="12" w:space="2" w:color="2E6096"/>
        </w:pBdr>
        <w:spacing w:after="200"/>
        <w:jc w:val="center"/>
      </w:pPr>
      <w:r>
        <w:rPr>
          <w:i/>
          <w:iCs/>
          <w:color w:val="2E6096"/>
          <w:sz w:val="32"/>
          <w:szCs w:val="32"/>
        </w:rPr>
        <w:t>Industrial Equipment Machine Learning Dataset</w:t>
      </w:r>
    </w:p>
    <w:p w14:paraId="766829EB" w14:textId="77777777" w:rsidR="002F1C61" w:rsidRDefault="002F1C61">
      <w:pPr>
        <w:spacing w:after="6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2F1C61" w14:paraId="739AC74E"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shd w:val="clear" w:color="auto" w:fill="EBF3FA"/>
            <w:tcMar>
              <w:top w:w="80" w:type="dxa"/>
              <w:left w:w="120" w:type="dxa"/>
              <w:bottom w:w="80" w:type="dxa"/>
              <w:right w:w="120" w:type="dxa"/>
            </w:tcMar>
          </w:tcPr>
          <w:p w14:paraId="151D068C" w14:textId="77777777" w:rsidR="002F1C61" w:rsidRDefault="00000000">
            <w:pPr>
              <w:spacing w:after="60"/>
            </w:pPr>
            <w:r>
              <w:rPr>
                <w:b/>
                <w:bCs/>
                <w:color w:val="2E6096"/>
              </w:rPr>
              <w:t>Document Ref</w:t>
            </w:r>
          </w:p>
        </w:tc>
        <w:tc>
          <w:tcPr>
            <w:tcW w:w="48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590EB2D" w14:textId="4B8C7A04" w:rsidR="002F1C61" w:rsidRDefault="00000000">
            <w:pPr>
              <w:spacing w:after="60"/>
            </w:pPr>
            <w:r>
              <w:t>IND-ANN-202</w:t>
            </w:r>
            <w:r w:rsidR="00A805FC">
              <w:t>5</w:t>
            </w:r>
            <w:r>
              <w:t>-00</w:t>
            </w:r>
            <w:r w:rsidR="00A805FC">
              <w:t>6</w:t>
            </w:r>
          </w:p>
        </w:tc>
      </w:tr>
      <w:tr w:rsidR="002F1C61" w14:paraId="6A683DD7"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shd w:val="clear" w:color="auto" w:fill="EBF3FA"/>
            <w:tcMar>
              <w:top w:w="80" w:type="dxa"/>
              <w:left w:w="120" w:type="dxa"/>
              <w:bottom w:w="80" w:type="dxa"/>
              <w:right w:w="120" w:type="dxa"/>
            </w:tcMar>
          </w:tcPr>
          <w:p w14:paraId="13DCF0C0" w14:textId="77777777" w:rsidR="002F1C61" w:rsidRDefault="00000000">
            <w:pPr>
              <w:spacing w:after="60"/>
            </w:pPr>
            <w:r>
              <w:rPr>
                <w:b/>
                <w:bCs/>
                <w:color w:val="2E6096"/>
              </w:rPr>
              <w:t>Version</w:t>
            </w:r>
          </w:p>
        </w:tc>
        <w:tc>
          <w:tcPr>
            <w:tcW w:w="48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E0CC181" w14:textId="77777777" w:rsidR="002F1C61" w:rsidRDefault="00000000">
            <w:pPr>
              <w:spacing w:after="60"/>
            </w:pPr>
            <w:r>
              <w:t>1.4</w:t>
            </w:r>
          </w:p>
        </w:tc>
      </w:tr>
      <w:tr w:rsidR="002F1C61" w14:paraId="5891609A"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shd w:val="clear" w:color="auto" w:fill="EBF3FA"/>
            <w:tcMar>
              <w:top w:w="80" w:type="dxa"/>
              <w:left w:w="120" w:type="dxa"/>
              <w:bottom w:w="80" w:type="dxa"/>
              <w:right w:w="120" w:type="dxa"/>
            </w:tcMar>
          </w:tcPr>
          <w:p w14:paraId="3C1941FD" w14:textId="77777777" w:rsidR="002F1C61" w:rsidRDefault="00000000">
            <w:pPr>
              <w:spacing w:after="60"/>
            </w:pPr>
            <w:r>
              <w:rPr>
                <w:b/>
                <w:bCs/>
                <w:color w:val="2E6096"/>
              </w:rPr>
              <w:t>Prepared by</w:t>
            </w:r>
          </w:p>
        </w:tc>
        <w:tc>
          <w:tcPr>
            <w:tcW w:w="48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0055B6E" w14:textId="77777777" w:rsidR="002F1C61" w:rsidRDefault="00000000">
            <w:pPr>
              <w:spacing w:after="60"/>
            </w:pPr>
            <w:r>
              <w:t>Busari Quadri Oyelekan</w:t>
            </w:r>
          </w:p>
        </w:tc>
      </w:tr>
      <w:tr w:rsidR="002F1C61" w14:paraId="2009D040"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shd w:val="clear" w:color="auto" w:fill="EBF3FA"/>
            <w:tcMar>
              <w:top w:w="80" w:type="dxa"/>
              <w:left w:w="120" w:type="dxa"/>
              <w:bottom w:w="80" w:type="dxa"/>
              <w:right w:w="120" w:type="dxa"/>
            </w:tcMar>
          </w:tcPr>
          <w:p w14:paraId="5C33E563" w14:textId="77777777" w:rsidR="002F1C61" w:rsidRDefault="00000000">
            <w:pPr>
              <w:spacing w:after="60"/>
            </w:pPr>
            <w:r>
              <w:rPr>
                <w:b/>
                <w:bCs/>
                <w:color w:val="2E6096"/>
              </w:rPr>
              <w:t>Scope</w:t>
            </w:r>
          </w:p>
        </w:tc>
        <w:tc>
          <w:tcPr>
            <w:tcW w:w="48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DF3E0F4" w14:textId="77777777" w:rsidR="002F1C61" w:rsidRDefault="00000000">
            <w:pPr>
              <w:spacing w:after="60"/>
            </w:pPr>
            <w:r>
              <w:t>Image, point cloud, and defect classification annotation</w:t>
            </w:r>
          </w:p>
        </w:tc>
      </w:tr>
      <w:tr w:rsidR="002F1C61" w14:paraId="41E3679E"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shd w:val="clear" w:color="auto" w:fill="EBF3FA"/>
            <w:tcMar>
              <w:top w:w="80" w:type="dxa"/>
              <w:left w:w="120" w:type="dxa"/>
              <w:bottom w:w="80" w:type="dxa"/>
              <w:right w:w="120" w:type="dxa"/>
            </w:tcMar>
          </w:tcPr>
          <w:p w14:paraId="3386F866" w14:textId="77777777" w:rsidR="002F1C61" w:rsidRDefault="00000000">
            <w:pPr>
              <w:spacing w:after="60"/>
            </w:pPr>
            <w:r>
              <w:rPr>
                <w:b/>
                <w:bCs/>
                <w:color w:val="2E6096"/>
              </w:rPr>
              <w:t>Last Revised</w:t>
            </w:r>
          </w:p>
        </w:tc>
        <w:tc>
          <w:tcPr>
            <w:tcW w:w="48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BF43007" w14:textId="15C5404E" w:rsidR="002F1C61" w:rsidRDefault="00000000">
            <w:pPr>
              <w:spacing w:after="60"/>
            </w:pPr>
            <w:r>
              <w:t>March 202</w:t>
            </w:r>
            <w:r w:rsidR="00A805FC">
              <w:t>5</w:t>
            </w:r>
          </w:p>
        </w:tc>
      </w:tr>
      <w:tr w:rsidR="002F1C61" w14:paraId="7C708A26"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shd w:val="clear" w:color="auto" w:fill="EBF3FA"/>
            <w:tcMar>
              <w:top w:w="80" w:type="dxa"/>
              <w:left w:w="120" w:type="dxa"/>
              <w:bottom w:w="80" w:type="dxa"/>
              <w:right w:w="120" w:type="dxa"/>
            </w:tcMar>
          </w:tcPr>
          <w:p w14:paraId="4C0AE187" w14:textId="77777777" w:rsidR="002F1C61" w:rsidRDefault="00000000">
            <w:pPr>
              <w:spacing w:after="60"/>
            </w:pPr>
            <w:r>
              <w:rPr>
                <w:b/>
                <w:bCs/>
                <w:color w:val="2E6096"/>
              </w:rPr>
              <w:t>Status</w:t>
            </w:r>
          </w:p>
        </w:tc>
        <w:tc>
          <w:tcPr>
            <w:tcW w:w="48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587ADCAC" w14:textId="77777777" w:rsidR="002F1C61" w:rsidRDefault="00000000">
            <w:pPr>
              <w:spacing w:after="60"/>
            </w:pPr>
            <w:r>
              <w:t>Approved for active annotation projects</w:t>
            </w:r>
          </w:p>
        </w:tc>
      </w:tr>
    </w:tbl>
    <w:p w14:paraId="0470C194" w14:textId="77777777" w:rsidR="002F1C61" w:rsidRDefault="002F1C61">
      <w:pPr>
        <w:spacing w:after="300"/>
      </w:pPr>
    </w:p>
    <w:p w14:paraId="74BF0249" w14:textId="77777777" w:rsidR="002F1C61" w:rsidRDefault="00000000">
      <w:pPr>
        <w:pStyle w:val="Heading1"/>
      </w:pPr>
      <w:r>
        <w:t>1. Purpose and Scope</w:t>
      </w:r>
    </w:p>
    <w:p w14:paraId="5EC79B36" w14:textId="77777777" w:rsidR="002F1C61" w:rsidRDefault="002F1C61">
      <w:pPr>
        <w:pBdr>
          <w:bottom w:val="single" w:sz="10" w:space="1" w:color="2E6096"/>
        </w:pBdr>
        <w:spacing w:after="160"/>
      </w:pPr>
    </w:p>
    <w:p w14:paraId="2A9A47A7" w14:textId="77777777" w:rsidR="002F1C61" w:rsidRDefault="00000000">
      <w:pPr>
        <w:spacing w:after="120"/>
      </w:pPr>
      <w:r>
        <w:t xml:space="preserve">This document defines the labeling standards, class taxonomy, and quality requirements for annotating industrial equipment imagery and sensor data for machine learning applications. It applies to all annotation tasks within the </w:t>
      </w:r>
      <w:r>
        <w:rPr>
          <w:b/>
          <w:bCs/>
        </w:rPr>
        <w:t>Industrial Process Monitoring</w:t>
      </w:r>
      <w:r>
        <w:t xml:space="preserve"> and </w:t>
      </w:r>
      <w:r>
        <w:rPr>
          <w:b/>
          <w:bCs/>
        </w:rPr>
        <w:t>Predictive Maintenance</w:t>
      </w:r>
      <w:r>
        <w:t xml:space="preserve"> datasets.</w:t>
      </w:r>
    </w:p>
    <w:p w14:paraId="7BBB8DC2" w14:textId="77777777" w:rsidR="002F1C61" w:rsidRDefault="00000000">
      <w:pPr>
        <w:spacing w:after="120"/>
      </w:pPr>
      <w:r>
        <w:t>Annotators are expected to read this document in full before beginning work. Questions about edge cases should be raised in the project channel before submitting; do not guess at ambiguous situations.</w:t>
      </w:r>
    </w:p>
    <w:p w14:paraId="653A3F3D" w14:textId="77777777" w:rsidR="002F1C61" w:rsidRDefault="002F1C61">
      <w:pPr>
        <w:spacing w:after="80"/>
      </w:pPr>
    </w:p>
    <w:p w14:paraId="0698F96E" w14:textId="77777777" w:rsidR="002F1C61" w:rsidRDefault="00000000">
      <w:pPr>
        <w:pStyle w:val="Heading2"/>
      </w:pPr>
      <w:r>
        <w:t>1.1 Intended Audience</w:t>
      </w:r>
    </w:p>
    <w:p w14:paraId="35A5A483" w14:textId="77777777" w:rsidR="002F1C61" w:rsidRDefault="00000000">
      <w:pPr>
        <w:pStyle w:val="ListParagraph"/>
        <w:numPr>
          <w:ilvl w:val="0"/>
          <w:numId w:val="2"/>
        </w:numPr>
      </w:pPr>
      <w:r>
        <w:t>Image annotators working on bounding box and segmentation tasks</w:t>
      </w:r>
    </w:p>
    <w:p w14:paraId="2EA50E3B" w14:textId="77777777" w:rsidR="002F1C61" w:rsidRDefault="00000000">
      <w:pPr>
        <w:pStyle w:val="ListParagraph"/>
        <w:numPr>
          <w:ilvl w:val="0"/>
          <w:numId w:val="2"/>
        </w:numPr>
      </w:pPr>
      <w:r>
        <w:t>Point cloud labelers handling LiDAR-derived 3D datasets</w:t>
      </w:r>
    </w:p>
    <w:p w14:paraId="0D1FC2B5" w14:textId="77777777" w:rsidR="002F1C61" w:rsidRDefault="00000000">
      <w:pPr>
        <w:pStyle w:val="ListParagraph"/>
        <w:numPr>
          <w:ilvl w:val="0"/>
          <w:numId w:val="2"/>
        </w:numPr>
      </w:pPr>
      <w:r>
        <w:t>Quality control reviewers auditing submitted batches</w:t>
      </w:r>
    </w:p>
    <w:p w14:paraId="167D41FE" w14:textId="77777777" w:rsidR="002F1C61" w:rsidRDefault="00000000">
      <w:pPr>
        <w:pStyle w:val="ListParagraph"/>
        <w:numPr>
          <w:ilvl w:val="0"/>
          <w:numId w:val="2"/>
        </w:numPr>
      </w:pPr>
      <w:r>
        <w:t>Data engineers building downstream training pipelines</w:t>
      </w:r>
    </w:p>
    <w:p w14:paraId="5E597581" w14:textId="77777777" w:rsidR="002F1C61" w:rsidRDefault="002F1C61">
      <w:pPr>
        <w:spacing w:after="80"/>
      </w:pPr>
    </w:p>
    <w:p w14:paraId="28FDB39A" w14:textId="77777777" w:rsidR="002F1C61" w:rsidRDefault="00000000">
      <w:pPr>
        <w:pStyle w:val="Heading2"/>
      </w:pPr>
      <w:r>
        <w:t>1.2 What This Document Does Not Cover</w:t>
      </w:r>
    </w:p>
    <w:p w14:paraId="27DFD757" w14:textId="77777777" w:rsidR="002F1C61" w:rsidRDefault="00000000">
      <w:pPr>
        <w:spacing w:after="120"/>
      </w:pPr>
      <w:r>
        <w:t>NLP and audio annotation tasks are governed by separate guidelines. RLHF preference ranking tasks follow the Response Ranking Rubric document. Data export formats and pipeline configuration are covered in the Engineering Runbook.</w:t>
      </w:r>
    </w:p>
    <w:p w14:paraId="5154E784" w14:textId="77777777" w:rsidR="002F1C61" w:rsidRDefault="002F1C61">
      <w:pPr>
        <w:spacing w:after="160"/>
      </w:pPr>
    </w:p>
    <w:p w14:paraId="414294A9" w14:textId="77777777" w:rsidR="002F1C61" w:rsidRDefault="00000000">
      <w:pPr>
        <w:pStyle w:val="Heading1"/>
      </w:pPr>
      <w:r>
        <w:lastRenderedPageBreak/>
        <w:t>2. Equipment Class Taxonomy</w:t>
      </w:r>
    </w:p>
    <w:p w14:paraId="324DEBD7" w14:textId="77777777" w:rsidR="002F1C61" w:rsidRDefault="002F1C61">
      <w:pPr>
        <w:pBdr>
          <w:bottom w:val="single" w:sz="10" w:space="1" w:color="2E6096"/>
        </w:pBdr>
        <w:spacing w:after="160"/>
      </w:pPr>
    </w:p>
    <w:p w14:paraId="725D65C7" w14:textId="77777777" w:rsidR="002F1C61" w:rsidRDefault="00000000">
      <w:pPr>
        <w:spacing w:after="120"/>
      </w:pPr>
      <w:r>
        <w:t>All equipment instances must be assigned one primary class and, where applicable, one or more attribute flags. The taxonomy below covers the 28 classes currently in use across active projects. New classes require a taxonomy change request with at least five supporting example images before approval.</w:t>
      </w:r>
    </w:p>
    <w:p w14:paraId="041678DC" w14:textId="77777777" w:rsidR="002F1C61" w:rsidRDefault="002F1C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3160"/>
        <w:gridCol w:w="2400"/>
      </w:tblGrid>
      <w:tr w:rsidR="002F1C61" w14:paraId="2BFEB062"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tcPr>
          <w:p w14:paraId="6D27433F" w14:textId="77777777" w:rsidR="002F1C61" w:rsidRDefault="00000000">
            <w:pPr>
              <w:spacing w:after="60"/>
            </w:pPr>
            <w:r>
              <w:rPr>
                <w:b/>
                <w:bCs/>
                <w:color w:val="FFFFFF"/>
                <w:sz w:val="20"/>
                <w:szCs w:val="20"/>
              </w:rPr>
              <w:t>Class Code</w:t>
            </w:r>
          </w:p>
        </w:tc>
        <w:tc>
          <w:tcPr>
            <w:tcW w:w="26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tcPr>
          <w:p w14:paraId="164BB1FD" w14:textId="77777777" w:rsidR="002F1C61" w:rsidRDefault="00000000">
            <w:pPr>
              <w:spacing w:after="60"/>
            </w:pPr>
            <w:r>
              <w:rPr>
                <w:b/>
                <w:bCs/>
                <w:color w:val="FFFFFF"/>
                <w:sz w:val="20"/>
                <w:szCs w:val="20"/>
              </w:rPr>
              <w:t>Class Name</w:t>
            </w:r>
          </w:p>
        </w:tc>
        <w:tc>
          <w:tcPr>
            <w:tcW w:w="316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tcPr>
          <w:p w14:paraId="70F7F22D" w14:textId="77777777" w:rsidR="002F1C61" w:rsidRDefault="00000000">
            <w:pPr>
              <w:spacing w:after="60"/>
            </w:pPr>
            <w:r>
              <w:rPr>
                <w:b/>
                <w:bCs/>
                <w:color w:val="FFFFFF"/>
                <w:sz w:val="20"/>
                <w:szCs w:val="20"/>
              </w:rPr>
              <w:t>Description</w:t>
            </w:r>
          </w:p>
        </w:tc>
        <w:tc>
          <w:tcPr>
            <w:tcW w:w="24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tcPr>
          <w:p w14:paraId="73129C2F" w14:textId="77777777" w:rsidR="002F1C61" w:rsidRDefault="00000000">
            <w:pPr>
              <w:spacing w:after="60"/>
            </w:pPr>
            <w:r>
              <w:rPr>
                <w:b/>
                <w:bCs/>
                <w:color w:val="FFFFFF"/>
                <w:sz w:val="20"/>
                <w:szCs w:val="20"/>
              </w:rPr>
              <w:t>Common Instances</w:t>
            </w:r>
          </w:p>
        </w:tc>
      </w:tr>
      <w:tr w:rsidR="002F1C61" w14:paraId="6DCFB08C" w14:textId="77777777">
        <w:tblPrEx>
          <w:tblCellMar>
            <w:top w:w="0" w:type="dxa"/>
            <w:bottom w:w="0" w:type="dxa"/>
          </w:tblCellMar>
        </w:tblPrEx>
        <w:tc>
          <w:tcPr>
            <w:tcW w:w="9360" w:type="dxa"/>
            <w:gridSpan w:val="4"/>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64C17C70" w14:textId="77777777" w:rsidR="002F1C61" w:rsidRDefault="00000000">
            <w:pPr>
              <w:spacing w:after="60"/>
            </w:pPr>
            <w:r>
              <w:rPr>
                <w:b/>
                <w:bCs/>
                <w:color w:val="2E6096"/>
                <w:sz w:val="18"/>
                <w:szCs w:val="18"/>
              </w:rPr>
              <w:t>ROTATING MACHINERY</w:t>
            </w:r>
          </w:p>
        </w:tc>
      </w:tr>
      <w:tr w:rsidR="002F1C61" w14:paraId="64DCDEF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B4DF39" w14:textId="77777777" w:rsidR="002F1C61" w:rsidRDefault="00000000">
            <w:pPr>
              <w:spacing w:after="60"/>
            </w:pPr>
            <w:r>
              <w:rPr>
                <w:b/>
                <w:bCs/>
                <w:sz w:val="19"/>
                <w:szCs w:val="19"/>
              </w:rPr>
              <w:t>ROT-001</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E46AFE" w14:textId="77777777" w:rsidR="002F1C61" w:rsidRDefault="00000000">
            <w:pPr>
              <w:spacing w:after="60"/>
            </w:pPr>
            <w:r>
              <w:rPr>
                <w:b/>
                <w:bCs/>
                <w:sz w:val="20"/>
                <w:szCs w:val="20"/>
              </w:rPr>
              <w:t>Centrifugal Pump</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E97195" w14:textId="77777777" w:rsidR="002F1C61" w:rsidRDefault="00000000">
            <w:pPr>
              <w:spacing w:after="60"/>
            </w:pPr>
            <w:r>
              <w:rPr>
                <w:sz w:val="19"/>
                <w:szCs w:val="19"/>
              </w:rPr>
              <w:t>Fluid transfer device with impeller-driven flow. Label housing, shaft seal, and inlet/outlet flanges separately where visible.</w:t>
            </w:r>
          </w:p>
          <w:p w14:paraId="33B73CC4" w14:textId="77777777" w:rsidR="002F1C61" w:rsidRDefault="00000000">
            <w:r>
              <w:rPr>
                <w:i/>
                <w:iCs/>
                <w:color w:val="555555"/>
                <w:sz w:val="17"/>
                <w:szCs w:val="17"/>
              </w:rPr>
              <w:t>Examples: Water pumps, slurry pumps, chemical dosing pumps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7A30AAA" w14:textId="77777777" w:rsidR="002F1C61" w:rsidRDefault="00000000">
            <w:pPr>
              <w:spacing w:after="60"/>
            </w:pPr>
            <w:r>
              <w:rPr>
                <w:color w:val="555555"/>
                <w:sz w:val="18"/>
                <w:szCs w:val="18"/>
              </w:rPr>
              <w:t>Water pumps, slurry pumps, chemical dosing pumps</w:t>
            </w:r>
          </w:p>
        </w:tc>
      </w:tr>
      <w:tr w:rsidR="002F1C61" w14:paraId="5EF5A58A"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62A750" w14:textId="77777777" w:rsidR="002F1C61" w:rsidRDefault="00000000">
            <w:pPr>
              <w:spacing w:after="60"/>
            </w:pPr>
            <w:r>
              <w:rPr>
                <w:b/>
                <w:bCs/>
                <w:sz w:val="19"/>
                <w:szCs w:val="19"/>
              </w:rPr>
              <w:t>ROT-002</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B96C06" w14:textId="77777777" w:rsidR="002F1C61" w:rsidRDefault="00000000">
            <w:pPr>
              <w:spacing w:after="60"/>
            </w:pPr>
            <w:r>
              <w:rPr>
                <w:b/>
                <w:bCs/>
                <w:sz w:val="20"/>
                <w:szCs w:val="20"/>
              </w:rPr>
              <w:t>Axial Compressor</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71F25B" w14:textId="77777777" w:rsidR="002F1C61" w:rsidRDefault="00000000">
            <w:pPr>
              <w:spacing w:after="60"/>
            </w:pPr>
            <w:r>
              <w:rPr>
                <w:sz w:val="19"/>
                <w:szCs w:val="19"/>
              </w:rPr>
              <w:t>Multi-stage rotating compressor with clearly visible blade rows. Distinguish from centrifugal compressors by blade orientation.</w:t>
            </w:r>
          </w:p>
          <w:p w14:paraId="656B4E2B" w14:textId="77777777" w:rsidR="002F1C61" w:rsidRDefault="00000000">
            <w:r>
              <w:rPr>
                <w:i/>
                <w:iCs/>
                <w:color w:val="555555"/>
                <w:sz w:val="17"/>
                <w:szCs w:val="17"/>
              </w:rPr>
              <w:t>Examples: Air compressors, gas turbine intakes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0A2C1E7" w14:textId="77777777" w:rsidR="002F1C61" w:rsidRDefault="00000000">
            <w:pPr>
              <w:spacing w:after="60"/>
            </w:pPr>
            <w:r>
              <w:rPr>
                <w:color w:val="555555"/>
                <w:sz w:val="18"/>
                <w:szCs w:val="18"/>
              </w:rPr>
              <w:t>Air compressors, gas turbine intakes</w:t>
            </w:r>
          </w:p>
        </w:tc>
      </w:tr>
      <w:tr w:rsidR="002F1C61" w14:paraId="0D9E51F1"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DC8B2F" w14:textId="77777777" w:rsidR="002F1C61" w:rsidRDefault="00000000">
            <w:pPr>
              <w:spacing w:after="60"/>
            </w:pPr>
            <w:r>
              <w:rPr>
                <w:b/>
                <w:bCs/>
                <w:sz w:val="19"/>
                <w:szCs w:val="19"/>
              </w:rPr>
              <w:t>ROT-003</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D43AB3" w14:textId="77777777" w:rsidR="002F1C61" w:rsidRDefault="00000000">
            <w:pPr>
              <w:spacing w:after="60"/>
            </w:pPr>
            <w:r>
              <w:rPr>
                <w:b/>
                <w:bCs/>
                <w:sz w:val="20"/>
                <w:szCs w:val="20"/>
              </w:rPr>
              <w:t>Electric Motor</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DCE0D0" w14:textId="77777777" w:rsidR="002F1C61" w:rsidRDefault="00000000">
            <w:pPr>
              <w:spacing w:after="60"/>
            </w:pPr>
            <w:r>
              <w:rPr>
                <w:sz w:val="19"/>
                <w:szCs w:val="19"/>
              </w:rPr>
              <w:t>Electromagnetic drive unit. Label the motor body distinct from any coupled load. Include terminal box if visible.</w:t>
            </w:r>
          </w:p>
          <w:p w14:paraId="6BA941BC" w14:textId="77777777" w:rsidR="002F1C61" w:rsidRDefault="00000000">
            <w:r>
              <w:rPr>
                <w:i/>
                <w:iCs/>
                <w:color w:val="555555"/>
                <w:sz w:val="17"/>
                <w:szCs w:val="17"/>
              </w:rPr>
              <w:t>Examples: Induction motors, servo motors, stepper motors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74BAFA6" w14:textId="77777777" w:rsidR="002F1C61" w:rsidRDefault="00000000">
            <w:pPr>
              <w:spacing w:after="60"/>
            </w:pPr>
            <w:r>
              <w:rPr>
                <w:color w:val="555555"/>
                <w:sz w:val="18"/>
                <w:szCs w:val="18"/>
              </w:rPr>
              <w:t>Induction motors, servo motors, stepper motors</w:t>
            </w:r>
          </w:p>
        </w:tc>
      </w:tr>
      <w:tr w:rsidR="002F1C61" w14:paraId="74628A9D"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BA4DD7" w14:textId="77777777" w:rsidR="002F1C61" w:rsidRDefault="00000000">
            <w:pPr>
              <w:spacing w:after="60"/>
            </w:pPr>
            <w:r>
              <w:rPr>
                <w:b/>
                <w:bCs/>
                <w:sz w:val="19"/>
                <w:szCs w:val="19"/>
              </w:rPr>
              <w:t>ROT-004</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48E8ED" w14:textId="77777777" w:rsidR="002F1C61" w:rsidRDefault="00000000">
            <w:pPr>
              <w:spacing w:after="60"/>
            </w:pPr>
            <w:r>
              <w:rPr>
                <w:b/>
                <w:bCs/>
                <w:sz w:val="20"/>
                <w:szCs w:val="20"/>
              </w:rPr>
              <w:t>Gearbox / Reducer</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1CB24C" w14:textId="77777777" w:rsidR="002F1C61" w:rsidRDefault="00000000">
            <w:pPr>
              <w:spacing w:after="60"/>
            </w:pPr>
            <w:r>
              <w:rPr>
                <w:sz w:val="19"/>
                <w:szCs w:val="19"/>
              </w:rPr>
              <w:t>Power transmission unit enclosing gear stages. Do not label internal gears unless the housing is open or cross-sectioned.</w:t>
            </w:r>
          </w:p>
          <w:p w14:paraId="46F10485" w14:textId="77777777" w:rsidR="002F1C61" w:rsidRDefault="00000000">
            <w:r>
              <w:rPr>
                <w:i/>
                <w:iCs/>
                <w:color w:val="555555"/>
                <w:sz w:val="17"/>
                <w:szCs w:val="17"/>
              </w:rPr>
              <w:t>Examples: Helical gearboxes, worm reducers, planetary drives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7474659" w14:textId="77777777" w:rsidR="002F1C61" w:rsidRDefault="00000000">
            <w:pPr>
              <w:spacing w:after="60"/>
            </w:pPr>
            <w:r>
              <w:rPr>
                <w:color w:val="555555"/>
                <w:sz w:val="18"/>
                <w:szCs w:val="18"/>
              </w:rPr>
              <w:t>Helical gearboxes, worm reducers, planetary drives</w:t>
            </w:r>
          </w:p>
        </w:tc>
      </w:tr>
      <w:tr w:rsidR="002F1C61" w14:paraId="714D29B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6C916A" w14:textId="77777777" w:rsidR="002F1C61" w:rsidRDefault="00000000">
            <w:pPr>
              <w:spacing w:after="60"/>
            </w:pPr>
            <w:r>
              <w:rPr>
                <w:b/>
                <w:bCs/>
                <w:sz w:val="19"/>
                <w:szCs w:val="19"/>
              </w:rPr>
              <w:t>ROT-005</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134408" w14:textId="77777777" w:rsidR="002F1C61" w:rsidRDefault="00000000">
            <w:pPr>
              <w:spacing w:after="60"/>
            </w:pPr>
            <w:r>
              <w:rPr>
                <w:b/>
                <w:bCs/>
                <w:sz w:val="20"/>
                <w:szCs w:val="20"/>
              </w:rPr>
              <w:t>Fan / Blower</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25CD69" w14:textId="77777777" w:rsidR="002F1C61" w:rsidRDefault="00000000">
            <w:pPr>
              <w:spacing w:after="60"/>
            </w:pPr>
            <w:r>
              <w:rPr>
                <w:sz w:val="19"/>
                <w:szCs w:val="19"/>
              </w:rPr>
              <w:t>Axial or centrifugal air-moving device. Distinguish from compressors by operating pressure: fans operate at near-ambient.</w:t>
            </w:r>
          </w:p>
          <w:p w14:paraId="7A45FB33" w14:textId="77777777" w:rsidR="002F1C61" w:rsidRDefault="00000000">
            <w:r>
              <w:rPr>
                <w:i/>
                <w:iCs/>
                <w:color w:val="555555"/>
                <w:sz w:val="17"/>
                <w:szCs w:val="17"/>
              </w:rPr>
              <w:t>Examples: Cooling fans, ventilation blowers, process air fans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9C2CD5C" w14:textId="77777777" w:rsidR="002F1C61" w:rsidRDefault="00000000">
            <w:pPr>
              <w:spacing w:after="60"/>
            </w:pPr>
            <w:r>
              <w:rPr>
                <w:color w:val="555555"/>
                <w:sz w:val="18"/>
                <w:szCs w:val="18"/>
              </w:rPr>
              <w:t>Cooling fans, ventilation blowers, process air fans</w:t>
            </w:r>
          </w:p>
        </w:tc>
      </w:tr>
      <w:tr w:rsidR="002F1C61" w14:paraId="27BCA8F3" w14:textId="77777777">
        <w:tblPrEx>
          <w:tblCellMar>
            <w:top w:w="0" w:type="dxa"/>
            <w:bottom w:w="0" w:type="dxa"/>
          </w:tblCellMar>
        </w:tblPrEx>
        <w:tc>
          <w:tcPr>
            <w:tcW w:w="9360" w:type="dxa"/>
            <w:gridSpan w:val="4"/>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384770BC" w14:textId="77777777" w:rsidR="002F1C61" w:rsidRDefault="00000000">
            <w:pPr>
              <w:spacing w:after="60"/>
            </w:pPr>
            <w:r>
              <w:rPr>
                <w:b/>
                <w:bCs/>
                <w:color w:val="2E6096"/>
                <w:sz w:val="18"/>
                <w:szCs w:val="18"/>
              </w:rPr>
              <w:t>STATIC VESSELS</w:t>
            </w:r>
          </w:p>
        </w:tc>
      </w:tr>
      <w:tr w:rsidR="002F1C61" w14:paraId="254E47E0"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AA4527" w14:textId="77777777" w:rsidR="002F1C61" w:rsidRDefault="00000000">
            <w:pPr>
              <w:spacing w:after="60"/>
            </w:pPr>
            <w:r>
              <w:rPr>
                <w:b/>
                <w:bCs/>
                <w:sz w:val="19"/>
                <w:szCs w:val="19"/>
              </w:rPr>
              <w:t>VES-001</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2B989A" w14:textId="77777777" w:rsidR="002F1C61" w:rsidRDefault="00000000">
            <w:pPr>
              <w:spacing w:after="60"/>
            </w:pPr>
            <w:r>
              <w:rPr>
                <w:b/>
                <w:bCs/>
                <w:sz w:val="20"/>
                <w:szCs w:val="20"/>
              </w:rPr>
              <w:t>Pressure Vessel</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89FE9A" w14:textId="77777777" w:rsidR="002F1C61" w:rsidRDefault="00000000">
            <w:pPr>
              <w:spacing w:after="60"/>
            </w:pPr>
            <w:r>
              <w:rPr>
                <w:sz w:val="19"/>
                <w:szCs w:val="19"/>
              </w:rPr>
              <w:t>Closed container operating above atmospheric pressure. Label the full outer envelope including nozzles and manways.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DF90555" w14:textId="77777777" w:rsidR="002F1C61" w:rsidRDefault="00000000">
            <w:pPr>
              <w:spacing w:after="60"/>
            </w:pPr>
            <w:r>
              <w:rPr>
                <w:color w:val="555555"/>
                <w:sz w:val="18"/>
                <w:szCs w:val="18"/>
              </w:rPr>
              <w:t>Reactors, separators, accumulators</w:t>
            </w:r>
          </w:p>
        </w:tc>
      </w:tr>
      <w:tr w:rsidR="002F1C61" w14:paraId="00680744"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28267B" w14:textId="77777777" w:rsidR="002F1C61" w:rsidRDefault="00000000">
            <w:pPr>
              <w:spacing w:after="60"/>
            </w:pPr>
            <w:r>
              <w:rPr>
                <w:b/>
                <w:bCs/>
                <w:sz w:val="19"/>
                <w:szCs w:val="19"/>
              </w:rPr>
              <w:t>VES-002</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5908CF" w14:textId="77777777" w:rsidR="002F1C61" w:rsidRDefault="00000000">
            <w:pPr>
              <w:spacing w:after="60"/>
            </w:pPr>
            <w:r>
              <w:rPr>
                <w:b/>
                <w:bCs/>
                <w:sz w:val="20"/>
                <w:szCs w:val="20"/>
              </w:rPr>
              <w:t>Storage Tank</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B3DC04" w14:textId="77777777" w:rsidR="002F1C61" w:rsidRDefault="00000000">
            <w:pPr>
              <w:spacing w:after="60"/>
            </w:pPr>
            <w:r>
              <w:rPr>
                <w:sz w:val="19"/>
                <w:szCs w:val="19"/>
              </w:rPr>
              <w:t xml:space="preserve">Open-top or closed tank for bulk liquid or gas storage. Distinguish </w:t>
            </w:r>
            <w:r>
              <w:rPr>
                <w:sz w:val="19"/>
                <w:szCs w:val="19"/>
              </w:rPr>
              <w:lastRenderedPageBreak/>
              <w:t>floating-roof from fixed-roof types using shape attributes.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30C7818" w14:textId="77777777" w:rsidR="002F1C61" w:rsidRDefault="00000000">
            <w:pPr>
              <w:spacing w:after="60"/>
            </w:pPr>
            <w:r>
              <w:rPr>
                <w:color w:val="555555"/>
                <w:sz w:val="18"/>
                <w:szCs w:val="18"/>
              </w:rPr>
              <w:lastRenderedPageBreak/>
              <w:t>Atmospheric tanks, floating-roof tanks, bullets</w:t>
            </w:r>
          </w:p>
        </w:tc>
      </w:tr>
      <w:tr w:rsidR="002F1C61" w14:paraId="64DCAA9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EB6750" w14:textId="77777777" w:rsidR="002F1C61" w:rsidRDefault="00000000">
            <w:pPr>
              <w:spacing w:after="60"/>
            </w:pPr>
            <w:r>
              <w:rPr>
                <w:b/>
                <w:bCs/>
                <w:sz w:val="19"/>
                <w:szCs w:val="19"/>
              </w:rPr>
              <w:t>VES-003</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736F7" w14:textId="77777777" w:rsidR="002F1C61" w:rsidRDefault="00000000">
            <w:pPr>
              <w:spacing w:after="60"/>
            </w:pPr>
            <w:r>
              <w:rPr>
                <w:b/>
                <w:bCs/>
                <w:sz w:val="20"/>
                <w:szCs w:val="20"/>
              </w:rPr>
              <w:t>Heat Exchanger</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346DDB" w14:textId="77777777" w:rsidR="002F1C61" w:rsidRDefault="00000000">
            <w:pPr>
              <w:spacing w:after="60"/>
            </w:pPr>
            <w:r>
              <w:rPr>
                <w:sz w:val="19"/>
                <w:szCs w:val="19"/>
              </w:rPr>
              <w:t>Thermal transfer device between two fluids. Label shell and tube heads separately. Flag fouling deposits as a surface defect attribute.</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1675961" w14:textId="77777777" w:rsidR="002F1C61" w:rsidRDefault="00000000">
            <w:pPr>
              <w:spacing w:after="60"/>
            </w:pPr>
            <w:r>
              <w:rPr>
                <w:color w:val="555555"/>
                <w:sz w:val="18"/>
                <w:szCs w:val="18"/>
              </w:rPr>
              <w:t>Shell-and-tube, plate exchangers, air coolers</w:t>
            </w:r>
          </w:p>
        </w:tc>
      </w:tr>
      <w:tr w:rsidR="002F1C61" w14:paraId="204B4083"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894038" w14:textId="77777777" w:rsidR="002F1C61" w:rsidRDefault="00000000">
            <w:pPr>
              <w:spacing w:after="60"/>
            </w:pPr>
            <w:r>
              <w:rPr>
                <w:b/>
                <w:bCs/>
                <w:sz w:val="19"/>
                <w:szCs w:val="19"/>
              </w:rPr>
              <w:t>VES-004</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716442" w14:textId="77777777" w:rsidR="002F1C61" w:rsidRDefault="00000000">
            <w:pPr>
              <w:spacing w:after="60"/>
            </w:pPr>
            <w:r>
              <w:rPr>
                <w:b/>
                <w:bCs/>
                <w:sz w:val="20"/>
                <w:szCs w:val="20"/>
              </w:rPr>
              <w:t>Distillation Column</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200F7F" w14:textId="77777777" w:rsidR="002F1C61" w:rsidRDefault="00000000">
            <w:pPr>
              <w:spacing w:after="60"/>
            </w:pPr>
            <w:r>
              <w:rPr>
                <w:sz w:val="19"/>
                <w:szCs w:val="19"/>
              </w:rPr>
              <w:t>Tall vertical separation vessel with visible tray or packing internals. Label overall column envelope and top condenser as separate instances.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9FF401D" w14:textId="77777777" w:rsidR="002F1C61" w:rsidRDefault="00000000">
            <w:pPr>
              <w:spacing w:after="60"/>
            </w:pPr>
            <w:r>
              <w:rPr>
                <w:color w:val="555555"/>
                <w:sz w:val="18"/>
                <w:szCs w:val="18"/>
              </w:rPr>
              <w:t>Fractionating columns, stripping towers</w:t>
            </w:r>
          </w:p>
        </w:tc>
      </w:tr>
      <w:tr w:rsidR="002F1C61" w14:paraId="6E15F403" w14:textId="77777777">
        <w:tblPrEx>
          <w:tblCellMar>
            <w:top w:w="0" w:type="dxa"/>
            <w:bottom w:w="0" w:type="dxa"/>
          </w:tblCellMar>
        </w:tblPrEx>
        <w:tc>
          <w:tcPr>
            <w:tcW w:w="9360" w:type="dxa"/>
            <w:gridSpan w:val="4"/>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01F6A49E" w14:textId="77777777" w:rsidR="002F1C61" w:rsidRDefault="00000000">
            <w:pPr>
              <w:spacing w:after="60"/>
            </w:pPr>
            <w:r>
              <w:rPr>
                <w:b/>
                <w:bCs/>
                <w:color w:val="2E6096"/>
                <w:sz w:val="18"/>
                <w:szCs w:val="18"/>
              </w:rPr>
              <w:t>PIPING AND VALVES</w:t>
            </w:r>
          </w:p>
        </w:tc>
      </w:tr>
      <w:tr w:rsidR="002F1C61" w14:paraId="2D567D4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3EF889" w14:textId="77777777" w:rsidR="002F1C61" w:rsidRDefault="00000000">
            <w:pPr>
              <w:spacing w:after="60"/>
            </w:pPr>
            <w:r>
              <w:rPr>
                <w:b/>
                <w:bCs/>
                <w:sz w:val="19"/>
                <w:szCs w:val="19"/>
              </w:rPr>
              <w:t>PIPE-001</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D1860D" w14:textId="77777777" w:rsidR="002F1C61" w:rsidRDefault="00000000">
            <w:pPr>
              <w:spacing w:after="60"/>
            </w:pPr>
            <w:r>
              <w:rPr>
                <w:b/>
                <w:bCs/>
                <w:sz w:val="20"/>
                <w:szCs w:val="20"/>
              </w:rPr>
              <w:t>Straight Pipe Run</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1051E1" w14:textId="77777777" w:rsidR="002F1C61" w:rsidRDefault="00000000">
            <w:pPr>
              <w:spacing w:after="60"/>
            </w:pPr>
            <w:r>
              <w:rPr>
                <w:sz w:val="19"/>
                <w:szCs w:val="19"/>
              </w:rPr>
              <w:t>Continuous length of pipe without fittings within the image frame. Annotate as a polyline along centreline, not a bounding box.</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B21DE36" w14:textId="77777777" w:rsidR="002F1C61" w:rsidRDefault="00000000">
            <w:pPr>
              <w:spacing w:after="60"/>
            </w:pPr>
            <w:r>
              <w:rPr>
                <w:color w:val="555555"/>
                <w:sz w:val="18"/>
                <w:szCs w:val="18"/>
              </w:rPr>
              <w:t>Carbon steel, stainless, HDPE pipe</w:t>
            </w:r>
          </w:p>
        </w:tc>
      </w:tr>
      <w:tr w:rsidR="002F1C61" w14:paraId="60DCE1F9"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12024F" w14:textId="77777777" w:rsidR="002F1C61" w:rsidRDefault="00000000">
            <w:pPr>
              <w:spacing w:after="60"/>
            </w:pPr>
            <w:r>
              <w:rPr>
                <w:b/>
                <w:bCs/>
                <w:sz w:val="19"/>
                <w:szCs w:val="19"/>
              </w:rPr>
              <w:t>PIPE-002</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EF7CE5" w14:textId="77777777" w:rsidR="002F1C61" w:rsidRDefault="00000000">
            <w:pPr>
              <w:spacing w:after="60"/>
            </w:pPr>
            <w:r>
              <w:rPr>
                <w:b/>
                <w:bCs/>
                <w:sz w:val="20"/>
                <w:szCs w:val="20"/>
              </w:rPr>
              <w:t>Gate Valve</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97421F" w14:textId="77777777" w:rsidR="002F1C61" w:rsidRDefault="00000000">
            <w:pPr>
              <w:spacing w:after="60"/>
            </w:pPr>
            <w:r>
              <w:rPr>
                <w:sz w:val="19"/>
                <w:szCs w:val="19"/>
              </w:rPr>
              <w:t>Linear-motion isolation valve. Distinguish from globe valves by the flat bonnet profile perpendicular to flow direction.</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12D06C71" w14:textId="77777777" w:rsidR="002F1C61" w:rsidRDefault="00000000">
            <w:pPr>
              <w:spacing w:after="60"/>
            </w:pPr>
            <w:r>
              <w:rPr>
                <w:color w:val="555555"/>
                <w:sz w:val="18"/>
                <w:szCs w:val="18"/>
              </w:rPr>
              <w:t>Manual gate valves, motor-operated gate valves</w:t>
            </w:r>
          </w:p>
        </w:tc>
      </w:tr>
      <w:tr w:rsidR="002F1C61" w14:paraId="4668E16C"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D5ECC5" w14:textId="77777777" w:rsidR="002F1C61" w:rsidRDefault="00000000">
            <w:pPr>
              <w:spacing w:after="60"/>
            </w:pPr>
            <w:r>
              <w:rPr>
                <w:b/>
                <w:bCs/>
                <w:sz w:val="19"/>
                <w:szCs w:val="19"/>
              </w:rPr>
              <w:t>PIPE-003</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E8F6D7" w14:textId="77777777" w:rsidR="002F1C61" w:rsidRDefault="00000000">
            <w:pPr>
              <w:spacing w:after="60"/>
            </w:pPr>
            <w:r>
              <w:rPr>
                <w:b/>
                <w:bCs/>
                <w:sz w:val="20"/>
                <w:szCs w:val="20"/>
              </w:rPr>
              <w:t>Control Valve</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527591" w14:textId="77777777" w:rsidR="002F1C61" w:rsidRDefault="00000000">
            <w:pPr>
              <w:spacing w:after="60"/>
            </w:pPr>
            <w:r>
              <w:rPr>
                <w:sz w:val="19"/>
                <w:szCs w:val="19"/>
              </w:rPr>
              <w:t>Modulating valve with visible actuator assembly. Always label actuator and valve body as a single instance.</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F74FF08" w14:textId="77777777" w:rsidR="002F1C61" w:rsidRDefault="00000000">
            <w:pPr>
              <w:spacing w:after="60"/>
            </w:pPr>
            <w:r>
              <w:rPr>
                <w:color w:val="555555"/>
                <w:sz w:val="18"/>
                <w:szCs w:val="18"/>
              </w:rPr>
              <w:t>Globe control valves, butterfly control valves</w:t>
            </w:r>
          </w:p>
        </w:tc>
      </w:tr>
      <w:tr w:rsidR="002F1C61" w14:paraId="6E41E289"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9CCE77" w14:textId="77777777" w:rsidR="002F1C61" w:rsidRDefault="00000000">
            <w:pPr>
              <w:spacing w:after="60"/>
            </w:pPr>
            <w:r>
              <w:rPr>
                <w:b/>
                <w:bCs/>
                <w:sz w:val="19"/>
                <w:szCs w:val="19"/>
              </w:rPr>
              <w:t>PIPE-004</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A98A17" w14:textId="77777777" w:rsidR="002F1C61" w:rsidRDefault="00000000">
            <w:pPr>
              <w:spacing w:after="60"/>
            </w:pPr>
            <w:r>
              <w:rPr>
                <w:b/>
                <w:bCs/>
                <w:sz w:val="20"/>
                <w:szCs w:val="20"/>
              </w:rPr>
              <w:t>Safety Relief Valve</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236C8C" w14:textId="77777777" w:rsidR="002F1C61" w:rsidRDefault="00000000">
            <w:pPr>
              <w:spacing w:after="60"/>
            </w:pPr>
            <w:r>
              <w:rPr>
                <w:sz w:val="19"/>
                <w:szCs w:val="19"/>
              </w:rPr>
              <w:t>Spring-loaded or pilot-operated overpressure protection device. Must be labeled even if small or partially obscured (min 40% visible).</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B0808AF" w14:textId="77777777" w:rsidR="002F1C61" w:rsidRDefault="00000000">
            <w:pPr>
              <w:spacing w:after="60"/>
            </w:pPr>
            <w:r>
              <w:rPr>
                <w:color w:val="555555"/>
                <w:sz w:val="18"/>
                <w:szCs w:val="18"/>
              </w:rPr>
              <w:t>PSVs, PRVs, rupture disc assemblies</w:t>
            </w:r>
          </w:p>
        </w:tc>
      </w:tr>
    </w:tbl>
    <w:p w14:paraId="709C8E1D" w14:textId="77777777" w:rsidR="002F1C61" w:rsidRDefault="002F1C61">
      <w:pPr>
        <w:spacing w:after="200"/>
      </w:pPr>
    </w:p>
    <w:p w14:paraId="4104E18D" w14:textId="77777777" w:rsidR="002F1C61" w:rsidRDefault="00000000">
      <w:pPr>
        <w:pStyle w:val="Heading1"/>
      </w:pPr>
      <w:r>
        <w:t>3. Annotation Method Selection</w:t>
      </w:r>
    </w:p>
    <w:p w14:paraId="734DB12A" w14:textId="77777777" w:rsidR="002F1C61" w:rsidRDefault="002F1C61">
      <w:pPr>
        <w:pBdr>
          <w:bottom w:val="single" w:sz="10" w:space="1" w:color="2E6096"/>
        </w:pBdr>
        <w:spacing w:after="160"/>
      </w:pPr>
    </w:p>
    <w:p w14:paraId="06929B63" w14:textId="77777777" w:rsidR="002F1C61" w:rsidRDefault="00000000">
      <w:pPr>
        <w:spacing w:after="120"/>
      </w:pPr>
      <w:r>
        <w:t>The annotation method must match the downstream ML task. Using the wrong method increases rework and degrades model performance. When in doubt, refer to the task brief.</w:t>
      </w:r>
    </w:p>
    <w:p w14:paraId="415FD3A5" w14:textId="77777777" w:rsidR="002F1C61" w:rsidRDefault="002F1C61">
      <w:pPr>
        <w:spacing w:after="80"/>
      </w:pPr>
    </w:p>
    <w:p w14:paraId="14474101" w14:textId="77777777" w:rsidR="002F1C61" w:rsidRDefault="00000000">
      <w:pPr>
        <w:pStyle w:val="Heading2"/>
      </w:pPr>
      <w:r>
        <w:t>3.1 Bounding Box Annotation</w:t>
      </w:r>
    </w:p>
    <w:p w14:paraId="0C957199" w14:textId="77777777" w:rsidR="002F1C61" w:rsidRDefault="00000000">
      <w:pPr>
        <w:spacing w:after="120"/>
      </w:pPr>
      <w:r>
        <w:t>Use axis-aligned bounding boxes for object detection tasks. Draw the box as tightly as possible around the visible extent of the object. Do not include empty space, shadows, or reflections unless they are part of the labeled instance.</w:t>
      </w:r>
    </w:p>
    <w:p w14:paraId="5C33B0D4" w14:textId="77777777" w:rsidR="002F1C61" w:rsidRDefault="00000000">
      <w:pPr>
        <w:spacing w:after="120"/>
      </w:pPr>
      <w:r>
        <w:rPr>
          <w:b/>
          <w:bCs/>
        </w:rPr>
        <w:t xml:space="preserve">When to use: </w:t>
      </w:r>
      <w:r>
        <w:t>Object detection models, equipment counting, presence/absence classification.</w:t>
      </w:r>
    </w:p>
    <w:p w14:paraId="4613A256" w14:textId="77777777" w:rsidR="002F1C61" w:rsidRDefault="00000000">
      <w:pPr>
        <w:spacing w:after="120"/>
      </w:pPr>
      <w:r>
        <w:rPr>
          <w:b/>
          <w:bCs/>
        </w:rPr>
        <w:lastRenderedPageBreak/>
        <w:t xml:space="preserve">When not to use: </w:t>
      </w:r>
      <w:r>
        <w:t>Do not use bounding boxes for segmentation tasks or for pipe runs that are better represented as polylines.</w:t>
      </w:r>
    </w:p>
    <w:p w14:paraId="7A47979A" w14:textId="77777777" w:rsidR="002F1C61" w:rsidRDefault="00000000">
      <w:pPr>
        <w:pStyle w:val="ListParagraph"/>
        <w:numPr>
          <w:ilvl w:val="0"/>
          <w:numId w:val="2"/>
        </w:numPr>
      </w:pPr>
      <w:r>
        <w:t>The box must touch the outermost visible pixel of the object on all four sides</w:t>
      </w:r>
    </w:p>
    <w:p w14:paraId="278FF166" w14:textId="77777777" w:rsidR="002F1C61" w:rsidRDefault="00000000">
      <w:pPr>
        <w:pStyle w:val="ListParagraph"/>
        <w:numPr>
          <w:ilvl w:val="0"/>
          <w:numId w:val="2"/>
        </w:numPr>
      </w:pPr>
      <w:r>
        <w:t>For cylindrical equipment (tanks, columns), include only the visible surface, not an estimated behind-obstruction extent</w:t>
      </w:r>
    </w:p>
    <w:p w14:paraId="582C92AC" w14:textId="77777777" w:rsidR="002F1C61" w:rsidRDefault="00000000">
      <w:pPr>
        <w:pStyle w:val="ListParagraph"/>
        <w:numPr>
          <w:ilvl w:val="0"/>
          <w:numId w:val="2"/>
        </w:numPr>
      </w:pPr>
      <w:r>
        <w:t>If two instances of the same class overlap, label each separately with individual boxes</w:t>
      </w:r>
    </w:p>
    <w:p w14:paraId="4103A84D" w14:textId="77777777" w:rsidR="002F1C61" w:rsidRDefault="00000000">
      <w:pPr>
        <w:pStyle w:val="ListParagraph"/>
        <w:numPr>
          <w:ilvl w:val="0"/>
          <w:numId w:val="2"/>
        </w:numPr>
      </w:pPr>
      <w:r>
        <w:t>Partially visible objects are included if 40% or more of the estimated total object is visible</w:t>
      </w:r>
    </w:p>
    <w:p w14:paraId="445C6751" w14:textId="77777777" w:rsidR="002F1C61" w:rsidRDefault="002F1C61">
      <w:pPr>
        <w:spacing w:after="80"/>
      </w:pPr>
    </w:p>
    <w:p w14:paraId="27F463FF" w14:textId="77777777" w:rsidR="002F1C61" w:rsidRDefault="00000000">
      <w:pPr>
        <w:pStyle w:val="Heading2"/>
      </w:pPr>
      <w:r>
        <w:t>3.2 Polygon Segmentation</w:t>
      </w:r>
    </w:p>
    <w:p w14:paraId="65ACF1BF" w14:textId="77777777" w:rsidR="002F1C61" w:rsidRDefault="00000000">
      <w:pPr>
        <w:spacing w:after="120"/>
      </w:pPr>
      <w:r>
        <w:t>Polygon annotations are required for instance segmentation tasks and for any equipment where shape is diagnostically important (vessels, heat exchangers). Place vertices at real geometric boundaries, not at estimated shadow edges.</w:t>
      </w:r>
    </w:p>
    <w:p w14:paraId="36C30A7F" w14:textId="77777777" w:rsidR="002F1C61" w:rsidRDefault="00000000">
      <w:pPr>
        <w:spacing w:after="120"/>
      </w:pPr>
      <w:r>
        <w:rPr>
          <w:b/>
          <w:bCs/>
        </w:rPr>
        <w:t xml:space="preserve">Minimum vertex count: </w:t>
      </w:r>
      <w:r>
        <w:t>8 vertices for convex shapes, 16 for complex profiles. More vertices are always acceptable; fewer are not.</w:t>
      </w:r>
    </w:p>
    <w:p w14:paraId="7376895E" w14:textId="77777777" w:rsidR="002F1C61" w:rsidRDefault="00000000">
      <w:pPr>
        <w:pStyle w:val="ListParagraph"/>
        <w:numPr>
          <w:ilvl w:val="0"/>
          <w:numId w:val="2"/>
        </w:numPr>
      </w:pPr>
      <w:r>
        <w:t>Trace the actual visible silhouette, including nozzle stubs and attachment flanges</w:t>
      </w:r>
    </w:p>
    <w:p w14:paraId="2580D62F" w14:textId="77777777" w:rsidR="002F1C61" w:rsidRDefault="00000000">
      <w:pPr>
        <w:pStyle w:val="ListParagraph"/>
        <w:numPr>
          <w:ilvl w:val="0"/>
          <w:numId w:val="2"/>
        </w:numPr>
      </w:pPr>
      <w:r>
        <w:t>For occluded regions, trace to the last visible point and close the polygon there; do not estimate the hidden boundary</w:t>
      </w:r>
    </w:p>
    <w:p w14:paraId="5AA58670" w14:textId="77777777" w:rsidR="002F1C61" w:rsidRDefault="00000000">
      <w:pPr>
        <w:pStyle w:val="ListParagraph"/>
        <w:numPr>
          <w:ilvl w:val="0"/>
          <w:numId w:val="2"/>
        </w:numPr>
      </w:pPr>
      <w:r>
        <w:t>Avoid self-intersecting polygons; they will be rejected by the QC pipeline</w:t>
      </w:r>
    </w:p>
    <w:p w14:paraId="1B236DD3" w14:textId="77777777" w:rsidR="002F1C61" w:rsidRDefault="002F1C61">
      <w:pPr>
        <w:spacing w:after="80"/>
      </w:pPr>
    </w:p>
    <w:p w14:paraId="39390A26" w14:textId="77777777" w:rsidR="002F1C61" w:rsidRDefault="00000000">
      <w:pPr>
        <w:pStyle w:val="Heading2"/>
      </w:pPr>
      <w:r>
        <w:t>3.3 3D Point Cloud Annotation (LiDAR)</w:t>
      </w:r>
    </w:p>
    <w:p w14:paraId="5C472D1E" w14:textId="77777777" w:rsidR="002F1C61" w:rsidRDefault="00000000">
      <w:pPr>
        <w:spacing w:after="120"/>
      </w:pPr>
      <w:r>
        <w:t>Point cloud tasks require annotating 3D bounding cuboids around equipment instances in sensor coordinate space. Use the orthographic top, front, and side views simultaneously to position the cuboid accurately.</w:t>
      </w:r>
    </w:p>
    <w:p w14:paraId="319AC585" w14:textId="77777777" w:rsidR="002F1C61" w:rsidRDefault="00000000">
      <w:pPr>
        <w:pStyle w:val="ListParagraph"/>
        <w:numPr>
          <w:ilvl w:val="0"/>
          <w:numId w:val="2"/>
        </w:numPr>
      </w:pPr>
      <w:r>
        <w:t>Cuboid height should cover the full vertical extent including any mounting base</w:t>
      </w:r>
    </w:p>
    <w:p w14:paraId="19984F31" w14:textId="77777777" w:rsidR="002F1C61" w:rsidRDefault="00000000">
      <w:pPr>
        <w:pStyle w:val="ListParagraph"/>
        <w:numPr>
          <w:ilvl w:val="0"/>
          <w:numId w:val="2"/>
        </w:numPr>
      </w:pPr>
      <w:r>
        <w:t>Cuboid orientation must align with the equipment's principal axis, not with the global coordinate frame</w:t>
      </w:r>
    </w:p>
    <w:p w14:paraId="0322D668" w14:textId="77777777" w:rsidR="002F1C61" w:rsidRDefault="00000000">
      <w:pPr>
        <w:pStyle w:val="ListParagraph"/>
        <w:numPr>
          <w:ilvl w:val="0"/>
          <w:numId w:val="2"/>
        </w:numPr>
      </w:pPr>
      <w:r>
        <w:t>For cylindrical objects, the cuboid long axis must align with the cylinder axis</w:t>
      </w:r>
    </w:p>
    <w:p w14:paraId="6A8811D2" w14:textId="77777777" w:rsidR="002F1C61" w:rsidRDefault="00000000">
      <w:pPr>
        <w:pStyle w:val="ListParagraph"/>
        <w:numPr>
          <w:ilvl w:val="0"/>
          <w:numId w:val="2"/>
        </w:numPr>
      </w:pPr>
      <w:r>
        <w:t>Minimum point density for labeling: 50 points within the object boundary; flag sparse objects with density_flag=LOW</w:t>
      </w:r>
    </w:p>
    <w:p w14:paraId="01208E6C" w14:textId="77777777" w:rsidR="002F1C61" w:rsidRDefault="00000000">
      <w:pPr>
        <w:pStyle w:val="ListParagraph"/>
        <w:numPr>
          <w:ilvl w:val="0"/>
          <w:numId w:val="2"/>
        </w:numPr>
      </w:pPr>
      <w:r>
        <w:t>Ghost returns and noise points outside the hull should not be included in the cuboid extent</w:t>
      </w:r>
    </w:p>
    <w:p w14:paraId="59046348" w14:textId="77777777" w:rsidR="002F1C61" w:rsidRDefault="002F1C61">
      <w:pPr>
        <w:spacing w:after="160"/>
      </w:pPr>
    </w:p>
    <w:p w14:paraId="186194C8" w14:textId="77777777" w:rsidR="002F1C61" w:rsidRDefault="00000000">
      <w:pPr>
        <w:pStyle w:val="Heading1"/>
      </w:pPr>
      <w:r>
        <w:t>4. Defect Classification and Severity Grading</w:t>
      </w:r>
    </w:p>
    <w:p w14:paraId="72957081" w14:textId="77777777" w:rsidR="002F1C61" w:rsidRDefault="002F1C61">
      <w:pPr>
        <w:pBdr>
          <w:bottom w:val="single" w:sz="10" w:space="1" w:color="2E6096"/>
        </w:pBdr>
        <w:spacing w:after="160"/>
      </w:pPr>
    </w:p>
    <w:p w14:paraId="6A09F960" w14:textId="77777777" w:rsidR="002F1C61" w:rsidRDefault="00000000">
      <w:pPr>
        <w:spacing w:after="120"/>
      </w:pPr>
      <w:r>
        <w:t>Defects are labeled as a secondary layer on top of the primary equipment instance. Every defect annotation must have a parent equipment instance. Standalone defect labels without a parent are invalid.</w:t>
      </w:r>
    </w:p>
    <w:p w14:paraId="1BB0C31A" w14:textId="77777777" w:rsidR="002F1C61" w:rsidRDefault="002F1C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3660"/>
        <w:gridCol w:w="2900"/>
      </w:tblGrid>
      <w:tr w:rsidR="002F1C61" w14:paraId="208181CB" w14:textId="77777777">
        <w:tblPrEx>
          <w:tblCellMar>
            <w:top w:w="0" w:type="dxa"/>
            <w:bottom w:w="0" w:type="dxa"/>
          </w:tblCellMar>
        </w:tblPrEx>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tcPr>
          <w:p w14:paraId="67396D26" w14:textId="77777777" w:rsidR="002F1C61" w:rsidRDefault="00000000">
            <w:pPr>
              <w:spacing w:after="60"/>
            </w:pPr>
            <w:r>
              <w:rPr>
                <w:b/>
                <w:bCs/>
                <w:color w:val="FFFFFF"/>
                <w:sz w:val="20"/>
                <w:szCs w:val="20"/>
              </w:rPr>
              <w:lastRenderedPageBreak/>
              <w:t>Severity</w:t>
            </w:r>
          </w:p>
        </w:tc>
        <w:tc>
          <w:tcPr>
            <w:tcW w:w="15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tcPr>
          <w:p w14:paraId="211D2732" w14:textId="77777777" w:rsidR="002F1C61" w:rsidRDefault="00000000">
            <w:pPr>
              <w:spacing w:after="60"/>
            </w:pPr>
            <w:r>
              <w:rPr>
                <w:b/>
                <w:bCs/>
                <w:color w:val="FFFFFF"/>
                <w:sz w:val="20"/>
                <w:szCs w:val="20"/>
              </w:rPr>
              <w:t>Grade</w:t>
            </w:r>
          </w:p>
        </w:tc>
        <w:tc>
          <w:tcPr>
            <w:tcW w:w="366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tcPr>
          <w:p w14:paraId="76755B37" w14:textId="77777777" w:rsidR="002F1C61" w:rsidRDefault="00000000">
            <w:pPr>
              <w:spacing w:after="60"/>
            </w:pPr>
            <w:r>
              <w:rPr>
                <w:b/>
                <w:bCs/>
                <w:color w:val="FFFFFF"/>
                <w:sz w:val="20"/>
                <w:szCs w:val="20"/>
              </w:rPr>
              <w:t>Visual Criteria</w:t>
            </w:r>
          </w:p>
        </w:tc>
        <w:tc>
          <w:tcPr>
            <w:tcW w:w="29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tcPr>
          <w:p w14:paraId="0F3933B6" w14:textId="77777777" w:rsidR="002F1C61" w:rsidRDefault="00000000">
            <w:pPr>
              <w:spacing w:after="60"/>
            </w:pPr>
            <w:r>
              <w:rPr>
                <w:b/>
                <w:bCs/>
                <w:color w:val="FFFFFF"/>
                <w:sz w:val="20"/>
                <w:szCs w:val="20"/>
              </w:rPr>
              <w:t>Required Action</w:t>
            </w:r>
          </w:p>
        </w:tc>
      </w:tr>
      <w:tr w:rsidR="002F1C61" w14:paraId="1563D04E" w14:textId="77777777">
        <w:tblPrEx>
          <w:tblCellMar>
            <w:top w:w="0" w:type="dxa"/>
            <w:bottom w:w="0" w:type="dxa"/>
          </w:tblCellMar>
        </w:tblPrEx>
        <w:tc>
          <w:tcPr>
            <w:tcW w:w="13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235D16D3" w14:textId="77777777" w:rsidR="002F1C61" w:rsidRDefault="00000000">
            <w:pPr>
              <w:spacing w:after="60"/>
              <w:jc w:val="center"/>
            </w:pPr>
            <w:r>
              <w:rPr>
                <w:b/>
                <w:bCs/>
                <w:color w:val="C00000"/>
                <w:sz w:val="20"/>
                <w:szCs w:val="20"/>
              </w:rPr>
              <w:t>Critical</w:t>
            </w:r>
          </w:p>
        </w:tc>
        <w:tc>
          <w:tcPr>
            <w:tcW w:w="15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45415A78" w14:textId="77777777" w:rsidR="002F1C61" w:rsidRDefault="00000000">
            <w:pPr>
              <w:spacing w:after="60"/>
              <w:jc w:val="center"/>
            </w:pPr>
            <w:r>
              <w:rPr>
                <w:b/>
                <w:bCs/>
                <w:sz w:val="20"/>
                <w:szCs w:val="20"/>
              </w:rPr>
              <w:t>Grade 1</w:t>
            </w:r>
          </w:p>
        </w:tc>
        <w:tc>
          <w:tcPr>
            <w:tcW w:w="366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773881CF" w14:textId="77777777" w:rsidR="002F1C61" w:rsidRDefault="00000000">
            <w:pPr>
              <w:spacing w:after="60"/>
            </w:pPr>
            <w:r>
              <w:rPr>
                <w:sz w:val="19"/>
                <w:szCs w:val="19"/>
              </w:rPr>
              <w:t>Structural failure, active leakage, visible fracture through full wall thickness, or fire/explosion risk present.</w:t>
            </w:r>
          </w:p>
        </w:tc>
        <w:tc>
          <w:tcPr>
            <w:tcW w:w="29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4DD8E8B2" w14:textId="77777777" w:rsidR="002F1C61" w:rsidRDefault="00000000">
            <w:pPr>
              <w:spacing w:after="60"/>
            </w:pPr>
            <w:r>
              <w:rPr>
                <w:color w:val="555555"/>
                <w:sz w:val="18"/>
                <w:szCs w:val="18"/>
              </w:rPr>
              <w:t>Flag immediately. Do not submit batch. Notify project lead within 30 minutes.</w:t>
            </w:r>
          </w:p>
        </w:tc>
      </w:tr>
      <w:tr w:rsidR="002F1C61" w14:paraId="5CAD242F" w14:textId="77777777">
        <w:tblPrEx>
          <w:tblCellMar>
            <w:top w:w="0" w:type="dxa"/>
            <w:bottom w:w="0" w:type="dxa"/>
          </w:tblCellMar>
        </w:tblPrEx>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3AF96F" w14:textId="77777777" w:rsidR="002F1C61" w:rsidRDefault="00000000">
            <w:pPr>
              <w:spacing w:after="60"/>
              <w:jc w:val="center"/>
            </w:pPr>
            <w:r>
              <w:rPr>
                <w:b/>
                <w:bCs/>
                <w:color w:val="BF6000"/>
                <w:sz w:val="20"/>
                <w:szCs w:val="20"/>
              </w:rPr>
              <w:t>Major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7FDA89" w14:textId="77777777" w:rsidR="002F1C61" w:rsidRDefault="00000000">
            <w:pPr>
              <w:spacing w:after="60"/>
              <w:jc w:val="center"/>
            </w:pPr>
            <w:r>
              <w:rPr>
                <w:b/>
                <w:bCs/>
                <w:sz w:val="20"/>
                <w:szCs w:val="20"/>
              </w:rPr>
              <w:t>Grade 2</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EF90FC" w14:textId="77777777" w:rsidR="002F1C61" w:rsidRDefault="00000000">
            <w:pPr>
              <w:spacing w:after="60"/>
            </w:pPr>
            <w:r>
              <w:rPr>
                <w:sz w:val="19"/>
                <w:szCs w:val="19"/>
              </w:rPr>
              <w:t>Deep corrosion, large-area deformation, significant valve body damage, or multiple overlapping defects in the same region.</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99FDE0" w14:textId="77777777" w:rsidR="002F1C61" w:rsidRDefault="00000000">
            <w:pPr>
              <w:spacing w:after="60"/>
            </w:pPr>
            <w:r>
              <w:rPr>
                <w:color w:val="555555"/>
                <w:sz w:val="18"/>
                <w:szCs w:val="18"/>
              </w:rPr>
              <w:t>Submit with DEFECT_MAJOR flag. Batch reviewed within 24 hours.</w:t>
            </w:r>
          </w:p>
        </w:tc>
      </w:tr>
      <w:tr w:rsidR="002F1C61" w14:paraId="5FFFC8E4" w14:textId="77777777">
        <w:tblPrEx>
          <w:tblCellMar>
            <w:top w:w="0" w:type="dxa"/>
            <w:bottom w:w="0" w:type="dxa"/>
          </w:tblCellMar>
        </w:tblPrEx>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52068C" w14:textId="77777777" w:rsidR="002F1C61" w:rsidRDefault="00000000">
            <w:pPr>
              <w:spacing w:after="60"/>
              <w:jc w:val="center"/>
            </w:pPr>
            <w:r>
              <w:rPr>
                <w:b/>
                <w:bCs/>
                <w:color w:val="BF6000"/>
                <w:sz w:val="20"/>
                <w:szCs w:val="20"/>
              </w:rPr>
              <w:t>Moderate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D22324" w14:textId="77777777" w:rsidR="002F1C61" w:rsidRDefault="00000000">
            <w:pPr>
              <w:spacing w:after="60"/>
              <w:jc w:val="center"/>
            </w:pPr>
            <w:r>
              <w:rPr>
                <w:b/>
                <w:bCs/>
                <w:sz w:val="20"/>
                <w:szCs w:val="20"/>
              </w:rPr>
              <w:t>Grade 3</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9B06B3" w14:textId="77777777" w:rsidR="002F1C61" w:rsidRDefault="00000000">
            <w:pPr>
              <w:spacing w:after="60"/>
            </w:pPr>
            <w:r>
              <w:rPr>
                <w:sz w:val="19"/>
                <w:szCs w:val="19"/>
              </w:rPr>
              <w:t>Surface corrosion covering 10 to 40% of visible area, minor deformation without structural compromise, visible fouling.</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5CED13" w14:textId="77777777" w:rsidR="002F1C61" w:rsidRDefault="00000000">
            <w:pPr>
              <w:spacing w:after="60"/>
            </w:pPr>
            <w:r>
              <w:rPr>
                <w:color w:val="555555"/>
                <w:sz w:val="18"/>
                <w:szCs w:val="18"/>
              </w:rPr>
              <w:t>Label and submit normally. Include defect type attribute.</w:t>
            </w:r>
          </w:p>
        </w:tc>
      </w:tr>
      <w:tr w:rsidR="002F1C61" w14:paraId="7F079758" w14:textId="77777777">
        <w:tblPrEx>
          <w:tblCellMar>
            <w:top w:w="0" w:type="dxa"/>
            <w:bottom w:w="0" w:type="dxa"/>
          </w:tblCellMar>
        </w:tblPrEx>
        <w:tc>
          <w:tcPr>
            <w:tcW w:w="13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72CACE9B" w14:textId="77777777" w:rsidR="002F1C61" w:rsidRDefault="00000000">
            <w:pPr>
              <w:spacing w:after="60"/>
              <w:jc w:val="center"/>
            </w:pPr>
            <w:r>
              <w:rPr>
                <w:b/>
                <w:bCs/>
                <w:color w:val="375623"/>
                <w:sz w:val="20"/>
                <w:szCs w:val="20"/>
              </w:rPr>
              <w:t>Minor</w:t>
            </w:r>
          </w:p>
        </w:tc>
        <w:tc>
          <w:tcPr>
            <w:tcW w:w="15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69651335" w14:textId="77777777" w:rsidR="002F1C61" w:rsidRDefault="00000000">
            <w:pPr>
              <w:spacing w:after="60"/>
              <w:jc w:val="center"/>
            </w:pPr>
            <w:r>
              <w:rPr>
                <w:b/>
                <w:bCs/>
                <w:sz w:val="20"/>
                <w:szCs w:val="20"/>
              </w:rPr>
              <w:t>Grade 4</w:t>
            </w:r>
          </w:p>
        </w:tc>
        <w:tc>
          <w:tcPr>
            <w:tcW w:w="366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659EBEAE" w14:textId="77777777" w:rsidR="002F1C61" w:rsidRDefault="00000000">
            <w:pPr>
              <w:spacing w:after="60"/>
            </w:pPr>
            <w:r>
              <w:rPr>
                <w:sz w:val="19"/>
                <w:szCs w:val="19"/>
              </w:rPr>
              <w:t>Surface discolouration, light rust staining, hairline surface scratches, minor coating damage with no substrate exposure.</w:t>
            </w:r>
          </w:p>
        </w:tc>
        <w:tc>
          <w:tcPr>
            <w:tcW w:w="29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1605FEAB" w14:textId="77777777" w:rsidR="002F1C61" w:rsidRDefault="00000000">
            <w:pPr>
              <w:spacing w:after="60"/>
            </w:pPr>
            <w:r>
              <w:rPr>
                <w:color w:val="555555"/>
                <w:sz w:val="18"/>
                <w:szCs w:val="18"/>
              </w:rPr>
              <w:t>Label if clearly visible. Not required for distant or low-resolution views.</w:t>
            </w:r>
          </w:p>
        </w:tc>
      </w:tr>
      <w:tr w:rsidR="002F1C61" w14:paraId="4F33AC75" w14:textId="77777777">
        <w:tblPrEx>
          <w:tblCellMar>
            <w:top w:w="0" w:type="dxa"/>
            <w:bottom w:w="0" w:type="dxa"/>
          </w:tblCellMar>
        </w:tblPrEx>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1461822" w14:textId="77777777" w:rsidR="002F1C61" w:rsidRDefault="00000000">
            <w:pPr>
              <w:spacing w:after="60"/>
              <w:jc w:val="center"/>
            </w:pPr>
            <w:r>
              <w:rPr>
                <w:b/>
                <w:bCs/>
                <w:color w:val="1B4F72"/>
                <w:sz w:val="20"/>
                <w:szCs w:val="20"/>
              </w:rPr>
              <w:t>No Defect</w:t>
            </w:r>
          </w:p>
        </w:tc>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918B248" w14:textId="77777777" w:rsidR="002F1C61" w:rsidRDefault="00000000">
            <w:pPr>
              <w:spacing w:after="60"/>
              <w:jc w:val="center"/>
            </w:pPr>
            <w:r>
              <w:rPr>
                <w:b/>
                <w:bCs/>
                <w:sz w:val="20"/>
                <w:szCs w:val="20"/>
              </w:rPr>
              <w:t>Grade 5</w:t>
            </w:r>
          </w:p>
        </w:tc>
        <w:tc>
          <w:tcPr>
            <w:tcW w:w="36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37C5D82" w14:textId="77777777" w:rsidR="002F1C61" w:rsidRDefault="00000000">
            <w:pPr>
              <w:spacing w:after="60"/>
            </w:pPr>
            <w:r>
              <w:rPr>
                <w:sz w:val="19"/>
                <w:szCs w:val="19"/>
              </w:rPr>
              <w:t>Equipment visually normal. No surface anomalies, deformation, leakage, or fouling visible after full-frame inspection.</w:t>
            </w:r>
          </w:p>
        </w:tc>
        <w:tc>
          <w:tcPr>
            <w:tcW w:w="2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51C0689" w14:textId="77777777" w:rsidR="002F1C61" w:rsidRDefault="00000000">
            <w:pPr>
              <w:spacing w:after="60"/>
            </w:pPr>
            <w:r>
              <w:rPr>
                <w:color w:val="555555"/>
                <w:sz w:val="18"/>
                <w:szCs w:val="18"/>
              </w:rPr>
              <w:t>Label equipment instance only. Do not add a defect annotation.</w:t>
            </w:r>
          </w:p>
        </w:tc>
      </w:tr>
    </w:tbl>
    <w:p w14:paraId="0C6BD38F" w14:textId="77777777" w:rsidR="002F1C61" w:rsidRDefault="002F1C61">
      <w:pPr>
        <w:spacing w:after="160"/>
      </w:pPr>
    </w:p>
    <w:p w14:paraId="1F9FBA44" w14:textId="77777777" w:rsidR="002F1C61" w:rsidRDefault="00000000">
      <w:pPr>
        <w:pStyle w:val="Heading2"/>
      </w:pPr>
      <w:r>
        <w:t>4.1 Defect Co-occurrence Rules</w:t>
      </w:r>
    </w:p>
    <w:p w14:paraId="4DB987B6" w14:textId="77777777" w:rsidR="002F1C61" w:rsidRDefault="00000000">
      <w:pPr>
        <w:spacing w:after="120"/>
      </w:pPr>
      <w:r>
        <w:t>When multiple defect types appear on the same equipment instance, label each separately as individual polygon masks. Apply the following co-occurrence rules:</w:t>
      </w:r>
    </w:p>
    <w:p w14:paraId="6198361E" w14:textId="77777777" w:rsidR="002F1C61" w:rsidRDefault="00000000">
      <w:pPr>
        <w:pStyle w:val="ListParagraph"/>
        <w:numPr>
          <w:ilvl w:val="0"/>
          <w:numId w:val="2"/>
        </w:numPr>
      </w:pPr>
      <w:r>
        <w:t>Two defect masks may overlap, but each must have a distinct label code</w:t>
      </w:r>
    </w:p>
    <w:p w14:paraId="27611768" w14:textId="77777777" w:rsidR="002F1C61" w:rsidRDefault="00000000">
      <w:pPr>
        <w:pStyle w:val="ListParagraph"/>
        <w:numPr>
          <w:ilvl w:val="0"/>
          <w:numId w:val="2"/>
        </w:numPr>
      </w:pPr>
      <w:r>
        <w:t>The severity of the equipment instance record should reflect the highest individual defect severity present</w:t>
      </w:r>
    </w:p>
    <w:p w14:paraId="52CBC9F2" w14:textId="77777777" w:rsidR="002F1C61" w:rsidRDefault="00000000">
      <w:pPr>
        <w:pStyle w:val="ListParagraph"/>
        <w:numPr>
          <w:ilvl w:val="0"/>
          <w:numId w:val="2"/>
        </w:numPr>
      </w:pPr>
      <w:r>
        <w:t>More than three overlapping defects on one instance should trigger a Grade 1 or Grade 2 severity flag regardless of individual defect grades</w:t>
      </w:r>
    </w:p>
    <w:p w14:paraId="6F0F2898" w14:textId="77777777" w:rsidR="002F1C61" w:rsidRDefault="002F1C61">
      <w:pPr>
        <w:spacing w:after="160"/>
      </w:pPr>
    </w:p>
    <w:p w14:paraId="33954DB3" w14:textId="77777777" w:rsidR="002F1C61" w:rsidRDefault="00000000">
      <w:pPr>
        <w:pStyle w:val="Heading1"/>
      </w:pPr>
      <w:r>
        <w:t>5. Quality Standards and Acceptance Criteria</w:t>
      </w:r>
    </w:p>
    <w:p w14:paraId="01D296E3" w14:textId="77777777" w:rsidR="002F1C61" w:rsidRDefault="002F1C61">
      <w:pPr>
        <w:pBdr>
          <w:bottom w:val="single" w:sz="10" w:space="1" w:color="2E6096"/>
        </w:pBdr>
        <w:spacing w:after="160"/>
      </w:pPr>
    </w:p>
    <w:p w14:paraId="06F32130" w14:textId="77777777" w:rsidR="002F1C61" w:rsidRDefault="00000000">
      <w:pPr>
        <w:spacing w:after="120"/>
      </w:pPr>
      <w:r>
        <w:t>All annotations are subject to two-stage QC review before acceptance into the training dataset. Stage one is automated geometric and schema validation. Stage two is human audit of a random 15% sample per batch.</w:t>
      </w:r>
    </w:p>
    <w:p w14:paraId="384CF40D" w14:textId="77777777" w:rsidR="002F1C61" w:rsidRDefault="002F1C61">
      <w:pPr>
        <w:spacing w:after="80"/>
      </w:pPr>
    </w:p>
    <w:p w14:paraId="7B3B5760" w14:textId="77777777" w:rsidR="002F1C61" w:rsidRDefault="00000000">
      <w:pPr>
        <w:pStyle w:val="Heading2"/>
      </w:pPr>
      <w:r>
        <w:t>5.1 Quantitative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120"/>
        <w:gridCol w:w="2120"/>
        <w:gridCol w:w="2000"/>
      </w:tblGrid>
      <w:tr w:rsidR="002F1C61" w14:paraId="60CA60C6" w14:textId="77777777">
        <w:tblPrEx>
          <w:tblCellMar>
            <w:top w:w="0" w:type="dxa"/>
            <w:bottom w:w="0" w:type="dxa"/>
          </w:tblCellMar>
        </w:tblPrEx>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tcPr>
          <w:p w14:paraId="2E93E56D" w14:textId="77777777" w:rsidR="002F1C61" w:rsidRDefault="00000000">
            <w:pPr>
              <w:spacing w:after="60"/>
            </w:pPr>
            <w:r>
              <w:rPr>
                <w:b/>
                <w:bCs/>
                <w:color w:val="FFFFFF"/>
                <w:sz w:val="20"/>
                <w:szCs w:val="20"/>
              </w:rPr>
              <w:t>Metric</w:t>
            </w:r>
          </w:p>
        </w:tc>
        <w:tc>
          <w:tcPr>
            <w:tcW w:w="212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tcPr>
          <w:p w14:paraId="7AD561A2" w14:textId="77777777" w:rsidR="002F1C61" w:rsidRDefault="00000000">
            <w:pPr>
              <w:spacing w:after="60"/>
            </w:pPr>
            <w:r>
              <w:rPr>
                <w:b/>
                <w:bCs/>
                <w:color w:val="FFFFFF"/>
                <w:sz w:val="20"/>
                <w:szCs w:val="20"/>
              </w:rPr>
              <w:t>Minimum (Pass)</w:t>
            </w:r>
          </w:p>
        </w:tc>
        <w:tc>
          <w:tcPr>
            <w:tcW w:w="212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tcPr>
          <w:p w14:paraId="670F784A" w14:textId="77777777" w:rsidR="002F1C61" w:rsidRDefault="00000000">
            <w:pPr>
              <w:spacing w:after="60"/>
            </w:pPr>
            <w:r>
              <w:rPr>
                <w:b/>
                <w:bCs/>
                <w:color w:val="FFFFFF"/>
                <w:sz w:val="20"/>
                <w:szCs w:val="20"/>
              </w:rPr>
              <w:t>Target</w:t>
            </w:r>
          </w:p>
        </w:tc>
        <w:tc>
          <w:tcPr>
            <w:tcW w:w="20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tcPr>
          <w:p w14:paraId="57869336" w14:textId="77777777" w:rsidR="002F1C61" w:rsidRDefault="00000000">
            <w:pPr>
              <w:spacing w:after="60"/>
            </w:pPr>
            <w:r>
              <w:rPr>
                <w:b/>
                <w:bCs/>
                <w:color w:val="FFFFFF"/>
                <w:sz w:val="20"/>
                <w:szCs w:val="20"/>
              </w:rPr>
              <w:t>Auto-Reject Below</w:t>
            </w:r>
          </w:p>
        </w:tc>
      </w:tr>
      <w:tr w:rsidR="002F1C61" w14:paraId="4A82C7F0"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EF63D2" w14:textId="77777777" w:rsidR="002F1C61" w:rsidRDefault="00000000">
            <w:pPr>
              <w:spacing w:after="60"/>
            </w:pPr>
            <w:r>
              <w:t>Bounding box IoU vs. consensus</w:t>
            </w:r>
          </w:p>
        </w:tc>
        <w:tc>
          <w:tcPr>
            <w:tcW w:w="212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50D54B9A" w14:textId="77777777" w:rsidR="002F1C61" w:rsidRDefault="00000000">
            <w:pPr>
              <w:spacing w:after="60"/>
              <w:jc w:val="center"/>
            </w:pPr>
            <w:r>
              <w:rPr>
                <w:b/>
                <w:bCs/>
                <w:color w:val="BF6000"/>
              </w:rPr>
              <w:t>0.80</w:t>
            </w:r>
          </w:p>
        </w:tc>
        <w:tc>
          <w:tcPr>
            <w:tcW w:w="212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21C22465" w14:textId="77777777" w:rsidR="002F1C61" w:rsidRDefault="00000000">
            <w:pPr>
              <w:spacing w:after="60"/>
              <w:jc w:val="center"/>
            </w:pPr>
            <w:r>
              <w:rPr>
                <w:b/>
                <w:bCs/>
                <w:color w:val="375623"/>
              </w:rPr>
              <w:t>0.90</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2FFAFB2D" w14:textId="77777777" w:rsidR="002F1C61" w:rsidRDefault="00000000">
            <w:pPr>
              <w:spacing w:after="60"/>
              <w:jc w:val="center"/>
            </w:pPr>
            <w:r>
              <w:rPr>
                <w:b/>
                <w:bCs/>
                <w:color w:val="C00000"/>
              </w:rPr>
              <w:t>0.70</w:t>
            </w:r>
          </w:p>
        </w:tc>
      </w:tr>
      <w:tr w:rsidR="002F1C61" w14:paraId="49543982"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3D0CD2" w14:textId="77777777" w:rsidR="002F1C61" w:rsidRDefault="00000000">
            <w:pPr>
              <w:spacing w:after="60"/>
            </w:pPr>
            <w:r>
              <w:t>Polygon Dice coefficient</w:t>
            </w:r>
          </w:p>
        </w:tc>
        <w:tc>
          <w:tcPr>
            <w:tcW w:w="212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3F218478" w14:textId="77777777" w:rsidR="002F1C61" w:rsidRDefault="00000000">
            <w:pPr>
              <w:spacing w:after="60"/>
              <w:jc w:val="center"/>
            </w:pPr>
            <w:r>
              <w:rPr>
                <w:b/>
                <w:bCs/>
                <w:color w:val="BF6000"/>
              </w:rPr>
              <w:t>0.78</w:t>
            </w:r>
          </w:p>
        </w:tc>
        <w:tc>
          <w:tcPr>
            <w:tcW w:w="212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03E3C192" w14:textId="77777777" w:rsidR="002F1C61" w:rsidRDefault="00000000">
            <w:pPr>
              <w:spacing w:after="60"/>
              <w:jc w:val="center"/>
            </w:pPr>
            <w:r>
              <w:rPr>
                <w:b/>
                <w:bCs/>
                <w:color w:val="375623"/>
              </w:rPr>
              <w:t>0.88</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385A693" w14:textId="77777777" w:rsidR="002F1C61" w:rsidRDefault="00000000">
            <w:pPr>
              <w:spacing w:after="60"/>
              <w:jc w:val="center"/>
            </w:pPr>
            <w:r>
              <w:rPr>
                <w:b/>
                <w:bCs/>
                <w:color w:val="C00000"/>
              </w:rPr>
              <w:t>0.65</w:t>
            </w:r>
          </w:p>
        </w:tc>
      </w:tr>
      <w:tr w:rsidR="002F1C61" w14:paraId="2BDB0796"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2EFD7A" w14:textId="77777777" w:rsidR="002F1C61" w:rsidRDefault="00000000">
            <w:pPr>
              <w:spacing w:after="60"/>
            </w:pPr>
            <w:r>
              <w:lastRenderedPageBreak/>
              <w:t>Class label accuracy</w:t>
            </w:r>
          </w:p>
        </w:tc>
        <w:tc>
          <w:tcPr>
            <w:tcW w:w="212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08BF1594" w14:textId="77777777" w:rsidR="002F1C61" w:rsidRDefault="00000000">
            <w:pPr>
              <w:spacing w:after="60"/>
              <w:jc w:val="center"/>
            </w:pPr>
            <w:r>
              <w:rPr>
                <w:b/>
                <w:bCs/>
                <w:color w:val="BF6000"/>
              </w:rPr>
              <w:t>96%</w:t>
            </w:r>
          </w:p>
        </w:tc>
        <w:tc>
          <w:tcPr>
            <w:tcW w:w="212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25AB8398" w14:textId="77777777" w:rsidR="002F1C61" w:rsidRDefault="00000000">
            <w:pPr>
              <w:spacing w:after="60"/>
              <w:jc w:val="center"/>
            </w:pPr>
            <w:r>
              <w:rPr>
                <w:b/>
                <w:bCs/>
                <w:color w:val="375623"/>
              </w:rPr>
              <w:t>98.5%</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FE413DE" w14:textId="77777777" w:rsidR="002F1C61" w:rsidRDefault="00000000">
            <w:pPr>
              <w:spacing w:after="60"/>
              <w:jc w:val="center"/>
            </w:pPr>
            <w:r>
              <w:rPr>
                <w:b/>
                <w:bCs/>
                <w:color w:val="C00000"/>
              </w:rPr>
              <w:t>92%</w:t>
            </w:r>
          </w:p>
        </w:tc>
      </w:tr>
      <w:tr w:rsidR="002F1C61" w14:paraId="324D271C"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BEDA77" w14:textId="77777777" w:rsidR="002F1C61" w:rsidRDefault="00000000">
            <w:pPr>
              <w:spacing w:after="60"/>
            </w:pPr>
            <w:r>
              <w:t>Defect severity label accuracy</w:t>
            </w:r>
          </w:p>
        </w:tc>
        <w:tc>
          <w:tcPr>
            <w:tcW w:w="212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10CFB9F6" w14:textId="77777777" w:rsidR="002F1C61" w:rsidRDefault="00000000">
            <w:pPr>
              <w:spacing w:after="60"/>
              <w:jc w:val="center"/>
            </w:pPr>
            <w:r>
              <w:rPr>
                <w:b/>
                <w:bCs/>
                <w:color w:val="BF6000"/>
              </w:rPr>
              <w:t>93%</w:t>
            </w:r>
          </w:p>
        </w:tc>
        <w:tc>
          <w:tcPr>
            <w:tcW w:w="212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0C1DC4B9" w14:textId="77777777" w:rsidR="002F1C61" w:rsidRDefault="00000000">
            <w:pPr>
              <w:spacing w:after="60"/>
              <w:jc w:val="center"/>
            </w:pPr>
            <w:r>
              <w:rPr>
                <w:b/>
                <w:bCs/>
                <w:color w:val="375623"/>
              </w:rPr>
              <w:t>97%</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D10A314" w14:textId="77777777" w:rsidR="002F1C61" w:rsidRDefault="00000000">
            <w:pPr>
              <w:spacing w:after="60"/>
              <w:jc w:val="center"/>
            </w:pPr>
            <w:r>
              <w:rPr>
                <w:b/>
                <w:bCs/>
                <w:color w:val="C00000"/>
              </w:rPr>
              <w:t>88%</w:t>
            </w:r>
          </w:p>
        </w:tc>
      </w:tr>
      <w:tr w:rsidR="002F1C61" w14:paraId="33C5B405"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E225ED" w14:textId="77777777" w:rsidR="002F1C61" w:rsidRDefault="00000000">
            <w:pPr>
              <w:spacing w:after="60"/>
            </w:pPr>
            <w:r>
              <w:t>Inter-annotator agreement (Cohen kappa)</w:t>
            </w:r>
          </w:p>
        </w:tc>
        <w:tc>
          <w:tcPr>
            <w:tcW w:w="212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02D5DD41" w14:textId="77777777" w:rsidR="002F1C61" w:rsidRDefault="00000000">
            <w:pPr>
              <w:spacing w:after="60"/>
              <w:jc w:val="center"/>
            </w:pPr>
            <w:r>
              <w:rPr>
                <w:b/>
                <w:bCs/>
                <w:color w:val="BF6000"/>
              </w:rPr>
              <w:t>0.75</w:t>
            </w:r>
          </w:p>
        </w:tc>
        <w:tc>
          <w:tcPr>
            <w:tcW w:w="212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6195A628" w14:textId="77777777" w:rsidR="002F1C61" w:rsidRDefault="00000000">
            <w:pPr>
              <w:spacing w:after="60"/>
              <w:jc w:val="center"/>
            </w:pPr>
            <w:r>
              <w:rPr>
                <w:b/>
                <w:bCs/>
                <w:color w:val="375623"/>
              </w:rPr>
              <w:t>0.85</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514386E" w14:textId="77777777" w:rsidR="002F1C61" w:rsidRDefault="00000000">
            <w:pPr>
              <w:spacing w:after="60"/>
              <w:jc w:val="center"/>
            </w:pPr>
            <w:r>
              <w:rPr>
                <w:b/>
                <w:bCs/>
                <w:color w:val="C00000"/>
              </w:rPr>
              <w:t>0.65</w:t>
            </w:r>
          </w:p>
        </w:tc>
      </w:tr>
      <w:tr w:rsidR="002F1C61" w14:paraId="1E7E1907"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97F869" w14:textId="77777777" w:rsidR="002F1C61" w:rsidRDefault="00000000">
            <w:pPr>
              <w:spacing w:after="60"/>
            </w:pPr>
            <w:r>
              <w:t>Point cloud cuboid volume overlap</w:t>
            </w:r>
          </w:p>
        </w:tc>
        <w:tc>
          <w:tcPr>
            <w:tcW w:w="212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5B21B0C1" w14:textId="77777777" w:rsidR="002F1C61" w:rsidRDefault="00000000">
            <w:pPr>
              <w:spacing w:after="60"/>
              <w:jc w:val="center"/>
            </w:pPr>
            <w:r>
              <w:rPr>
                <w:b/>
                <w:bCs/>
                <w:color w:val="BF6000"/>
              </w:rPr>
              <w:t>0.75</w:t>
            </w:r>
          </w:p>
        </w:tc>
        <w:tc>
          <w:tcPr>
            <w:tcW w:w="212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3686C96F" w14:textId="77777777" w:rsidR="002F1C61" w:rsidRDefault="00000000">
            <w:pPr>
              <w:spacing w:after="60"/>
              <w:jc w:val="center"/>
            </w:pPr>
            <w:r>
              <w:rPr>
                <w:b/>
                <w:bCs/>
                <w:color w:val="375623"/>
              </w:rPr>
              <w:t>0.88</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BEA81AF" w14:textId="77777777" w:rsidR="002F1C61" w:rsidRDefault="00000000">
            <w:pPr>
              <w:spacing w:after="60"/>
              <w:jc w:val="center"/>
            </w:pPr>
            <w:r>
              <w:rPr>
                <w:b/>
                <w:bCs/>
                <w:color w:val="C00000"/>
              </w:rPr>
              <w:t>0.60</w:t>
            </w:r>
          </w:p>
        </w:tc>
      </w:tr>
    </w:tbl>
    <w:p w14:paraId="6692DE28" w14:textId="77777777" w:rsidR="002F1C61" w:rsidRDefault="002F1C61">
      <w:pPr>
        <w:spacing w:after="160"/>
      </w:pPr>
    </w:p>
    <w:p w14:paraId="2B61A2B6" w14:textId="77777777" w:rsidR="002F1C61" w:rsidRDefault="00000000">
      <w:pPr>
        <w:pStyle w:val="Heading2"/>
      </w:pPr>
      <w:r>
        <w:t>5.2 Common Rejection Reasons</w:t>
      </w:r>
    </w:p>
    <w:p w14:paraId="5BABF576" w14:textId="77777777" w:rsidR="002F1C61" w:rsidRDefault="00000000">
      <w:pPr>
        <w:spacing w:after="120"/>
      </w:pPr>
      <w:r>
        <w:t>The following issues account for approximately 78% of rejected annotations in historical audits. Reviewing these before submission reduces rework significantly.</w:t>
      </w:r>
    </w:p>
    <w:p w14:paraId="6EF4856F" w14:textId="77777777" w:rsidR="002F1C61" w:rsidRDefault="002F1C61">
      <w:pPr>
        <w:spacing w:after="80"/>
      </w:pPr>
    </w:p>
    <w:p w14:paraId="35AFDDCC" w14:textId="77777777" w:rsidR="002F1C61" w:rsidRDefault="00000000">
      <w:pPr>
        <w:pStyle w:val="ListParagraph"/>
        <w:numPr>
          <w:ilvl w:val="0"/>
          <w:numId w:val="3"/>
        </w:numPr>
      </w:pPr>
      <w:r>
        <w:t>Bounding box too large, with empty space included at the edge. The box should sit flush against the visible object boundary.</w:t>
      </w:r>
    </w:p>
    <w:p w14:paraId="36DCB94C" w14:textId="77777777" w:rsidR="002F1C61" w:rsidRDefault="00000000">
      <w:pPr>
        <w:pStyle w:val="ListParagraph"/>
        <w:numPr>
          <w:ilvl w:val="0"/>
          <w:numId w:val="3"/>
        </w:numPr>
      </w:pPr>
      <w:r>
        <w:t>Wrong class assigned to a partially visible object. When class cannot be determined with confidence, use the UNKNOWN class with a free-text description.</w:t>
      </w:r>
    </w:p>
    <w:p w14:paraId="4CBD5873" w14:textId="77777777" w:rsidR="002F1C61" w:rsidRDefault="00000000">
      <w:pPr>
        <w:pStyle w:val="ListParagraph"/>
        <w:numPr>
          <w:ilvl w:val="0"/>
          <w:numId w:val="3"/>
        </w:numPr>
      </w:pPr>
      <w:r>
        <w:t>Defect annotation missing a parent equipment instance. Every defect polygon must have a parent_id attribute pointing to an equipment label.</w:t>
      </w:r>
    </w:p>
    <w:p w14:paraId="16F70454" w14:textId="77777777" w:rsidR="002F1C61" w:rsidRDefault="00000000">
      <w:pPr>
        <w:pStyle w:val="ListParagraph"/>
        <w:numPr>
          <w:ilvl w:val="0"/>
          <w:numId w:val="3"/>
        </w:numPr>
      </w:pPr>
      <w:r>
        <w:t>Polygon vertices placed outside the image frame. Close all polygons within the canvas boundary.</w:t>
      </w:r>
    </w:p>
    <w:p w14:paraId="1D6DC81C" w14:textId="77777777" w:rsidR="002F1C61" w:rsidRDefault="00000000">
      <w:pPr>
        <w:pStyle w:val="ListParagraph"/>
        <w:numPr>
          <w:ilvl w:val="0"/>
          <w:numId w:val="3"/>
        </w:numPr>
      </w:pPr>
      <w:r>
        <w:t>Severity grade inconsistent with defect description. Grade 1 is reserved for immediate safety risk only.</w:t>
      </w:r>
    </w:p>
    <w:p w14:paraId="17A2997D" w14:textId="77777777" w:rsidR="002F1C61" w:rsidRDefault="00000000">
      <w:pPr>
        <w:pStyle w:val="ListParagraph"/>
        <w:numPr>
          <w:ilvl w:val="0"/>
          <w:numId w:val="3"/>
        </w:numPr>
      </w:pPr>
      <w:r>
        <w:t>Duplicate annotations on the same object instance. Use the merge tool if two annotators have labeled the same object separately.</w:t>
      </w:r>
    </w:p>
    <w:p w14:paraId="53E7168B" w14:textId="77777777" w:rsidR="002F1C61" w:rsidRDefault="002F1C61">
      <w:pPr>
        <w:spacing w:after="160"/>
      </w:pPr>
    </w:p>
    <w:p w14:paraId="6358ACEF" w14:textId="77777777" w:rsidR="002F1C61" w:rsidRDefault="00000000">
      <w:pPr>
        <w:pStyle w:val="Heading1"/>
      </w:pPr>
      <w:r>
        <w:t>6. Edge Case Handling</w:t>
      </w:r>
    </w:p>
    <w:p w14:paraId="5BEF2FE1" w14:textId="77777777" w:rsidR="002F1C61" w:rsidRDefault="002F1C61">
      <w:pPr>
        <w:pBdr>
          <w:bottom w:val="single" w:sz="10" w:space="1" w:color="2E6096"/>
        </w:pBdr>
        <w:spacing w:after="160"/>
      </w:pPr>
    </w:p>
    <w:p w14:paraId="020CA987" w14:textId="77777777" w:rsidR="002F1C61" w:rsidRDefault="00000000">
      <w:pPr>
        <w:spacing w:after="120"/>
      </w:pPr>
      <w:r>
        <w:t>Edge cases must be documented. Do not resolve an ambiguous situation silently. Use the edge_case_flag attribute and write a plain-English note in the comment field describing what was uncertain and what decision was made.</w:t>
      </w:r>
    </w:p>
    <w:p w14:paraId="3AD04AE7" w14:textId="77777777" w:rsidR="002F1C61" w:rsidRDefault="002F1C61">
      <w:pPr>
        <w:spacing w:after="80"/>
      </w:pPr>
    </w:p>
    <w:p w14:paraId="63D655DC" w14:textId="77777777" w:rsidR="002F1C61" w:rsidRDefault="00000000">
      <w:pPr>
        <w:pStyle w:val="Heading2"/>
      </w:pPr>
      <w:r>
        <w:t>6.1 Occlusion</w:t>
      </w:r>
    </w:p>
    <w:p w14:paraId="30A8D6E1" w14:textId="77777777" w:rsidR="002F1C61" w:rsidRDefault="00000000">
      <w:pPr>
        <w:spacing w:after="120"/>
      </w:pPr>
      <w:r>
        <w:t>An object is considered occluded when another object, structure, or image artifact covers part of its visible area.</w:t>
      </w:r>
    </w:p>
    <w:p w14:paraId="5848362D" w14:textId="77777777" w:rsidR="002F1C61" w:rsidRDefault="00000000">
      <w:pPr>
        <w:pStyle w:val="ListParagraph"/>
        <w:numPr>
          <w:ilvl w:val="0"/>
          <w:numId w:val="2"/>
        </w:numPr>
      </w:pPr>
      <w:r>
        <w:t>Label the object if 40% or more of its estimated full extent is visible</w:t>
      </w:r>
    </w:p>
    <w:p w14:paraId="65533E47" w14:textId="77777777" w:rsidR="002F1C61" w:rsidRDefault="00000000">
      <w:pPr>
        <w:pStyle w:val="ListParagraph"/>
        <w:numPr>
          <w:ilvl w:val="0"/>
          <w:numId w:val="2"/>
        </w:numPr>
      </w:pPr>
      <w:r>
        <w:t>Set the occluded attribute to true</w:t>
      </w:r>
    </w:p>
    <w:p w14:paraId="45891324" w14:textId="77777777" w:rsidR="002F1C61" w:rsidRDefault="00000000">
      <w:pPr>
        <w:pStyle w:val="ListParagraph"/>
        <w:numPr>
          <w:ilvl w:val="0"/>
          <w:numId w:val="2"/>
        </w:numPr>
      </w:pPr>
      <w:r>
        <w:t>Draw the annotation boundary to the last visible edge; do not estimate beyond it</w:t>
      </w:r>
    </w:p>
    <w:p w14:paraId="36B034C1" w14:textId="77777777" w:rsidR="002F1C61" w:rsidRDefault="00000000">
      <w:pPr>
        <w:pStyle w:val="ListParagraph"/>
        <w:numPr>
          <w:ilvl w:val="0"/>
          <w:numId w:val="2"/>
        </w:numPr>
      </w:pPr>
      <w:r>
        <w:lastRenderedPageBreak/>
        <w:t>If occlusion reduces visibility below 40%, use the OCCLUDED_SKIP class and note the probable equipment type in the comment field</w:t>
      </w:r>
    </w:p>
    <w:p w14:paraId="20E4A070" w14:textId="77777777" w:rsidR="002F1C61" w:rsidRDefault="002F1C61">
      <w:pPr>
        <w:spacing w:after="80"/>
      </w:pPr>
    </w:p>
    <w:p w14:paraId="7DEBB7BC" w14:textId="77777777" w:rsidR="002F1C61" w:rsidRDefault="00000000">
      <w:pPr>
        <w:pStyle w:val="Heading2"/>
      </w:pPr>
      <w:r>
        <w:t>6.2 Poor Image Quality</w:t>
      </w:r>
    </w:p>
    <w:p w14:paraId="56F49956" w14:textId="77777777" w:rsidR="002F1C61" w:rsidRDefault="00000000">
      <w:pPr>
        <w:spacing w:after="120"/>
      </w:pPr>
      <w:r>
        <w:t>Blurry, overexposed, underexposed, or low-resolution images require a specific handling protocol rather than best-guess annotation.</w:t>
      </w:r>
    </w:p>
    <w:p w14:paraId="00AB63C5" w14:textId="77777777" w:rsidR="002F1C61" w:rsidRDefault="00000000">
      <w:pPr>
        <w:pStyle w:val="ListParagraph"/>
        <w:numPr>
          <w:ilvl w:val="0"/>
          <w:numId w:val="2"/>
        </w:numPr>
      </w:pPr>
      <w:r>
        <w:t>If object boundaries cannot be determined with confidence, mark the image with the IMAGE_QUALITY_FLAG</w:t>
      </w:r>
    </w:p>
    <w:p w14:paraId="4A1F22C8" w14:textId="77777777" w:rsidR="002F1C61" w:rsidRDefault="00000000">
      <w:pPr>
        <w:pStyle w:val="ListParagraph"/>
        <w:numPr>
          <w:ilvl w:val="0"/>
          <w:numId w:val="2"/>
        </w:numPr>
      </w:pPr>
      <w:r>
        <w:t>Do not annotate bounding boxes or polygons on images with motion blur that obscures class-determining features</w:t>
      </w:r>
    </w:p>
    <w:p w14:paraId="27861E90" w14:textId="77777777" w:rsidR="002F1C61" w:rsidRDefault="00000000">
      <w:pPr>
        <w:pStyle w:val="ListParagraph"/>
        <w:numPr>
          <w:ilvl w:val="0"/>
          <w:numId w:val="2"/>
        </w:numPr>
      </w:pPr>
      <w:r>
        <w:t>Low-resolution objects that appear smaller than 20x20 pixels at full zoom should not be labeled; use the BELOW_SIZE_THRESHOLD flag</w:t>
      </w:r>
    </w:p>
    <w:p w14:paraId="5F4F3953" w14:textId="77777777" w:rsidR="002F1C61" w:rsidRDefault="00000000">
      <w:pPr>
        <w:pStyle w:val="ListParagraph"/>
        <w:numPr>
          <w:ilvl w:val="0"/>
          <w:numId w:val="2"/>
        </w:numPr>
      </w:pPr>
      <w:r>
        <w:t>Night-vision or thermal images use the same class taxonomy but require the modality attribute set to THERMAL or IR</w:t>
      </w:r>
    </w:p>
    <w:p w14:paraId="7D571C23" w14:textId="77777777" w:rsidR="002F1C61" w:rsidRDefault="002F1C61">
      <w:pPr>
        <w:spacing w:after="80"/>
      </w:pPr>
    </w:p>
    <w:p w14:paraId="11DF55A4" w14:textId="77777777" w:rsidR="002F1C61" w:rsidRDefault="00000000">
      <w:pPr>
        <w:pStyle w:val="Heading2"/>
      </w:pPr>
      <w:r>
        <w:t>6.3 Novel Equipment Not in Taxonomy</w:t>
      </w:r>
    </w:p>
    <w:p w14:paraId="3FE52FD9" w14:textId="77777777" w:rsidR="002F1C61" w:rsidRDefault="00000000">
      <w:pPr>
        <w:spacing w:after="120"/>
      </w:pPr>
      <w:r>
        <w:t>When an object is clearly industrial equipment but does not match any existing class code, do not force-fit it into the nearest class.</w:t>
      </w:r>
    </w:p>
    <w:p w14:paraId="5669654F" w14:textId="77777777" w:rsidR="002F1C61" w:rsidRDefault="00000000">
      <w:pPr>
        <w:pStyle w:val="ListParagraph"/>
        <w:numPr>
          <w:ilvl w:val="0"/>
          <w:numId w:val="3"/>
        </w:numPr>
      </w:pPr>
      <w:r>
        <w:t>Label the object with class code MISC_EQUIP</w:t>
      </w:r>
    </w:p>
    <w:p w14:paraId="24605A7F" w14:textId="77777777" w:rsidR="002F1C61" w:rsidRDefault="00000000">
      <w:pPr>
        <w:pStyle w:val="ListParagraph"/>
        <w:numPr>
          <w:ilvl w:val="0"/>
          <w:numId w:val="3"/>
        </w:numPr>
      </w:pPr>
      <w:r>
        <w:t>Set the novel_class_flag attribute to true</w:t>
      </w:r>
    </w:p>
    <w:p w14:paraId="1F7C88F7" w14:textId="77777777" w:rsidR="002F1C61" w:rsidRDefault="00000000">
      <w:pPr>
        <w:pStyle w:val="ListParagraph"/>
        <w:numPr>
          <w:ilvl w:val="0"/>
          <w:numId w:val="3"/>
        </w:numPr>
      </w:pPr>
      <w:r>
        <w:t>Write a description of the object in the comment field (approximate function, size, material if determinable)</w:t>
      </w:r>
    </w:p>
    <w:p w14:paraId="079F2282" w14:textId="77777777" w:rsidR="002F1C61" w:rsidRDefault="00000000">
      <w:pPr>
        <w:pStyle w:val="ListParagraph"/>
        <w:numPr>
          <w:ilvl w:val="0"/>
          <w:numId w:val="3"/>
        </w:numPr>
      </w:pPr>
      <w:r>
        <w:t>Submit a taxonomy change request within 24 hours with at least three supporting example images from the same dataset</w:t>
      </w:r>
    </w:p>
    <w:p w14:paraId="7EFB803B" w14:textId="77777777" w:rsidR="002F1C61" w:rsidRDefault="002F1C61">
      <w:pPr>
        <w:spacing w:after="200"/>
      </w:pPr>
    </w:p>
    <w:p w14:paraId="117361AE" w14:textId="77777777" w:rsidR="002F1C61" w:rsidRDefault="00000000">
      <w:pPr>
        <w:pStyle w:val="Heading1"/>
      </w:pPr>
      <w:r>
        <w:t>7. Worked Annotation Examples</w:t>
      </w:r>
    </w:p>
    <w:p w14:paraId="127708A3" w14:textId="77777777" w:rsidR="002F1C61" w:rsidRDefault="002F1C61">
      <w:pPr>
        <w:pBdr>
          <w:bottom w:val="single" w:sz="10" w:space="1" w:color="2E6096"/>
        </w:pBdr>
        <w:spacing w:after="160"/>
      </w:pPr>
    </w:p>
    <w:p w14:paraId="7B930012" w14:textId="77777777" w:rsidR="002F1C61" w:rsidRDefault="00000000">
      <w:pPr>
        <w:spacing w:after="120"/>
      </w:pPr>
      <w:r>
        <w:t>The following examples are drawn from real annotation decisions during the PROJ-REFINERY-03 dataset build. Each example documents what decision was made, the reasoning behind it, and the output annotation attributes.</w:t>
      </w:r>
    </w:p>
    <w:p w14:paraId="5176AED8" w14:textId="77777777" w:rsidR="002F1C61" w:rsidRDefault="002F1C61">
      <w:pPr>
        <w:spacing w:after="80"/>
      </w:pPr>
    </w:p>
    <w:p w14:paraId="511E7B7F" w14:textId="77777777" w:rsidR="002F1C61" w:rsidRDefault="00000000">
      <w:pPr>
        <w:pStyle w:val="Heading2"/>
      </w:pPr>
      <w:r>
        <w:t>Example A: Pump with Partial Corrosion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F1C61" w14:paraId="15873ED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1974879D" w14:textId="77777777" w:rsidR="002F1C61" w:rsidRDefault="00000000">
            <w:pPr>
              <w:spacing w:after="60"/>
            </w:pPr>
            <w:r>
              <w:rPr>
                <w:b/>
                <w:bCs/>
                <w:color w:val="2E6096"/>
              </w:rPr>
              <w:t>Image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8348A9" w14:textId="77777777" w:rsidR="002F1C61" w:rsidRDefault="00000000">
            <w:pPr>
              <w:spacing w:after="60"/>
            </w:pPr>
            <w:r>
              <w:rPr>
                <w:sz w:val="20"/>
                <w:szCs w:val="20"/>
              </w:rPr>
              <w:t>Aerial photo of a centrifugal pump skid. The pump casing is clearly visible. Approximately 25% of the casing surface shows orange-brown discolouration consistent with surface rust.</w:t>
            </w:r>
          </w:p>
        </w:tc>
      </w:tr>
      <w:tr w:rsidR="002F1C61" w14:paraId="32BB192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00823724" w14:textId="77777777" w:rsidR="002F1C61" w:rsidRDefault="00000000">
            <w:pPr>
              <w:spacing w:after="60"/>
            </w:pPr>
            <w:r>
              <w:rPr>
                <w:b/>
                <w:bCs/>
                <w:color w:val="2E6096"/>
              </w:rPr>
              <w:t>Primary label</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8A17AD" w14:textId="77777777" w:rsidR="002F1C61" w:rsidRDefault="00000000">
            <w:pPr>
              <w:spacing w:after="60"/>
            </w:pPr>
            <w:r>
              <w:rPr>
                <w:sz w:val="20"/>
                <w:szCs w:val="20"/>
              </w:rPr>
              <w:t>ROT-001 (Centrifugal Pump) — bounding box, tight fit</w:t>
            </w:r>
          </w:p>
        </w:tc>
      </w:tr>
      <w:tr w:rsidR="002F1C61" w14:paraId="31732B2E"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4EC088DA" w14:textId="77777777" w:rsidR="002F1C61" w:rsidRDefault="00000000">
            <w:pPr>
              <w:spacing w:after="60"/>
            </w:pPr>
            <w:r>
              <w:rPr>
                <w:b/>
                <w:bCs/>
                <w:color w:val="2E6096"/>
              </w:rPr>
              <w:lastRenderedPageBreak/>
              <w:t>Defect label</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4F04AD" w14:textId="77777777" w:rsidR="002F1C61" w:rsidRDefault="00000000">
            <w:pPr>
              <w:spacing w:after="60"/>
            </w:pPr>
            <w:r>
              <w:rPr>
                <w:sz w:val="20"/>
                <w:szCs w:val="20"/>
              </w:rPr>
              <w:t>SURF-CORR (Surface Corrosion) — polygon mask over affected region</w:t>
            </w:r>
          </w:p>
        </w:tc>
      </w:tr>
      <w:tr w:rsidR="002F1C61" w14:paraId="47A2071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2A4C3E62" w14:textId="77777777" w:rsidR="002F1C61" w:rsidRDefault="00000000">
            <w:pPr>
              <w:spacing w:after="60"/>
            </w:pPr>
            <w:r>
              <w:rPr>
                <w:b/>
                <w:bCs/>
                <w:color w:val="2E6096"/>
              </w:rPr>
              <w:t>Severity</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01F1B2" w14:textId="77777777" w:rsidR="002F1C61" w:rsidRDefault="00000000">
            <w:pPr>
              <w:spacing w:after="60"/>
            </w:pPr>
            <w:r>
              <w:rPr>
                <w:sz w:val="20"/>
                <w:szCs w:val="20"/>
              </w:rPr>
              <w:t>Grade 3 (Moderate) — corrosion covers less than 40% and has not compromised structural integrity</w:t>
            </w:r>
          </w:p>
        </w:tc>
      </w:tr>
      <w:tr w:rsidR="002F1C61" w14:paraId="576B637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2DF5E301" w14:textId="77777777" w:rsidR="002F1C61" w:rsidRDefault="00000000">
            <w:pPr>
              <w:spacing w:after="60"/>
            </w:pPr>
            <w:r>
              <w:rPr>
                <w:b/>
                <w:bCs/>
                <w:color w:val="2E6096"/>
              </w:rPr>
              <w:t>Attributes</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12704F" w14:textId="77777777" w:rsidR="002F1C61" w:rsidRDefault="00000000">
            <w:pPr>
              <w:spacing w:after="60"/>
            </w:pPr>
            <w:r>
              <w:rPr>
                <w:sz w:val="20"/>
                <w:szCs w:val="20"/>
              </w:rPr>
              <w:t>occluded=false, defect_type=surface_rust, coverage_pct=25, parent_id=ROT-001-01</w:t>
            </w:r>
          </w:p>
        </w:tc>
      </w:tr>
      <w:tr w:rsidR="002F1C61" w14:paraId="79102633"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4DD37AC3" w14:textId="77777777" w:rsidR="002F1C61" w:rsidRDefault="00000000">
            <w:pPr>
              <w:spacing w:after="60"/>
            </w:pPr>
            <w:r>
              <w:rPr>
                <w:b/>
                <w:bCs/>
                <w:color w:val="2E6096"/>
              </w:rPr>
              <w:t>Annotation note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195CF6" w14:textId="77777777" w:rsidR="002F1C61" w:rsidRDefault="00000000">
            <w:pPr>
              <w:spacing w:after="60"/>
            </w:pPr>
            <w:r>
              <w:rPr>
                <w:sz w:val="20"/>
                <w:szCs w:val="20"/>
              </w:rPr>
              <w:t>Surface rust visible on casing body only. No pitting. Shaft seal and flanges are clean. Grade 3 applied per Section 4 criteria.</w:t>
            </w:r>
          </w:p>
        </w:tc>
      </w:tr>
    </w:tbl>
    <w:p w14:paraId="7B9674C0" w14:textId="77777777" w:rsidR="002F1C61" w:rsidRDefault="002F1C61">
      <w:pPr>
        <w:spacing w:after="160"/>
      </w:pPr>
    </w:p>
    <w:p w14:paraId="5609DE43" w14:textId="77777777" w:rsidR="002F1C61" w:rsidRDefault="00000000">
      <w:pPr>
        <w:pStyle w:val="Heading2"/>
      </w:pPr>
      <w:r>
        <w:t>Example B: Occluded Pressure Vessel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F1C61" w14:paraId="7306F79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53A09B90" w14:textId="77777777" w:rsidR="002F1C61" w:rsidRDefault="00000000">
            <w:pPr>
              <w:spacing w:after="60"/>
            </w:pPr>
            <w:r>
              <w:rPr>
                <w:b/>
                <w:bCs/>
                <w:color w:val="2E6096"/>
              </w:rPr>
              <w:t>Image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7CBA61" w14:textId="77777777" w:rsidR="002F1C61" w:rsidRDefault="00000000">
            <w:pPr>
              <w:spacing w:after="60"/>
            </w:pPr>
            <w:r>
              <w:rPr>
                <w:sz w:val="20"/>
                <w:szCs w:val="20"/>
              </w:rPr>
              <w:t>Ground-level photo of a vessel yard. One pressure vessel is approximately 65% visible; the remaining 35% is hidden behind a pipe rack.</w:t>
            </w:r>
          </w:p>
        </w:tc>
      </w:tr>
      <w:tr w:rsidR="002F1C61" w14:paraId="64664BF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6D568D8A" w14:textId="77777777" w:rsidR="002F1C61" w:rsidRDefault="00000000">
            <w:pPr>
              <w:spacing w:after="60"/>
            </w:pPr>
            <w:r>
              <w:rPr>
                <w:b/>
                <w:bCs/>
                <w:color w:val="2E6096"/>
              </w:rPr>
              <w:t>Primary label</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80CDDC" w14:textId="77777777" w:rsidR="002F1C61" w:rsidRDefault="00000000">
            <w:pPr>
              <w:spacing w:after="60"/>
            </w:pPr>
            <w:r>
              <w:rPr>
                <w:sz w:val="20"/>
                <w:szCs w:val="20"/>
              </w:rPr>
              <w:t>VES-001 (Pressure Vessel) — polygon segmentation tracing visible silhouette only</w:t>
            </w:r>
          </w:p>
        </w:tc>
      </w:tr>
      <w:tr w:rsidR="002F1C61" w14:paraId="2E130CA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437CEA71" w14:textId="77777777" w:rsidR="002F1C61" w:rsidRDefault="00000000">
            <w:pPr>
              <w:spacing w:after="60"/>
            </w:pPr>
            <w:r>
              <w:rPr>
                <w:b/>
                <w:bCs/>
                <w:color w:val="2E6096"/>
              </w:rPr>
              <w:t>Defect label</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3AD53B" w14:textId="77777777" w:rsidR="002F1C61" w:rsidRDefault="00000000">
            <w:pPr>
              <w:spacing w:after="60"/>
            </w:pPr>
            <w:r>
              <w:rPr>
                <w:sz w:val="20"/>
                <w:szCs w:val="20"/>
              </w:rPr>
              <w:t>None identified on visible surface</w:t>
            </w:r>
          </w:p>
        </w:tc>
      </w:tr>
      <w:tr w:rsidR="002F1C61" w14:paraId="0329C7C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2BD942CD" w14:textId="77777777" w:rsidR="002F1C61" w:rsidRDefault="00000000">
            <w:pPr>
              <w:spacing w:after="60"/>
            </w:pPr>
            <w:r>
              <w:rPr>
                <w:b/>
                <w:bCs/>
                <w:color w:val="2E6096"/>
              </w:rPr>
              <w:t>Attributes</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E48E09" w14:textId="77777777" w:rsidR="002F1C61" w:rsidRDefault="00000000">
            <w:pPr>
              <w:spacing w:after="60"/>
            </w:pPr>
            <w:r>
              <w:rPr>
                <w:sz w:val="20"/>
                <w:szCs w:val="20"/>
              </w:rPr>
              <w:t>occluded=true, visible_pct=65, parent_id=VES-001-07</w:t>
            </w:r>
          </w:p>
        </w:tc>
      </w:tr>
      <w:tr w:rsidR="002F1C61" w14:paraId="61D27C8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74E14B2B" w14:textId="77777777" w:rsidR="002F1C61" w:rsidRDefault="00000000">
            <w:pPr>
              <w:spacing w:after="60"/>
            </w:pPr>
            <w:r>
              <w:rPr>
                <w:b/>
                <w:bCs/>
                <w:color w:val="2E6096"/>
              </w:rPr>
              <w:t>Annotation note</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0DADD5" w14:textId="77777777" w:rsidR="002F1C61" w:rsidRDefault="00000000">
            <w:pPr>
              <w:spacing w:after="60"/>
            </w:pPr>
            <w:r>
              <w:rPr>
                <w:sz w:val="20"/>
                <w:szCs w:val="20"/>
              </w:rPr>
              <w:t>Vessel is 65% visible — exceeds 40% threshold so annotation was applied. Polygon closed at pipe rack edge. No attempt made to estimate hidden boundary. No defects visible on accessible surface area.</w:t>
            </w:r>
          </w:p>
        </w:tc>
      </w:tr>
    </w:tbl>
    <w:p w14:paraId="62FF1636" w14:textId="77777777" w:rsidR="002F1C61" w:rsidRDefault="002F1C61">
      <w:pPr>
        <w:spacing w:after="200"/>
      </w:pPr>
    </w:p>
    <w:p w14:paraId="6F04130B" w14:textId="77777777" w:rsidR="002F1C61" w:rsidRDefault="00000000">
      <w:pPr>
        <w:pStyle w:val="Heading1"/>
      </w:pPr>
      <w:r>
        <w:t>8. Tools and Export Formats</w:t>
      </w:r>
    </w:p>
    <w:p w14:paraId="0A5B8FC0" w14:textId="77777777" w:rsidR="002F1C61" w:rsidRDefault="002F1C61">
      <w:pPr>
        <w:pBdr>
          <w:bottom w:val="single" w:sz="10" w:space="1" w:color="2E6096"/>
        </w:pBdr>
        <w:spacing w:after="160"/>
      </w:pPr>
    </w:p>
    <w:p w14:paraId="75A66AE0" w14:textId="77777777" w:rsidR="002F1C61" w:rsidRDefault="00000000">
      <w:pPr>
        <w:pStyle w:val="Heading2"/>
      </w:pPr>
      <w:r>
        <w:t>8.1 Approved Annotation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2F1C61" w14:paraId="3FAEDB68" w14:textId="77777777">
        <w:tblPrEx>
          <w:tblCellMar>
            <w:top w:w="0" w:type="dxa"/>
            <w:bottom w:w="0" w:type="dxa"/>
          </w:tblCellMar>
        </w:tblPrEx>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tcPr>
          <w:p w14:paraId="0C5F0113" w14:textId="77777777" w:rsidR="002F1C61" w:rsidRDefault="00000000">
            <w:pPr>
              <w:spacing w:after="60"/>
            </w:pPr>
            <w:r>
              <w:rPr>
                <w:b/>
                <w:bCs/>
                <w:color w:val="FFFFFF"/>
                <w:sz w:val="20"/>
                <w:szCs w:val="20"/>
              </w:rPr>
              <w:t>Tool</w:t>
            </w:r>
          </w:p>
        </w:tc>
        <w:tc>
          <w:tcPr>
            <w:tcW w:w="24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tcPr>
          <w:p w14:paraId="33B8E662" w14:textId="77777777" w:rsidR="002F1C61" w:rsidRDefault="00000000">
            <w:pPr>
              <w:spacing w:after="60"/>
            </w:pPr>
            <w:r>
              <w:rPr>
                <w:b/>
                <w:bCs/>
                <w:color w:val="FFFFFF"/>
                <w:sz w:val="20"/>
                <w:szCs w:val="20"/>
              </w:rPr>
              <w:t>Task Types</w:t>
            </w:r>
          </w:p>
        </w:tc>
        <w:tc>
          <w:tcPr>
            <w:tcW w:w="476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tcPr>
          <w:p w14:paraId="576B0515" w14:textId="77777777" w:rsidR="002F1C61" w:rsidRDefault="00000000">
            <w:pPr>
              <w:spacing w:after="60"/>
            </w:pPr>
            <w:r>
              <w:rPr>
                <w:b/>
                <w:bCs/>
                <w:color w:val="FFFFFF"/>
                <w:sz w:val="20"/>
                <w:szCs w:val="20"/>
              </w:rPr>
              <w:t>Notes</w:t>
            </w:r>
          </w:p>
        </w:tc>
      </w:tr>
      <w:tr w:rsidR="002F1C61" w14:paraId="46A79C8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240A63" w14:textId="77777777" w:rsidR="002F1C61" w:rsidRDefault="00000000">
            <w:pPr>
              <w:spacing w:after="60"/>
            </w:pPr>
            <w:r>
              <w:rPr>
                <w:b/>
                <w:bCs/>
              </w:rPr>
              <w:t>CVAT 2.x</w:t>
            </w:r>
          </w:p>
        </w:tc>
        <w:tc>
          <w:tcPr>
            <w:tcW w:w="24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2BAF3722" w14:textId="77777777" w:rsidR="002F1C61" w:rsidRDefault="00000000">
            <w:pPr>
              <w:spacing w:after="60"/>
            </w:pPr>
            <w:r>
              <w:rPr>
                <w:color w:val="555555"/>
                <w:sz w:val="19"/>
                <w:szCs w:val="19"/>
              </w:rPr>
              <w:t>Bbox, polygon, polyline, keypoint</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E2CB8B" w14:textId="77777777" w:rsidR="002F1C61" w:rsidRDefault="00000000">
            <w:pPr>
              <w:spacing w:after="60"/>
            </w:pPr>
            <w:r>
              <w:rPr>
                <w:sz w:val="19"/>
                <w:szCs w:val="19"/>
              </w:rPr>
              <w:t>Preferred tool for image tasks. Use version 2.4 or later. Export in COCO JSON format only.</w:t>
            </w:r>
          </w:p>
        </w:tc>
      </w:tr>
      <w:tr w:rsidR="002F1C61" w14:paraId="64E07E9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2D3C84" w14:textId="77777777" w:rsidR="002F1C61" w:rsidRDefault="00000000">
            <w:pPr>
              <w:spacing w:after="60"/>
            </w:pPr>
            <w:r>
              <w:rPr>
                <w:b/>
                <w:bCs/>
              </w:rPr>
              <w:t>Labelbox</w:t>
            </w:r>
          </w:p>
        </w:tc>
        <w:tc>
          <w:tcPr>
            <w:tcW w:w="24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0D775A64" w14:textId="77777777" w:rsidR="002F1C61" w:rsidRDefault="00000000">
            <w:pPr>
              <w:spacing w:after="60"/>
            </w:pPr>
            <w:r>
              <w:rPr>
                <w:color w:val="555555"/>
                <w:sz w:val="19"/>
                <w:szCs w:val="19"/>
              </w:rPr>
              <w:t>Bbox, polygon, classification</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D357EA" w14:textId="77777777" w:rsidR="002F1C61" w:rsidRDefault="00000000">
            <w:pPr>
              <w:spacing w:after="60"/>
            </w:pPr>
            <w:r>
              <w:rPr>
                <w:sz w:val="19"/>
                <w:szCs w:val="19"/>
              </w:rPr>
              <w:t>Approved for enterprise projects with Labelbox contract. Export in NDJSON format.</w:t>
            </w:r>
          </w:p>
        </w:tc>
      </w:tr>
      <w:tr w:rsidR="002F1C61" w14:paraId="4E2A491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64D40D" w14:textId="77777777" w:rsidR="002F1C61" w:rsidRDefault="00000000">
            <w:pPr>
              <w:spacing w:after="60"/>
            </w:pPr>
            <w:r>
              <w:rPr>
                <w:b/>
                <w:bCs/>
              </w:rPr>
              <w:t>Supervisely</w:t>
            </w:r>
          </w:p>
        </w:tc>
        <w:tc>
          <w:tcPr>
            <w:tcW w:w="24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1E27B9DC" w14:textId="77777777" w:rsidR="002F1C61" w:rsidRDefault="00000000">
            <w:pPr>
              <w:spacing w:after="60"/>
            </w:pPr>
            <w:r>
              <w:rPr>
                <w:color w:val="555555"/>
                <w:sz w:val="19"/>
                <w:szCs w:val="19"/>
              </w:rPr>
              <w:t>Point cloud (3D), image</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11FD2B" w14:textId="77777777" w:rsidR="002F1C61" w:rsidRDefault="00000000">
            <w:pPr>
              <w:spacing w:after="60"/>
            </w:pPr>
            <w:r>
              <w:rPr>
                <w:sz w:val="19"/>
                <w:szCs w:val="19"/>
              </w:rPr>
              <w:t>Required for all LiDAR and point cloud tasks. Use the Cuboid 3D tool. Export in Supervisely JSON.</w:t>
            </w:r>
          </w:p>
        </w:tc>
      </w:tr>
      <w:tr w:rsidR="002F1C61" w14:paraId="6B0497E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41E120" w14:textId="77777777" w:rsidR="002F1C61" w:rsidRDefault="00000000">
            <w:pPr>
              <w:spacing w:after="60"/>
            </w:pPr>
            <w:r>
              <w:rPr>
                <w:b/>
                <w:bCs/>
              </w:rPr>
              <w:t>V7 Darwin</w:t>
            </w:r>
          </w:p>
        </w:tc>
        <w:tc>
          <w:tcPr>
            <w:tcW w:w="24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45665B32" w14:textId="77777777" w:rsidR="002F1C61" w:rsidRDefault="00000000">
            <w:pPr>
              <w:spacing w:after="60"/>
            </w:pPr>
            <w:r>
              <w:rPr>
                <w:color w:val="555555"/>
                <w:sz w:val="19"/>
                <w:szCs w:val="19"/>
              </w:rPr>
              <w:t>Bbox, polygon, video</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C56D73" w14:textId="77777777" w:rsidR="002F1C61" w:rsidRDefault="00000000">
            <w:pPr>
              <w:spacing w:after="60"/>
            </w:pPr>
            <w:r>
              <w:rPr>
                <w:sz w:val="19"/>
                <w:szCs w:val="19"/>
              </w:rPr>
              <w:t>Approved for video frame annotation tasks only. Not approved for point cloud work.</w:t>
            </w:r>
          </w:p>
        </w:tc>
      </w:tr>
      <w:tr w:rsidR="002F1C61" w14:paraId="3A3A835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44BC43" w14:textId="77777777" w:rsidR="002F1C61" w:rsidRDefault="00000000">
            <w:pPr>
              <w:spacing w:after="60"/>
            </w:pPr>
            <w:r>
              <w:rPr>
                <w:b/>
                <w:bCs/>
              </w:rPr>
              <w:t>Label Studio</w:t>
            </w:r>
          </w:p>
        </w:tc>
        <w:tc>
          <w:tcPr>
            <w:tcW w:w="24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29F70F10" w14:textId="77777777" w:rsidR="002F1C61" w:rsidRDefault="00000000">
            <w:pPr>
              <w:spacing w:after="60"/>
            </w:pPr>
            <w:r>
              <w:rPr>
                <w:color w:val="555555"/>
                <w:sz w:val="19"/>
                <w:szCs w:val="19"/>
              </w:rPr>
              <w:t>Multi-modal, audio, NLP</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099F8C" w14:textId="77777777" w:rsidR="002F1C61" w:rsidRDefault="00000000">
            <w:pPr>
              <w:spacing w:after="60"/>
            </w:pPr>
            <w:r>
              <w:rPr>
                <w:sz w:val="19"/>
                <w:szCs w:val="19"/>
              </w:rPr>
              <w:t>Used for mixed-modality tasks and audio annotation. Not approved for primary image annotation.</w:t>
            </w:r>
          </w:p>
        </w:tc>
      </w:tr>
    </w:tbl>
    <w:p w14:paraId="71CCA2E0" w14:textId="77777777" w:rsidR="002F1C61" w:rsidRDefault="002F1C61">
      <w:pPr>
        <w:spacing w:after="160"/>
      </w:pPr>
    </w:p>
    <w:p w14:paraId="52914D28" w14:textId="77777777" w:rsidR="002F1C61" w:rsidRDefault="00000000">
      <w:pPr>
        <w:pStyle w:val="Heading2"/>
      </w:pPr>
      <w:r>
        <w:lastRenderedPageBreak/>
        <w:t>8.2 Export Format Requirements</w:t>
      </w:r>
    </w:p>
    <w:p w14:paraId="2B49D305" w14:textId="77777777" w:rsidR="002F1C61" w:rsidRDefault="00000000">
      <w:pPr>
        <w:pStyle w:val="ListParagraph"/>
        <w:numPr>
          <w:ilvl w:val="0"/>
          <w:numId w:val="2"/>
        </w:numPr>
      </w:pPr>
      <w:r>
        <w:t>All bounding box and polygon annotations must export in COCO JSON format unless the task brief specifies otherwise</w:t>
      </w:r>
    </w:p>
    <w:p w14:paraId="4A313857" w14:textId="77777777" w:rsidR="002F1C61" w:rsidRDefault="00000000">
      <w:pPr>
        <w:pStyle w:val="ListParagraph"/>
        <w:numPr>
          <w:ilvl w:val="0"/>
          <w:numId w:val="2"/>
        </w:numPr>
      </w:pPr>
      <w:r>
        <w:t>COCO JSON files must validate against the official COCO schema before batch submission</w:t>
      </w:r>
    </w:p>
    <w:p w14:paraId="5D4B2D0F" w14:textId="77777777" w:rsidR="002F1C61" w:rsidRDefault="00000000">
      <w:pPr>
        <w:pStyle w:val="ListParagraph"/>
        <w:numPr>
          <w:ilvl w:val="0"/>
          <w:numId w:val="2"/>
        </w:numPr>
      </w:pPr>
      <w:r>
        <w:t>Pascal VOC XML is accepted for legacy project continuity only; new projects should not use this format</w:t>
      </w:r>
    </w:p>
    <w:p w14:paraId="280C6EEB" w14:textId="77777777" w:rsidR="002F1C61" w:rsidRDefault="00000000">
      <w:pPr>
        <w:pStyle w:val="ListParagraph"/>
        <w:numPr>
          <w:ilvl w:val="0"/>
          <w:numId w:val="2"/>
        </w:numPr>
      </w:pPr>
      <w:r>
        <w:t>YOLO TXT format is acceptable for single-class detection tasks only; do not use for multi-attribute or defect tasks</w:t>
      </w:r>
    </w:p>
    <w:p w14:paraId="0007F861" w14:textId="77777777" w:rsidR="002F1C61" w:rsidRDefault="00000000">
      <w:pPr>
        <w:pStyle w:val="ListParagraph"/>
        <w:numPr>
          <w:ilvl w:val="0"/>
          <w:numId w:val="2"/>
        </w:numPr>
      </w:pPr>
      <w:r>
        <w:t>Point cloud annotations export in Supervisely JSON. Confirm the coordinate system convention with the project lead before the first submission</w:t>
      </w:r>
    </w:p>
    <w:p w14:paraId="4CD04DE5" w14:textId="77777777" w:rsidR="002F1C61" w:rsidRDefault="002F1C61">
      <w:pPr>
        <w:spacing w:after="200"/>
      </w:pPr>
    </w:p>
    <w:p w14:paraId="6E492DEB" w14:textId="77777777" w:rsidR="002F1C61" w:rsidRDefault="00000000">
      <w:pPr>
        <w:pStyle w:val="Heading1"/>
      </w:pPr>
      <w:r>
        <w:t>9. Document Version History</w:t>
      </w:r>
    </w:p>
    <w:p w14:paraId="08739526" w14:textId="77777777" w:rsidR="002F1C61" w:rsidRDefault="002F1C61">
      <w:pPr>
        <w:pBdr>
          <w:bottom w:val="single" w:sz="10" w:space="1" w:color="2E6096"/>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4760"/>
        <w:gridCol w:w="2200"/>
      </w:tblGrid>
      <w:tr w:rsidR="002F1C61" w14:paraId="65CCB263" w14:textId="77777777">
        <w:tblPrEx>
          <w:tblCellMar>
            <w:top w:w="0" w:type="dxa"/>
            <w:bottom w:w="0" w:type="dxa"/>
          </w:tblCellMar>
        </w:tblPrEx>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tcPr>
          <w:p w14:paraId="552D812F" w14:textId="77777777" w:rsidR="002F1C61" w:rsidRDefault="00000000">
            <w:pPr>
              <w:spacing w:after="60"/>
            </w:pPr>
            <w:r>
              <w:rPr>
                <w:b/>
                <w:bCs/>
                <w:color w:val="FFFFFF"/>
                <w:sz w:val="20"/>
                <w:szCs w:val="20"/>
              </w:rPr>
              <w:t>Version</w:t>
            </w:r>
          </w:p>
        </w:tc>
        <w:tc>
          <w:tcPr>
            <w:tcW w:w="14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tcPr>
          <w:p w14:paraId="4DC1D29F" w14:textId="77777777" w:rsidR="002F1C61" w:rsidRDefault="00000000">
            <w:pPr>
              <w:spacing w:after="60"/>
            </w:pPr>
            <w:r>
              <w:rPr>
                <w:b/>
                <w:bCs/>
                <w:color w:val="FFFFFF"/>
                <w:sz w:val="20"/>
                <w:szCs w:val="20"/>
              </w:rPr>
              <w:t>Date</w:t>
            </w:r>
          </w:p>
        </w:tc>
        <w:tc>
          <w:tcPr>
            <w:tcW w:w="476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tcPr>
          <w:p w14:paraId="1FBA02D8" w14:textId="77777777" w:rsidR="002F1C61" w:rsidRDefault="00000000">
            <w:pPr>
              <w:spacing w:after="60"/>
            </w:pPr>
            <w:r>
              <w:rPr>
                <w:b/>
                <w:bCs/>
                <w:color w:val="FFFFFF"/>
                <w:sz w:val="20"/>
                <w:szCs w:val="20"/>
              </w:rPr>
              <w:t>Changes</w:t>
            </w:r>
          </w:p>
        </w:tc>
        <w:tc>
          <w:tcPr>
            <w:tcW w:w="2200" w:type="dxa"/>
            <w:tcBorders>
              <w:top w:val="single" w:sz="4" w:space="0" w:color="AAAAAA"/>
              <w:left w:val="single" w:sz="4" w:space="0" w:color="AAAAAA"/>
              <w:bottom w:val="single" w:sz="4" w:space="0" w:color="AAAAAA"/>
              <w:right w:val="single" w:sz="4" w:space="0" w:color="AAAAAA"/>
            </w:tcBorders>
            <w:shd w:val="clear" w:color="auto" w:fill="1B2A4A"/>
            <w:tcMar>
              <w:top w:w="80" w:type="dxa"/>
              <w:left w:w="120" w:type="dxa"/>
              <w:bottom w:w="80" w:type="dxa"/>
              <w:right w:w="120" w:type="dxa"/>
            </w:tcMar>
          </w:tcPr>
          <w:p w14:paraId="3E0BCD38" w14:textId="77777777" w:rsidR="002F1C61" w:rsidRDefault="00000000">
            <w:pPr>
              <w:spacing w:after="60"/>
            </w:pPr>
            <w:r>
              <w:rPr>
                <w:b/>
                <w:bCs/>
                <w:color w:val="FFFFFF"/>
                <w:sz w:val="20"/>
                <w:szCs w:val="20"/>
              </w:rPr>
              <w:t>Author</w:t>
            </w:r>
          </w:p>
        </w:tc>
      </w:tr>
      <w:tr w:rsidR="002F1C61" w14:paraId="38129F44"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78E46005" w14:textId="77777777" w:rsidR="002F1C61" w:rsidRDefault="00000000">
            <w:pPr>
              <w:spacing w:after="60"/>
            </w:pPr>
            <w:r>
              <w:rPr>
                <w:b/>
                <w:bCs/>
                <w:color w:val="2E6096"/>
              </w:rPr>
              <w:t>v1.4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449AC5" w14:textId="7E3EFF53" w:rsidR="002F1C61" w:rsidRDefault="00000000">
            <w:pPr>
              <w:spacing w:after="60"/>
            </w:pPr>
            <w:r>
              <w:rPr>
                <w:color w:val="555555"/>
                <w:sz w:val="19"/>
                <w:szCs w:val="19"/>
              </w:rPr>
              <w:t>March 202</w:t>
            </w:r>
            <w:r w:rsidR="00A805FC">
              <w:rPr>
                <w:color w:val="555555"/>
                <w:sz w:val="19"/>
                <w:szCs w:val="19"/>
              </w:rPr>
              <w:t>5</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F27A9E" w14:textId="77777777" w:rsidR="002F1C61" w:rsidRDefault="00000000">
            <w:pPr>
              <w:spacing w:after="60"/>
            </w:pPr>
            <w:r>
              <w:rPr>
                <w:sz w:val="19"/>
                <w:szCs w:val="19"/>
              </w:rPr>
              <w:t>Added Section 6.3 novel equipment protocol. Revised IoU auto-reject threshold from 0.65 to 0.70 following audit findings. Added PIPE-004 (Safety Relief Valve) to taxonomy.</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756CD66" w14:textId="77777777" w:rsidR="002F1C61" w:rsidRDefault="00000000">
            <w:pPr>
              <w:spacing w:after="60"/>
            </w:pPr>
            <w:r>
              <w:rPr>
                <w:color w:val="555555"/>
                <w:sz w:val="19"/>
                <w:szCs w:val="19"/>
              </w:rPr>
              <w:t>B.Q. Oyelekan</w:t>
            </w:r>
          </w:p>
        </w:tc>
      </w:tr>
      <w:tr w:rsidR="002F1C61" w14:paraId="45B236CC"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3D74CC0B" w14:textId="77777777" w:rsidR="002F1C61" w:rsidRDefault="00000000">
            <w:pPr>
              <w:spacing w:after="60"/>
            </w:pPr>
            <w:r>
              <w:rPr>
                <w:b/>
                <w:bCs/>
                <w:color w:val="2E6096"/>
              </w:rPr>
              <w:t>v1.3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C4A1C1" w14:textId="1C38A13D" w:rsidR="002F1C61" w:rsidRDefault="00000000">
            <w:pPr>
              <w:spacing w:after="60"/>
            </w:pPr>
            <w:r>
              <w:rPr>
                <w:color w:val="555555"/>
                <w:sz w:val="19"/>
                <w:szCs w:val="19"/>
              </w:rPr>
              <w:t>January 202</w:t>
            </w:r>
            <w:r w:rsidR="00A805FC">
              <w:rPr>
                <w:color w:val="555555"/>
                <w:sz w:val="19"/>
                <w:szCs w:val="19"/>
              </w:rPr>
              <w:t>5</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7E4832" w14:textId="77777777" w:rsidR="002F1C61" w:rsidRDefault="00000000">
            <w:pPr>
              <w:spacing w:after="60"/>
            </w:pPr>
            <w:r>
              <w:rPr>
                <w:sz w:val="19"/>
                <w:szCs w:val="19"/>
              </w:rPr>
              <w:t>Expanded defect co-occurrence rules. Added thermal and IR modality guidance. Clarified point cloud minimum point density requirement.</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5A49342" w14:textId="77777777" w:rsidR="002F1C61" w:rsidRDefault="00000000">
            <w:pPr>
              <w:spacing w:after="60"/>
            </w:pPr>
            <w:r>
              <w:rPr>
                <w:color w:val="555555"/>
                <w:sz w:val="19"/>
                <w:szCs w:val="19"/>
              </w:rPr>
              <w:t>B.Q. Oyelekan</w:t>
            </w:r>
          </w:p>
        </w:tc>
      </w:tr>
      <w:tr w:rsidR="002F1C61" w14:paraId="33DF2E67"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60ED18A2" w14:textId="77777777" w:rsidR="002F1C61" w:rsidRDefault="00000000">
            <w:pPr>
              <w:spacing w:after="60"/>
            </w:pPr>
            <w:r>
              <w:rPr>
                <w:b/>
                <w:bCs/>
                <w:color w:val="2E6096"/>
              </w:rPr>
              <w:t>v1.2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D6E79B" w14:textId="4A3CF5C0" w:rsidR="002F1C61" w:rsidRDefault="00000000">
            <w:pPr>
              <w:spacing w:after="60"/>
            </w:pPr>
            <w:r>
              <w:rPr>
                <w:color w:val="555555"/>
                <w:sz w:val="19"/>
                <w:szCs w:val="19"/>
              </w:rPr>
              <w:t>October 202</w:t>
            </w:r>
            <w:r w:rsidR="00A805FC">
              <w:rPr>
                <w:color w:val="555555"/>
                <w:sz w:val="19"/>
                <w:szCs w:val="19"/>
              </w:rPr>
              <w:t>4</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7FD63E" w14:textId="77777777" w:rsidR="002F1C61" w:rsidRDefault="00000000">
            <w:pPr>
              <w:spacing w:after="60"/>
            </w:pPr>
            <w:r>
              <w:rPr>
                <w:sz w:val="19"/>
                <w:szCs w:val="19"/>
              </w:rPr>
              <w:t>Added 3D point cloud annotation section (Section 3.3). Added Supervisely to approved tools list. Revised polygon vertex minimum count.</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84AAD18" w14:textId="77777777" w:rsidR="002F1C61" w:rsidRDefault="00000000">
            <w:pPr>
              <w:spacing w:after="60"/>
            </w:pPr>
            <w:r>
              <w:rPr>
                <w:color w:val="555555"/>
                <w:sz w:val="19"/>
                <w:szCs w:val="19"/>
              </w:rPr>
              <w:t>B.Q. Oyelekan</w:t>
            </w:r>
          </w:p>
        </w:tc>
      </w:tr>
      <w:tr w:rsidR="002F1C61" w14:paraId="2CC2C344"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1403F4F3" w14:textId="77777777" w:rsidR="002F1C61" w:rsidRDefault="00000000">
            <w:pPr>
              <w:spacing w:after="60"/>
            </w:pPr>
            <w:r>
              <w:rPr>
                <w:b/>
                <w:bCs/>
                <w:color w:val="2E6096"/>
              </w:rPr>
              <w:t>v1.1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D8BE74" w14:textId="3F76918D" w:rsidR="002F1C61" w:rsidRDefault="00000000">
            <w:pPr>
              <w:spacing w:after="60"/>
            </w:pPr>
            <w:r>
              <w:rPr>
                <w:color w:val="555555"/>
                <w:sz w:val="19"/>
                <w:szCs w:val="19"/>
              </w:rPr>
              <w:t>August 202</w:t>
            </w:r>
            <w:r w:rsidR="00A805FC">
              <w:rPr>
                <w:color w:val="555555"/>
                <w:sz w:val="19"/>
                <w:szCs w:val="19"/>
              </w:rPr>
              <w:t>4</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0F6079" w14:textId="77777777" w:rsidR="002F1C61" w:rsidRDefault="00000000">
            <w:pPr>
              <w:spacing w:after="60"/>
            </w:pPr>
            <w:r>
              <w:rPr>
                <w:sz w:val="19"/>
                <w:szCs w:val="19"/>
              </w:rPr>
              <w:t>Added worked examples (Section 7). Revised occlusion threshold from 50% to 40% based on downstream model performance analysis.</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CF4F760" w14:textId="77777777" w:rsidR="002F1C61" w:rsidRDefault="00000000">
            <w:pPr>
              <w:spacing w:after="60"/>
            </w:pPr>
            <w:r>
              <w:rPr>
                <w:color w:val="555555"/>
                <w:sz w:val="19"/>
                <w:szCs w:val="19"/>
              </w:rPr>
              <w:t>B.Q. Oyelekan</w:t>
            </w:r>
          </w:p>
        </w:tc>
      </w:tr>
      <w:tr w:rsidR="002F1C61" w14:paraId="5988BAEA"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46C9D3AE" w14:textId="77777777" w:rsidR="002F1C61" w:rsidRDefault="00000000">
            <w:pPr>
              <w:spacing w:after="60"/>
            </w:pPr>
            <w:r>
              <w:rPr>
                <w:b/>
                <w:bCs/>
                <w:color w:val="2E6096"/>
              </w:rPr>
              <w:t>v1.0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CA9B18" w14:textId="0B7B3A42" w:rsidR="002F1C61" w:rsidRDefault="00000000">
            <w:pPr>
              <w:spacing w:after="60"/>
            </w:pPr>
            <w:r>
              <w:rPr>
                <w:color w:val="555555"/>
                <w:sz w:val="19"/>
                <w:szCs w:val="19"/>
              </w:rPr>
              <w:t>May 202</w:t>
            </w:r>
            <w:r w:rsidR="00A805FC">
              <w:rPr>
                <w:color w:val="555555"/>
                <w:sz w:val="19"/>
                <w:szCs w:val="19"/>
              </w:rPr>
              <w:t>4</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ACBC3D" w14:textId="77777777" w:rsidR="002F1C61" w:rsidRDefault="00000000">
            <w:pPr>
              <w:spacing w:after="60"/>
            </w:pPr>
            <w:r>
              <w:rPr>
                <w:sz w:val="19"/>
                <w:szCs w:val="19"/>
              </w:rPr>
              <w:t>Initial release. Covers rotating machinery, static vessels, and piping taxonomy. Image annotation only. Point cloud and audio tasks covered in separate documents.</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77BE45CD" w14:textId="77777777" w:rsidR="002F1C61" w:rsidRDefault="00000000">
            <w:pPr>
              <w:spacing w:after="60"/>
            </w:pPr>
            <w:r>
              <w:rPr>
                <w:color w:val="555555"/>
                <w:sz w:val="19"/>
                <w:szCs w:val="19"/>
              </w:rPr>
              <w:t>B.Q. Oyelekan</w:t>
            </w:r>
          </w:p>
        </w:tc>
      </w:tr>
    </w:tbl>
    <w:p w14:paraId="6D777D25" w14:textId="77777777" w:rsidR="002F1C61" w:rsidRDefault="002F1C61">
      <w:pPr>
        <w:spacing w:after="200"/>
      </w:pPr>
    </w:p>
    <w:p w14:paraId="1C08E1FD" w14:textId="77777777" w:rsidR="002F1C61" w:rsidRDefault="00000000">
      <w:pPr>
        <w:pStyle w:val="Heading1"/>
      </w:pPr>
      <w:r>
        <w:t>Document Sign-off</w:t>
      </w:r>
    </w:p>
    <w:p w14:paraId="1BD26FF8" w14:textId="77777777" w:rsidR="002F1C61" w:rsidRDefault="002F1C61">
      <w:pPr>
        <w:pBdr>
          <w:bottom w:val="single" w:sz="10" w:space="1" w:color="2E6096"/>
        </w:pBdr>
        <w:spacing w:after="160"/>
      </w:pPr>
    </w:p>
    <w:p w14:paraId="731E3463" w14:textId="77777777" w:rsidR="002F1C61" w:rsidRDefault="00000000">
      <w:pPr>
        <w:spacing w:after="120"/>
      </w:pPr>
      <w:r>
        <w:t>This document has been reviewed and approved for use on active annotation projects. Any annotator who has questions about applying these guidelines should raise them through the project channel before making an independent interpretation.</w:t>
      </w:r>
    </w:p>
    <w:p w14:paraId="68CCBC1D" w14:textId="77777777" w:rsidR="002F1C61" w:rsidRDefault="002F1C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F1C61" w14:paraId="20E1C89A"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11599202" w14:textId="77777777" w:rsidR="002F1C61" w:rsidRDefault="00000000">
            <w:pPr>
              <w:spacing w:after="60"/>
              <w:jc w:val="center"/>
            </w:pPr>
            <w:r>
              <w:rPr>
                <w:b/>
                <w:bCs/>
                <w:color w:val="2E6096"/>
              </w:rPr>
              <w:t>Prepared by</w:t>
            </w:r>
          </w:p>
        </w:tc>
        <w:tc>
          <w:tcPr>
            <w:tcW w:w="312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344318AA" w14:textId="77777777" w:rsidR="002F1C61" w:rsidRDefault="00000000">
            <w:pPr>
              <w:spacing w:after="60"/>
              <w:jc w:val="center"/>
            </w:pPr>
            <w:r>
              <w:rPr>
                <w:b/>
                <w:bCs/>
                <w:color w:val="2E6096"/>
              </w:rPr>
              <w:t>Role</w:t>
            </w:r>
          </w:p>
        </w:tc>
        <w:tc>
          <w:tcPr>
            <w:tcW w:w="3120" w:type="dxa"/>
            <w:tcBorders>
              <w:top w:val="single" w:sz="4" w:space="0" w:color="AAAAAA"/>
              <w:left w:val="single" w:sz="4" w:space="0" w:color="AAAAAA"/>
              <w:bottom w:val="single" w:sz="4" w:space="0" w:color="AAAAAA"/>
              <w:right w:val="single" w:sz="4" w:space="0" w:color="AAAAAA"/>
            </w:tcBorders>
            <w:shd w:val="clear" w:color="auto" w:fill="EBF3FA"/>
            <w:tcMar>
              <w:top w:w="80" w:type="dxa"/>
              <w:left w:w="120" w:type="dxa"/>
              <w:bottom w:w="80" w:type="dxa"/>
              <w:right w:w="120" w:type="dxa"/>
            </w:tcMar>
          </w:tcPr>
          <w:p w14:paraId="0D16059B" w14:textId="77777777" w:rsidR="002F1C61" w:rsidRDefault="00000000">
            <w:pPr>
              <w:spacing w:after="60"/>
              <w:jc w:val="center"/>
            </w:pPr>
            <w:r>
              <w:rPr>
                <w:b/>
                <w:bCs/>
                <w:color w:val="2E6096"/>
              </w:rPr>
              <w:t>Date</w:t>
            </w:r>
          </w:p>
        </w:tc>
      </w:tr>
      <w:tr w:rsidR="002F1C61" w14:paraId="46522522"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D985C1" w14:textId="77777777" w:rsidR="002F1C61" w:rsidRDefault="00000000">
            <w:pPr>
              <w:spacing w:after="60"/>
              <w:jc w:val="center"/>
            </w:pPr>
            <w:r>
              <w:lastRenderedPageBreak/>
              <w:t>Busari Quadri Oyelekan</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ECED5F" w14:textId="77777777" w:rsidR="002F1C61" w:rsidRDefault="00000000">
            <w:pPr>
              <w:spacing w:after="60"/>
              <w:jc w:val="center"/>
            </w:pPr>
            <w:r>
              <w:t>Senior Annotator / Taxonomy Lead</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5B0817" w14:textId="119A29F1" w:rsidR="002F1C61" w:rsidRDefault="00000000">
            <w:pPr>
              <w:spacing w:after="60"/>
              <w:jc w:val="center"/>
            </w:pPr>
            <w:r>
              <w:t>March 202</w:t>
            </w:r>
            <w:r w:rsidR="00A805FC">
              <w:t>5</w:t>
            </w:r>
          </w:p>
        </w:tc>
      </w:tr>
    </w:tbl>
    <w:p w14:paraId="58676DD4" w14:textId="77777777" w:rsidR="002F1C61" w:rsidRDefault="002F1C61">
      <w:pPr>
        <w:spacing w:after="160"/>
      </w:pPr>
    </w:p>
    <w:sectPr w:rsidR="002F1C61">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75B26" w14:textId="77777777" w:rsidR="00453A3D" w:rsidRDefault="00453A3D">
      <w:r>
        <w:separator/>
      </w:r>
    </w:p>
  </w:endnote>
  <w:endnote w:type="continuationSeparator" w:id="0">
    <w:p w14:paraId="3F410FAA" w14:textId="77777777" w:rsidR="00453A3D" w:rsidRDefault="00453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0E61" w14:textId="77777777" w:rsidR="002F1C61" w:rsidRDefault="00000000">
    <w:pPr>
      <w:pBdr>
        <w:top w:val="single" w:sz="4" w:space="1" w:color="2E6096"/>
      </w:pBdr>
      <w:tabs>
        <w:tab w:val="right" w:pos="9026"/>
      </w:tabs>
      <w:spacing w:before="80"/>
    </w:pPr>
    <w:r>
      <w:rPr>
        <w:color w:val="555555"/>
        <w:sz w:val="16"/>
        <w:szCs w:val="16"/>
      </w:rPr>
      <w:t>Busari Quadri Oyelekan  |  bqlekan@gmail.com</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A805FC">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A805FC">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E850B" w14:textId="77777777" w:rsidR="00453A3D" w:rsidRDefault="00453A3D">
      <w:r>
        <w:separator/>
      </w:r>
    </w:p>
  </w:footnote>
  <w:footnote w:type="continuationSeparator" w:id="0">
    <w:p w14:paraId="1A2FD3F0" w14:textId="77777777" w:rsidR="00453A3D" w:rsidRDefault="00453A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DBCE" w14:textId="77777777" w:rsidR="002F1C61" w:rsidRDefault="00000000">
    <w:pPr>
      <w:pBdr>
        <w:bottom w:val="single" w:sz="6" w:space="1" w:color="2E6096"/>
      </w:pBdr>
      <w:tabs>
        <w:tab w:val="right" w:pos="9026"/>
      </w:tabs>
    </w:pPr>
    <w:r>
      <w:rPr>
        <w:b/>
        <w:bCs/>
        <w:color w:val="1B2A4A"/>
        <w:sz w:val="18"/>
        <w:szCs w:val="18"/>
      </w:rPr>
      <w:t>Industrial Equipment ML Annotation Guidelines</w:t>
    </w:r>
    <w:r>
      <w:rPr>
        <w:sz w:val="18"/>
        <w:szCs w:val="18"/>
      </w:rPr>
      <w:tab/>
    </w:r>
    <w:r>
      <w:rPr>
        <w:i/>
        <w:iCs/>
        <w:color w:val="555555"/>
        <w:sz w:val="16"/>
        <w:szCs w:val="16"/>
      </w:rPr>
      <w:t>v1.4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36FA1"/>
    <w:multiLevelType w:val="hybridMultilevel"/>
    <w:tmpl w:val="79064486"/>
    <w:lvl w:ilvl="0" w:tplc="52E0D7E2">
      <w:start w:val="1"/>
      <w:numFmt w:val="bullet"/>
      <w:lvlText w:val="•"/>
      <w:lvlJc w:val="left"/>
      <w:pPr>
        <w:spacing w:after="80"/>
        <w:ind w:left="720" w:hanging="360"/>
      </w:pPr>
    </w:lvl>
    <w:lvl w:ilvl="1" w:tplc="7F04376A">
      <w:numFmt w:val="decimal"/>
      <w:lvlText w:val=""/>
      <w:lvlJc w:val="left"/>
    </w:lvl>
    <w:lvl w:ilvl="2" w:tplc="470E696A">
      <w:numFmt w:val="decimal"/>
      <w:lvlText w:val=""/>
      <w:lvlJc w:val="left"/>
    </w:lvl>
    <w:lvl w:ilvl="3" w:tplc="9F8674B4">
      <w:numFmt w:val="decimal"/>
      <w:lvlText w:val=""/>
      <w:lvlJc w:val="left"/>
    </w:lvl>
    <w:lvl w:ilvl="4" w:tplc="B52A9AD6">
      <w:numFmt w:val="decimal"/>
      <w:lvlText w:val=""/>
      <w:lvlJc w:val="left"/>
    </w:lvl>
    <w:lvl w:ilvl="5" w:tplc="7B5CFAA0">
      <w:numFmt w:val="decimal"/>
      <w:lvlText w:val=""/>
      <w:lvlJc w:val="left"/>
    </w:lvl>
    <w:lvl w:ilvl="6" w:tplc="5502C9E0">
      <w:numFmt w:val="decimal"/>
      <w:lvlText w:val=""/>
      <w:lvlJc w:val="left"/>
    </w:lvl>
    <w:lvl w:ilvl="7" w:tplc="0994BEEA">
      <w:numFmt w:val="decimal"/>
      <w:lvlText w:val=""/>
      <w:lvlJc w:val="left"/>
    </w:lvl>
    <w:lvl w:ilvl="8" w:tplc="D20248AE">
      <w:numFmt w:val="decimal"/>
      <w:lvlText w:val=""/>
      <w:lvlJc w:val="left"/>
    </w:lvl>
  </w:abstractNum>
  <w:abstractNum w:abstractNumId="1" w15:restartNumberingAfterBreak="0">
    <w:nsid w:val="1B6766B3"/>
    <w:multiLevelType w:val="hybridMultilevel"/>
    <w:tmpl w:val="75F0EE82"/>
    <w:lvl w:ilvl="0" w:tplc="88A4A426">
      <w:start w:val="1"/>
      <w:numFmt w:val="bullet"/>
      <w:lvlText w:val="o"/>
      <w:lvlJc w:val="left"/>
      <w:pPr>
        <w:spacing w:after="60"/>
        <w:ind w:left="1080" w:hanging="360"/>
      </w:pPr>
    </w:lvl>
    <w:lvl w:ilvl="1" w:tplc="E8769768">
      <w:numFmt w:val="decimal"/>
      <w:lvlText w:val=""/>
      <w:lvlJc w:val="left"/>
    </w:lvl>
    <w:lvl w:ilvl="2" w:tplc="D7DCD332">
      <w:numFmt w:val="decimal"/>
      <w:lvlText w:val=""/>
      <w:lvlJc w:val="left"/>
    </w:lvl>
    <w:lvl w:ilvl="3" w:tplc="A73411C0">
      <w:numFmt w:val="decimal"/>
      <w:lvlText w:val=""/>
      <w:lvlJc w:val="left"/>
    </w:lvl>
    <w:lvl w:ilvl="4" w:tplc="344EE870">
      <w:numFmt w:val="decimal"/>
      <w:lvlText w:val=""/>
      <w:lvlJc w:val="left"/>
    </w:lvl>
    <w:lvl w:ilvl="5" w:tplc="D6EA7252">
      <w:numFmt w:val="decimal"/>
      <w:lvlText w:val=""/>
      <w:lvlJc w:val="left"/>
    </w:lvl>
    <w:lvl w:ilvl="6" w:tplc="3634D54C">
      <w:numFmt w:val="decimal"/>
      <w:lvlText w:val=""/>
      <w:lvlJc w:val="left"/>
    </w:lvl>
    <w:lvl w:ilvl="7" w:tplc="3D60DC6A">
      <w:numFmt w:val="decimal"/>
      <w:lvlText w:val=""/>
      <w:lvlJc w:val="left"/>
    </w:lvl>
    <w:lvl w:ilvl="8" w:tplc="9288F04A">
      <w:numFmt w:val="decimal"/>
      <w:lvlText w:val=""/>
      <w:lvlJc w:val="left"/>
    </w:lvl>
  </w:abstractNum>
  <w:abstractNum w:abstractNumId="2" w15:restartNumberingAfterBreak="0">
    <w:nsid w:val="22721D51"/>
    <w:multiLevelType w:val="hybridMultilevel"/>
    <w:tmpl w:val="A678B3E4"/>
    <w:lvl w:ilvl="0" w:tplc="B9D6E7E6">
      <w:start w:val="1"/>
      <w:numFmt w:val="decimal"/>
      <w:lvlText w:val="%1."/>
      <w:lvlJc w:val="left"/>
      <w:pPr>
        <w:spacing w:after="80"/>
        <w:ind w:left="720" w:hanging="360"/>
      </w:pPr>
    </w:lvl>
    <w:lvl w:ilvl="1" w:tplc="0B52A2EA">
      <w:numFmt w:val="decimal"/>
      <w:lvlText w:val=""/>
      <w:lvlJc w:val="left"/>
    </w:lvl>
    <w:lvl w:ilvl="2" w:tplc="5A32C73E">
      <w:numFmt w:val="decimal"/>
      <w:lvlText w:val=""/>
      <w:lvlJc w:val="left"/>
    </w:lvl>
    <w:lvl w:ilvl="3" w:tplc="4EB04314">
      <w:numFmt w:val="decimal"/>
      <w:lvlText w:val=""/>
      <w:lvlJc w:val="left"/>
    </w:lvl>
    <w:lvl w:ilvl="4" w:tplc="EAE85650">
      <w:numFmt w:val="decimal"/>
      <w:lvlText w:val=""/>
      <w:lvlJc w:val="left"/>
    </w:lvl>
    <w:lvl w:ilvl="5" w:tplc="B9B25518">
      <w:numFmt w:val="decimal"/>
      <w:lvlText w:val=""/>
      <w:lvlJc w:val="left"/>
    </w:lvl>
    <w:lvl w:ilvl="6" w:tplc="CA1C0A32">
      <w:numFmt w:val="decimal"/>
      <w:lvlText w:val=""/>
      <w:lvlJc w:val="left"/>
    </w:lvl>
    <w:lvl w:ilvl="7" w:tplc="65A85158">
      <w:numFmt w:val="decimal"/>
      <w:lvlText w:val=""/>
      <w:lvlJc w:val="left"/>
    </w:lvl>
    <w:lvl w:ilvl="8" w:tplc="0E88D216">
      <w:numFmt w:val="decimal"/>
      <w:lvlText w:val=""/>
      <w:lvlJc w:val="left"/>
    </w:lvl>
  </w:abstractNum>
  <w:abstractNum w:abstractNumId="3" w15:restartNumberingAfterBreak="0">
    <w:nsid w:val="22C63CE8"/>
    <w:multiLevelType w:val="hybridMultilevel"/>
    <w:tmpl w:val="E5489664"/>
    <w:lvl w:ilvl="0" w:tplc="1CF68574">
      <w:start w:val="1"/>
      <w:numFmt w:val="bullet"/>
      <w:lvlText w:val="●"/>
      <w:lvlJc w:val="left"/>
      <w:pPr>
        <w:ind w:left="720" w:hanging="360"/>
      </w:pPr>
    </w:lvl>
    <w:lvl w:ilvl="1" w:tplc="23AA9D22">
      <w:start w:val="1"/>
      <w:numFmt w:val="bullet"/>
      <w:lvlText w:val="○"/>
      <w:lvlJc w:val="left"/>
      <w:pPr>
        <w:ind w:left="1440" w:hanging="360"/>
      </w:pPr>
    </w:lvl>
    <w:lvl w:ilvl="2" w:tplc="C2C475AA">
      <w:start w:val="1"/>
      <w:numFmt w:val="bullet"/>
      <w:lvlText w:val="■"/>
      <w:lvlJc w:val="left"/>
      <w:pPr>
        <w:ind w:left="2160" w:hanging="360"/>
      </w:pPr>
    </w:lvl>
    <w:lvl w:ilvl="3" w:tplc="6D5A7C9E">
      <w:start w:val="1"/>
      <w:numFmt w:val="bullet"/>
      <w:lvlText w:val="●"/>
      <w:lvlJc w:val="left"/>
      <w:pPr>
        <w:ind w:left="2880" w:hanging="360"/>
      </w:pPr>
    </w:lvl>
    <w:lvl w:ilvl="4" w:tplc="200CE794">
      <w:start w:val="1"/>
      <w:numFmt w:val="bullet"/>
      <w:lvlText w:val="○"/>
      <w:lvlJc w:val="left"/>
      <w:pPr>
        <w:ind w:left="3600" w:hanging="360"/>
      </w:pPr>
    </w:lvl>
    <w:lvl w:ilvl="5" w:tplc="9984DA3E">
      <w:start w:val="1"/>
      <w:numFmt w:val="bullet"/>
      <w:lvlText w:val="■"/>
      <w:lvlJc w:val="left"/>
      <w:pPr>
        <w:ind w:left="4320" w:hanging="360"/>
      </w:pPr>
    </w:lvl>
    <w:lvl w:ilvl="6" w:tplc="090A3FBE">
      <w:start w:val="1"/>
      <w:numFmt w:val="bullet"/>
      <w:lvlText w:val="●"/>
      <w:lvlJc w:val="left"/>
      <w:pPr>
        <w:ind w:left="5040" w:hanging="360"/>
      </w:pPr>
    </w:lvl>
    <w:lvl w:ilvl="7" w:tplc="DB248A5A">
      <w:start w:val="1"/>
      <w:numFmt w:val="bullet"/>
      <w:lvlText w:val="●"/>
      <w:lvlJc w:val="left"/>
      <w:pPr>
        <w:ind w:left="5760" w:hanging="360"/>
      </w:pPr>
    </w:lvl>
    <w:lvl w:ilvl="8" w:tplc="1B8AEE40">
      <w:start w:val="1"/>
      <w:numFmt w:val="bullet"/>
      <w:lvlText w:val="●"/>
      <w:lvlJc w:val="left"/>
      <w:pPr>
        <w:ind w:left="6480" w:hanging="360"/>
      </w:pPr>
    </w:lvl>
  </w:abstractNum>
  <w:num w:numId="1" w16cid:durableId="1391347012">
    <w:abstractNumId w:val="3"/>
    <w:lvlOverride w:ilvl="0">
      <w:startOverride w:val="1"/>
    </w:lvlOverride>
  </w:num>
  <w:num w:numId="2" w16cid:durableId="640888942">
    <w:abstractNumId w:val="0"/>
    <w:lvlOverride w:ilvl="0">
      <w:startOverride w:val="1"/>
    </w:lvlOverride>
  </w:num>
  <w:num w:numId="3" w16cid:durableId="12432187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C61"/>
    <w:rsid w:val="002F1C61"/>
    <w:rsid w:val="00453A3D"/>
    <w:rsid w:val="00A805FC"/>
    <w:rsid w:val="00E21A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4805D"/>
  <w15:docId w15:val="{3290E66C-92B7-4CC6-834E-FABC2C8FF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6"/>
      <w:szCs w:val="36"/>
    </w:rPr>
  </w:style>
  <w:style w:type="paragraph" w:styleId="Heading2">
    <w:name w:val="heading 2"/>
    <w:uiPriority w:val="9"/>
    <w:unhideWhenUsed/>
    <w:qFormat/>
    <w:pPr>
      <w:spacing w:before="280" w:after="120"/>
      <w:outlineLvl w:val="1"/>
    </w:pPr>
    <w:rPr>
      <w:b/>
      <w:bCs/>
      <w:color w:val="2E6096"/>
      <w:sz w:val="28"/>
      <w:szCs w:val="28"/>
    </w:rPr>
  </w:style>
  <w:style w:type="paragraph" w:styleId="Heading3">
    <w:name w:val="heading 3"/>
    <w:uiPriority w:val="9"/>
    <w:semiHidden/>
    <w:unhideWhenUsed/>
    <w:qFormat/>
    <w:pPr>
      <w:spacing w:before="200" w:after="100"/>
      <w:outlineLvl w:val="2"/>
    </w:pPr>
    <w:rPr>
      <w:b/>
      <w:bCs/>
      <w:color w:val="1B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2446</Words>
  <Characters>13944</Characters>
  <Application>Microsoft Office Word</Application>
  <DocSecurity>0</DocSecurity>
  <Lines>116</Lines>
  <Paragraphs>32</Paragraphs>
  <ScaleCrop>false</ScaleCrop>
  <Company/>
  <LinksUpToDate>false</LinksUpToDate>
  <CharactersWithSpaces>16358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Quadri Busari</cp:lastModifiedBy>
  <cp:revision>2</cp:revision>
  <dcterms:created xsi:type="dcterms:W3CDTF">2026-06-27T19:13:00Z</dcterms:created>
  <dcterms:modified xsi:type="dcterms:W3CDTF">2026-06-27T19:21:00Z</dcterms:modified>
</cp:coreProperties>
</file>